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沙湾市草原站</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仿宋_GB2312" w:eastAsia="仿宋_GB2312"/>
          <w:sz w:val="32"/>
          <w:szCs w:val="32"/>
        </w:rPr>
        <w:t>草原站协助市林业和草原局行政主管部门拟定我市有关草原建设的规章和政策建议；负责全市草原鼠害、虫、草害监测、收集、汇总、分析及重大鼠、虫、草害预报预警及防治工作；负责全市的草原建设及改良工作，做好草原水利、暖棚暖圈、草场围栏、草原生态建设等工作；负责全市的草原资源调查及规划，调查和规划草场资源生产能力，四季草场产草量，草场载畜量，草场分类，植被类型。</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eastAsia="仿宋_GB2312"/>
          <w:sz w:val="32"/>
          <w:szCs w:val="32"/>
        </w:rPr>
      </w:pPr>
      <w:r>
        <w:rPr>
          <w:rFonts w:hint="eastAsia" w:ascii="仿宋_GB2312" w:eastAsia="仿宋_GB2312"/>
          <w:sz w:val="32"/>
          <w:szCs w:val="32"/>
        </w:rPr>
        <w:t>新疆塔城地区沙湾市草原站2023年度，实有人数</w:t>
      </w:r>
      <w:r>
        <w:rPr>
          <w:rFonts w:hint="eastAsia" w:ascii="仿宋_GB2312" w:eastAsia="仿宋_GB2312"/>
          <w:sz w:val="32"/>
          <w:szCs w:val="32"/>
          <w:lang w:val="zh-CN"/>
        </w:rPr>
        <w:t>22</w:t>
      </w:r>
      <w:r>
        <w:rPr>
          <w:rFonts w:hint="eastAsia" w:ascii="仿宋_GB2312" w:eastAsia="仿宋_GB2312"/>
          <w:sz w:val="32"/>
          <w:szCs w:val="32"/>
        </w:rPr>
        <w:t>人，其中：在职人员</w:t>
      </w:r>
      <w:r>
        <w:rPr>
          <w:rFonts w:hint="eastAsia" w:ascii="仿宋_GB2312" w:eastAsia="仿宋_GB2312"/>
          <w:sz w:val="32"/>
          <w:szCs w:val="32"/>
          <w:lang w:val="zh-CN"/>
        </w:rPr>
        <w:t>8</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14</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lang w:val="en-US" w:eastAsia="zh-CN"/>
        </w:rPr>
        <w:t>该</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业务室。</w:t>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2023年度收入总计525.67万元，其中：本年收入合计525.67万元，使用非财政拨款结余0.00万元，年初结转和结余0.00万元。</w:t>
      </w:r>
    </w:p>
    <w:p>
      <w:pPr>
        <w:ind w:firstLine="640" w:firstLineChars="200"/>
        <w:jc w:val="left"/>
        <w:rPr>
          <w:rFonts w:hint="eastAsia" w:ascii="仿宋_GB2312" w:eastAsia="仿宋_GB2312"/>
          <w:sz w:val="32"/>
          <w:szCs w:val="32"/>
        </w:rPr>
      </w:pPr>
      <w:r>
        <w:rPr>
          <w:rFonts w:hint="eastAsia" w:ascii="仿宋_GB2312" w:eastAsia="仿宋_GB2312"/>
          <w:sz w:val="32"/>
          <w:szCs w:val="32"/>
        </w:rPr>
        <w:t>2023年度支出总计525.67万元，其中：本年支出合计525.67万元，结余分配0.00万元，年末结转和结余0.00万元。</w:t>
      </w:r>
    </w:p>
    <w:p>
      <w:pPr>
        <w:ind w:firstLine="640" w:firstLineChars="200"/>
        <w:jc w:val="left"/>
        <w:rPr>
          <w:rFonts w:ascii="仿宋_GB2312" w:hAnsi="仿宋"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增加364.49万元</w:t>
      </w:r>
      <w:r>
        <w:rPr>
          <w:rFonts w:hint="eastAsia" w:ascii="仿宋_GB2312" w:eastAsia="仿宋_GB2312"/>
          <w:sz w:val="32"/>
          <w:szCs w:val="32"/>
        </w:rPr>
        <w:t>，增长226.14%，主要原因是：</w:t>
      </w:r>
      <w:r>
        <w:rPr>
          <w:rFonts w:hint="eastAsia" w:ascii="仿宋_GB2312" w:hAnsi="仿宋" w:eastAsia="仿宋_GB2312"/>
          <w:sz w:val="32"/>
          <w:szCs w:val="32"/>
        </w:rPr>
        <w:t>2023年发放以前年度绩效奖及增加基本工资调</w:t>
      </w:r>
      <w:r>
        <w:rPr>
          <w:rFonts w:hint="eastAsia" w:ascii="仿宋_GB2312" w:hAnsi="仿宋" w:eastAsia="仿宋_GB2312"/>
          <w:sz w:val="32"/>
          <w:szCs w:val="32"/>
          <w:highlight w:val="none"/>
        </w:rPr>
        <w:t>标</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人员晋升</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考核增资</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rPr>
        <w:t>本年支出2017-2019年项目资金预算</w:t>
      </w:r>
      <w:r>
        <w:rPr>
          <w:rFonts w:hint="eastAsia" w:ascii="仿宋_GB2312" w:hAnsi="仿宋" w:eastAsia="仿宋_GB2312"/>
          <w:sz w:val="32"/>
          <w:szCs w:val="32"/>
          <w:lang w:eastAsia="zh-CN"/>
        </w:rPr>
        <w:t>，</w:t>
      </w:r>
      <w:r>
        <w:rPr>
          <w:rFonts w:hint="eastAsia" w:ascii="仿宋_GB2312" w:hAnsi="仿宋" w:eastAsia="仿宋_GB2312"/>
          <w:sz w:val="32"/>
          <w:szCs w:val="32"/>
        </w:rPr>
        <w:t>所以收入支出增大。</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本年收入525.67万元，其中：财政拨款收入</w:t>
      </w:r>
      <w:r>
        <w:rPr>
          <w:rFonts w:hint="eastAsia" w:ascii="仿宋_GB2312" w:eastAsia="仿宋_GB2312"/>
          <w:sz w:val="32"/>
          <w:szCs w:val="32"/>
          <w:lang w:val="zh-CN"/>
        </w:rPr>
        <w:t>525.67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本年支出525.67万元，其中：基本支出150.82万元，占28.69%；项目支出374.85万元，占71.31%；上缴上级支出0.00万元，占0.00%；经营支出0.00万元，占0.00%；对附属单位补助支出0.00万元，占0.00%。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525.67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525.67</w:t>
      </w:r>
      <w:r>
        <w:rPr>
          <w:rFonts w:hint="eastAsia" w:ascii="仿宋_GB2312" w:eastAsia="仿宋_GB2312"/>
          <w:sz w:val="32"/>
          <w:szCs w:val="32"/>
        </w:rPr>
        <w:t>万元。财政拨款支出总计</w:t>
      </w:r>
      <w:r>
        <w:rPr>
          <w:rFonts w:hint="eastAsia" w:ascii="仿宋_GB2312" w:eastAsia="仿宋_GB2312"/>
          <w:sz w:val="32"/>
          <w:szCs w:val="32"/>
          <w:lang w:val="zh-CN"/>
        </w:rPr>
        <w:t>525.67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525.67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增加364.49万元</w:t>
      </w:r>
      <w:r>
        <w:rPr>
          <w:rFonts w:hint="eastAsia" w:ascii="仿宋_GB2312" w:eastAsia="仿宋_GB2312"/>
          <w:sz w:val="32"/>
          <w:szCs w:val="32"/>
        </w:rPr>
        <w:t>，增长226.14%,主要原因是：</w:t>
      </w:r>
      <w:r>
        <w:rPr>
          <w:rFonts w:hint="eastAsia" w:ascii="仿宋_GB2312" w:hAnsi="仿宋" w:eastAsia="仿宋_GB2312"/>
          <w:sz w:val="32"/>
          <w:szCs w:val="32"/>
        </w:rPr>
        <w:t>2023年发放以前年度绩效奖及增加基本工资调</w:t>
      </w:r>
      <w:r>
        <w:rPr>
          <w:rFonts w:hint="eastAsia" w:ascii="仿宋_GB2312" w:hAnsi="仿宋" w:eastAsia="仿宋_GB2312"/>
          <w:sz w:val="32"/>
          <w:szCs w:val="32"/>
          <w:highlight w:val="none"/>
        </w:rPr>
        <w:t>标</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人员晋升</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考核增资</w:t>
      </w:r>
      <w:r>
        <w:rPr>
          <w:rFonts w:hint="eastAsia" w:ascii="仿宋_GB2312" w:hAnsi="仿宋" w:eastAsia="仿宋_GB2312"/>
          <w:sz w:val="32"/>
          <w:szCs w:val="32"/>
          <w:highlight w:val="none"/>
          <w:lang w:eastAsia="zh-CN"/>
        </w:rPr>
        <w:t>；增</w:t>
      </w:r>
      <w:r>
        <w:rPr>
          <w:rFonts w:hint="eastAsia" w:ascii="仿宋_GB2312" w:hAnsi="仿宋" w:eastAsia="仿宋_GB2312"/>
          <w:sz w:val="32"/>
          <w:szCs w:val="32"/>
        </w:rPr>
        <w:t>加2017-2019年</w:t>
      </w:r>
      <w:r>
        <w:rPr>
          <w:rFonts w:hint="eastAsia" w:ascii="仿宋_GB2312" w:hAnsi="仿宋" w:eastAsia="仿宋_GB2312"/>
          <w:sz w:val="32"/>
          <w:szCs w:val="32"/>
          <w:lang w:val="en-US" w:eastAsia="zh-CN"/>
        </w:rPr>
        <w:t>度</w:t>
      </w:r>
      <w:r>
        <w:rPr>
          <w:rFonts w:hint="eastAsia" w:ascii="仿宋_GB2312" w:hAnsi="仿宋" w:eastAsia="仿宋_GB2312"/>
          <w:sz w:val="32"/>
          <w:szCs w:val="32"/>
        </w:rPr>
        <w:t>项目资金预算</w:t>
      </w:r>
      <w:r>
        <w:rPr>
          <w:rFonts w:hint="eastAsia" w:ascii="仿宋_GB2312" w:hAnsi="仿宋" w:eastAsia="仿宋_GB2312"/>
          <w:sz w:val="32"/>
          <w:szCs w:val="32"/>
          <w:lang w:eastAsia="zh-CN"/>
        </w:rPr>
        <w:t>，</w:t>
      </w:r>
      <w:r>
        <w:rPr>
          <w:rFonts w:hint="eastAsia" w:ascii="仿宋_GB2312" w:hAnsi="仿宋" w:eastAsia="仿宋_GB2312"/>
          <w:sz w:val="32"/>
          <w:szCs w:val="32"/>
        </w:rPr>
        <w:t>所以收入支出增加</w:t>
      </w:r>
      <w:r>
        <w:rPr>
          <w:rFonts w:hint="eastAsia" w:ascii="仿宋_GB2312" w:eastAsia="仿宋_GB2312"/>
          <w:sz w:val="32"/>
          <w:szCs w:val="32"/>
        </w:rPr>
        <w:t>。与年初预算相比，年初预算数</w:t>
      </w:r>
      <w:r>
        <w:rPr>
          <w:rFonts w:hint="eastAsia" w:ascii="仿宋_GB2312" w:eastAsia="仿宋_GB2312"/>
          <w:sz w:val="32"/>
          <w:szCs w:val="32"/>
          <w:lang w:val="zh-CN"/>
        </w:rPr>
        <w:t>163.47</w:t>
      </w:r>
      <w:r>
        <w:rPr>
          <w:rFonts w:hint="eastAsia" w:ascii="仿宋_GB2312" w:eastAsia="仿宋_GB2312"/>
          <w:sz w:val="32"/>
          <w:szCs w:val="32"/>
        </w:rPr>
        <w:t>万元，决算数</w:t>
      </w:r>
      <w:r>
        <w:rPr>
          <w:rFonts w:hint="eastAsia" w:ascii="仿宋_GB2312" w:eastAsia="仿宋_GB2312"/>
          <w:sz w:val="32"/>
          <w:szCs w:val="32"/>
          <w:lang w:val="zh-CN"/>
        </w:rPr>
        <w:t>525.67</w:t>
      </w:r>
      <w:r>
        <w:rPr>
          <w:rFonts w:hint="eastAsia" w:ascii="仿宋_GB2312" w:eastAsia="仿宋_GB2312"/>
          <w:sz w:val="32"/>
          <w:szCs w:val="32"/>
        </w:rPr>
        <w:t>万元，预决算差异率221.57%，主要原因是：</w:t>
      </w:r>
      <w:r>
        <w:rPr>
          <w:rFonts w:hint="eastAsia" w:ascii="仿宋_GB2312" w:hAnsi="仿宋" w:eastAsia="仿宋_GB2312"/>
          <w:sz w:val="32"/>
          <w:szCs w:val="32"/>
        </w:rPr>
        <w:t>2023年发放以前年度绩效奖及增加基本工资调</w:t>
      </w:r>
      <w:r>
        <w:rPr>
          <w:rFonts w:hint="eastAsia" w:ascii="仿宋_GB2312" w:hAnsi="仿宋" w:eastAsia="仿宋_GB2312"/>
          <w:sz w:val="32"/>
          <w:szCs w:val="32"/>
          <w:highlight w:val="none"/>
        </w:rPr>
        <w:t>标</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人员晋升</w:t>
      </w:r>
      <w:r>
        <w:rPr>
          <w:rFonts w:hint="eastAsia" w:ascii="仿宋_GB2312" w:hAnsi="仿宋" w:eastAsia="仿宋_GB2312"/>
          <w:sz w:val="32"/>
          <w:szCs w:val="32"/>
          <w:highlight w:val="none"/>
          <w:lang w:eastAsia="zh-CN"/>
        </w:rPr>
        <w:t>，</w:t>
      </w:r>
      <w:r>
        <w:rPr>
          <w:rFonts w:hint="eastAsia" w:ascii="仿宋_GB2312" w:hAnsi="仿宋" w:eastAsia="仿宋_GB2312"/>
          <w:sz w:val="32"/>
          <w:szCs w:val="32"/>
          <w:highlight w:val="none"/>
        </w:rPr>
        <w:t>考核</w:t>
      </w:r>
      <w:r>
        <w:rPr>
          <w:rFonts w:hint="eastAsia" w:ascii="仿宋_GB2312" w:hAnsi="仿宋" w:eastAsia="仿宋_GB2312"/>
          <w:color w:val="000000" w:themeColor="text1"/>
          <w:sz w:val="32"/>
          <w:szCs w:val="32"/>
          <w:highlight w:val="none"/>
        </w:rPr>
        <w:t>增资</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sz w:val="32"/>
          <w:szCs w:val="32"/>
          <w:highlight w:val="none"/>
        </w:rPr>
        <w:t>追</w:t>
      </w:r>
      <w:r>
        <w:rPr>
          <w:rFonts w:hint="eastAsia" w:ascii="仿宋_GB2312" w:hAnsi="仿宋" w:eastAsia="仿宋_GB2312"/>
          <w:sz w:val="32"/>
          <w:szCs w:val="32"/>
        </w:rPr>
        <w:t>加2017-2019年</w:t>
      </w:r>
      <w:r>
        <w:rPr>
          <w:rFonts w:hint="eastAsia" w:ascii="仿宋_GB2312" w:hAnsi="仿宋" w:eastAsia="仿宋_GB2312"/>
          <w:sz w:val="32"/>
          <w:szCs w:val="32"/>
          <w:lang w:val="en-US" w:eastAsia="zh-CN"/>
        </w:rPr>
        <w:t>度</w:t>
      </w:r>
      <w:r>
        <w:rPr>
          <w:rFonts w:hint="eastAsia" w:ascii="仿宋_GB2312" w:hAnsi="仿宋" w:eastAsia="仿宋_GB2312"/>
          <w:sz w:val="32"/>
          <w:szCs w:val="32"/>
        </w:rPr>
        <w:t>项目资金预算</w:t>
      </w:r>
      <w:r>
        <w:rPr>
          <w:rFonts w:hint="eastAsia" w:ascii="仿宋_GB2312" w:hAnsi="仿宋" w:eastAsia="仿宋_GB2312"/>
          <w:sz w:val="32"/>
          <w:szCs w:val="32"/>
          <w:lang w:eastAsia="zh-CN"/>
        </w:rPr>
        <w:t>，</w:t>
      </w:r>
      <w:r>
        <w:rPr>
          <w:rFonts w:hint="eastAsia" w:ascii="仿宋_GB2312" w:hAnsi="仿宋" w:eastAsia="仿宋_GB2312"/>
          <w:color w:val="000000" w:themeColor="text1"/>
          <w:sz w:val="32"/>
          <w:szCs w:val="32"/>
          <w:highlight w:val="none"/>
        </w:rPr>
        <w:t>所以</w:t>
      </w:r>
      <w:r>
        <w:rPr>
          <w:rFonts w:hint="eastAsia" w:ascii="仿宋_GB2312" w:eastAsia="仿宋_GB2312"/>
          <w:color w:val="000000" w:themeColor="text1"/>
          <w:sz w:val="32"/>
          <w:szCs w:val="32"/>
          <w:highlight w:val="none"/>
        </w:rPr>
        <w:t>预决算差异率</w:t>
      </w:r>
      <w:r>
        <w:rPr>
          <w:rFonts w:hint="eastAsia" w:ascii="仿宋_GB2312" w:hAnsi="仿宋" w:eastAsia="仿宋_GB2312"/>
          <w:color w:val="000000" w:themeColor="text1"/>
          <w:sz w:val="32"/>
          <w:szCs w:val="32"/>
          <w:highlight w:val="none"/>
        </w:rPr>
        <w:t>增加</w:t>
      </w:r>
      <w:r>
        <w:rPr>
          <w:rFonts w:hint="eastAsia" w:ascii="仿宋_GB2312" w:eastAsia="仿宋_GB2312"/>
          <w:color w:val="000000" w:themeColor="text1"/>
          <w:sz w:val="32"/>
          <w:szCs w:val="32"/>
        </w:rPr>
        <w:t>。</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color w:val="000000" w:themeColor="text1"/>
          <w:sz w:val="32"/>
          <w:szCs w:val="32"/>
          <w:highlight w:val="none"/>
        </w:rPr>
      </w:pPr>
      <w:r>
        <w:rPr>
          <w:rFonts w:hint="eastAsia" w:ascii="仿宋_GB2312" w:eastAsia="仿宋_GB2312"/>
          <w:sz w:val="32"/>
          <w:szCs w:val="32"/>
        </w:rPr>
        <w:t>2023年度一般公共预算财政拨款支出525.67万元，占本年支出合计的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增加364.49万元</w:t>
      </w:r>
      <w:r>
        <w:rPr>
          <w:rFonts w:hint="eastAsia" w:ascii="仿宋_GB2312" w:eastAsia="仿宋_GB2312"/>
          <w:sz w:val="32"/>
          <w:szCs w:val="32"/>
        </w:rPr>
        <w:t>，增长226.14%,主要原因是：</w:t>
      </w:r>
      <w:r>
        <w:rPr>
          <w:rFonts w:hint="eastAsia" w:ascii="仿宋_GB2312" w:hAnsi="仿宋" w:eastAsia="仿宋_GB2312"/>
          <w:sz w:val="32"/>
          <w:szCs w:val="32"/>
        </w:rPr>
        <w:t>2023年发放以前年度绩效奖及增加基本工资</w:t>
      </w:r>
      <w:r>
        <w:rPr>
          <w:rFonts w:hint="eastAsia" w:ascii="仿宋_GB2312" w:hAnsi="仿宋" w:eastAsia="仿宋_GB2312"/>
          <w:color w:val="000000" w:themeColor="text1"/>
          <w:sz w:val="32"/>
          <w:szCs w:val="32"/>
          <w:highlight w:val="none"/>
        </w:rPr>
        <w:t>调标</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rPr>
        <w:t>人员晋升</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rPr>
        <w:t>考核增资</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rPr>
        <w:t>追加2017-2019年项目资金预算</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rPr>
        <w:t>所以收入支出增大</w:t>
      </w:r>
      <w:r>
        <w:rPr>
          <w:rFonts w:hint="eastAsia" w:ascii="仿宋_GB2312" w:eastAsia="仿宋_GB2312"/>
          <w:color w:val="000000" w:themeColor="text1"/>
          <w:sz w:val="32"/>
          <w:szCs w:val="32"/>
          <w:highlight w:val="none"/>
        </w:rPr>
        <w:t>。与年初预算相比，年初预算数</w:t>
      </w:r>
      <w:r>
        <w:rPr>
          <w:rFonts w:hint="eastAsia" w:ascii="仿宋_GB2312" w:eastAsia="仿宋_GB2312"/>
          <w:color w:val="000000" w:themeColor="text1"/>
          <w:sz w:val="32"/>
          <w:szCs w:val="32"/>
          <w:highlight w:val="none"/>
          <w:lang w:val="zh-CN"/>
        </w:rPr>
        <w:t>163.47</w:t>
      </w:r>
      <w:r>
        <w:rPr>
          <w:rFonts w:hint="eastAsia" w:ascii="仿宋_GB2312" w:eastAsia="仿宋_GB2312"/>
          <w:color w:val="000000" w:themeColor="text1"/>
          <w:sz w:val="32"/>
          <w:szCs w:val="32"/>
          <w:highlight w:val="none"/>
        </w:rPr>
        <w:t>万元，决算数</w:t>
      </w:r>
      <w:r>
        <w:rPr>
          <w:rFonts w:hint="eastAsia" w:ascii="仿宋_GB2312" w:eastAsia="仿宋_GB2312"/>
          <w:color w:val="000000" w:themeColor="text1"/>
          <w:sz w:val="32"/>
          <w:szCs w:val="32"/>
          <w:highlight w:val="none"/>
          <w:lang w:val="zh-CN"/>
        </w:rPr>
        <w:t>525.67</w:t>
      </w:r>
      <w:r>
        <w:rPr>
          <w:rFonts w:hint="eastAsia" w:ascii="仿宋_GB2312" w:eastAsia="仿宋_GB2312"/>
          <w:color w:val="000000" w:themeColor="text1"/>
          <w:sz w:val="32"/>
          <w:szCs w:val="32"/>
          <w:highlight w:val="none"/>
        </w:rPr>
        <w:t>万元，预决算差异率</w:t>
      </w:r>
      <w:r>
        <w:rPr>
          <w:rFonts w:hint="eastAsia" w:ascii="仿宋_GB2312" w:eastAsia="仿宋_GB2312"/>
          <w:color w:val="000000" w:themeColor="text1"/>
          <w:sz w:val="32"/>
          <w:szCs w:val="32"/>
          <w:highlight w:val="none"/>
          <w:lang w:val="zh-CN"/>
        </w:rPr>
        <w:t>221.57%</w:t>
      </w:r>
      <w:r>
        <w:rPr>
          <w:rFonts w:hint="eastAsia" w:ascii="仿宋_GB2312" w:eastAsia="仿宋_GB2312"/>
          <w:color w:val="000000" w:themeColor="text1"/>
          <w:sz w:val="32"/>
          <w:szCs w:val="32"/>
          <w:highlight w:val="none"/>
        </w:rPr>
        <w:t>，主要原因是：</w:t>
      </w:r>
      <w:r>
        <w:rPr>
          <w:rFonts w:hint="eastAsia" w:ascii="仿宋_GB2312" w:hAnsi="仿宋" w:eastAsia="仿宋_GB2312"/>
          <w:color w:val="000000" w:themeColor="text1"/>
          <w:sz w:val="32"/>
          <w:szCs w:val="32"/>
          <w:highlight w:val="none"/>
        </w:rPr>
        <w:t>2023年发放以前年度绩效奖及增加基本工资调标</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rPr>
        <w:t>人员晋升</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rPr>
        <w:t>考核增资</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rPr>
        <w:t>追加2017-2019年项目资金预算</w:t>
      </w:r>
      <w:r>
        <w:rPr>
          <w:rFonts w:hint="eastAsia" w:ascii="仿宋_GB2312" w:hAnsi="仿宋" w:eastAsia="仿宋_GB2312"/>
          <w:color w:val="000000" w:themeColor="text1"/>
          <w:sz w:val="32"/>
          <w:szCs w:val="32"/>
          <w:highlight w:val="none"/>
          <w:lang w:eastAsia="zh-CN"/>
        </w:rPr>
        <w:t>，</w:t>
      </w:r>
      <w:r>
        <w:rPr>
          <w:rFonts w:hint="eastAsia" w:ascii="仿宋_GB2312" w:hAnsi="仿宋" w:eastAsia="仿宋_GB2312"/>
          <w:color w:val="000000" w:themeColor="text1"/>
          <w:sz w:val="32"/>
          <w:szCs w:val="32"/>
          <w:highlight w:val="none"/>
          <w:lang w:val="en-US" w:eastAsia="zh-CN"/>
        </w:rPr>
        <w:t>所以本年</w:t>
      </w:r>
      <w:r>
        <w:rPr>
          <w:rFonts w:hint="eastAsia" w:ascii="仿宋_GB2312" w:eastAsia="仿宋_GB2312"/>
          <w:color w:val="000000" w:themeColor="text1"/>
          <w:sz w:val="32"/>
          <w:szCs w:val="32"/>
          <w:highlight w:val="none"/>
        </w:rPr>
        <w:t>预决算差异率</w:t>
      </w:r>
      <w:r>
        <w:rPr>
          <w:rFonts w:hint="eastAsia" w:ascii="仿宋_GB2312" w:eastAsia="仿宋_GB2312"/>
          <w:color w:val="000000" w:themeColor="text1"/>
          <w:sz w:val="32"/>
          <w:szCs w:val="32"/>
          <w:highlight w:val="none"/>
          <w:lang w:eastAsia="zh-CN"/>
        </w:rPr>
        <w:t>较大</w:t>
      </w:r>
      <w:r>
        <w:rPr>
          <w:rFonts w:hint="eastAsia" w:ascii="仿宋_GB2312" w:eastAsia="仿宋_GB2312"/>
          <w:color w:val="000000" w:themeColor="text1"/>
          <w:sz w:val="32"/>
          <w:szCs w:val="32"/>
          <w:highlight w:val="none"/>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1.社会保障和就业支出（类）</w:t>
      </w:r>
      <w:r>
        <w:rPr>
          <w:rFonts w:hint="eastAsia" w:ascii="仿宋_GB2312" w:eastAsia="仿宋_GB2312"/>
          <w:kern w:val="2"/>
          <w:sz w:val="32"/>
          <w:szCs w:val="32"/>
          <w:lang w:val="zh-CN"/>
        </w:rPr>
        <w:t>21.18</w:t>
      </w:r>
      <w:r>
        <w:rPr>
          <w:rFonts w:ascii="仿宋_GB2312" w:eastAsia="仿宋_GB2312"/>
          <w:kern w:val="2"/>
          <w:sz w:val="32"/>
          <w:szCs w:val="32"/>
          <w:lang w:val="zh-CN"/>
        </w:rPr>
        <w:t>万元，占</w:t>
      </w:r>
      <w:r>
        <w:rPr>
          <w:rFonts w:hint="eastAsia" w:ascii="仿宋_GB2312" w:eastAsia="仿宋_GB2312"/>
          <w:kern w:val="2"/>
          <w:sz w:val="32"/>
          <w:szCs w:val="32"/>
          <w:lang w:val="zh-CN"/>
        </w:rPr>
        <w:t>4.03%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5.96</w:t>
      </w:r>
      <w:r>
        <w:rPr>
          <w:rFonts w:ascii="仿宋_GB2312" w:eastAsia="仿宋_GB2312"/>
          <w:kern w:val="2"/>
          <w:sz w:val="32"/>
          <w:szCs w:val="32"/>
          <w:lang w:val="zh-CN"/>
        </w:rPr>
        <w:t>万元，占</w:t>
      </w:r>
      <w:r>
        <w:rPr>
          <w:rFonts w:hint="eastAsia" w:ascii="仿宋_GB2312" w:eastAsia="仿宋_GB2312"/>
          <w:kern w:val="2"/>
          <w:sz w:val="32"/>
          <w:szCs w:val="32"/>
          <w:lang w:val="zh-CN"/>
        </w:rPr>
        <w:t>1.13%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.节能环保支出（类）</w:t>
      </w:r>
      <w:r>
        <w:rPr>
          <w:rFonts w:hint="eastAsia" w:ascii="仿宋_GB2312" w:eastAsia="仿宋_GB2312"/>
          <w:kern w:val="2"/>
          <w:sz w:val="32"/>
          <w:szCs w:val="32"/>
          <w:lang w:val="zh-CN"/>
        </w:rPr>
        <w:t>364.58</w:t>
      </w:r>
      <w:r>
        <w:rPr>
          <w:rFonts w:ascii="仿宋_GB2312" w:eastAsia="仿宋_GB2312"/>
          <w:kern w:val="2"/>
          <w:sz w:val="32"/>
          <w:szCs w:val="32"/>
          <w:lang w:val="zh-CN"/>
        </w:rPr>
        <w:t>万元，占</w:t>
      </w:r>
      <w:r>
        <w:rPr>
          <w:rFonts w:hint="eastAsia" w:ascii="仿宋_GB2312" w:eastAsia="仿宋_GB2312"/>
          <w:kern w:val="2"/>
          <w:sz w:val="32"/>
          <w:szCs w:val="32"/>
          <w:lang w:val="zh-CN"/>
        </w:rPr>
        <w:t>69.36%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hAnsi="仿宋_GB2312" w:eastAsia="仿宋_GB2312" w:cs="仿宋_GB2312"/>
          <w:kern w:val="2"/>
          <w:sz w:val="32"/>
          <w:szCs w:val="32"/>
          <w:lang w:val="zh-CN"/>
        </w:rPr>
        <w:t>4.农林水支出（类）123.68万元，占</w:t>
      </w:r>
      <w:r>
        <w:rPr>
          <w:rFonts w:hint="eastAsia" w:ascii="仿宋_GB2312" w:eastAsia="仿宋_GB2312"/>
          <w:kern w:val="2"/>
          <w:sz w:val="32"/>
          <w:szCs w:val="32"/>
          <w:lang w:val="zh-CN"/>
        </w:rPr>
        <w:t>23.53%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10.27</w:t>
      </w:r>
      <w:r>
        <w:rPr>
          <w:rFonts w:ascii="仿宋_GB2312" w:eastAsia="仿宋_GB2312"/>
          <w:kern w:val="2"/>
          <w:sz w:val="32"/>
          <w:szCs w:val="32"/>
          <w:lang w:val="zh-CN"/>
        </w:rPr>
        <w:t>万元，占</w:t>
      </w:r>
      <w:r>
        <w:rPr>
          <w:rFonts w:hint="eastAsia" w:ascii="仿宋_GB2312" w:eastAsia="仿宋_GB2312"/>
          <w:kern w:val="2"/>
          <w:sz w:val="32"/>
          <w:szCs w:val="32"/>
          <w:lang w:val="zh-CN"/>
        </w:rPr>
        <w:t>1.95%</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1.农林水支出（类）林业和草原（款）事业机构（项）:支出决算数为113.41万元，比上年决算增加8.66万元，增长8.27%，主要原因是：</w:t>
      </w:r>
      <w:r>
        <w:rPr>
          <w:rFonts w:hint="eastAsia" w:ascii="仿宋_GB2312" w:eastAsia="仿宋_GB2312"/>
          <w:sz w:val="32"/>
          <w:szCs w:val="32"/>
        </w:rPr>
        <w:t>我单位2023年增加绩效考核奖及基本工资调标、工资基数增加，所以支出增大。</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2.卫生健康支出（类）行政事业单位医疗（款）事业单位医疗（项）:支出决算数为5.96万元，比上年决算减少6.04万元，下降50.33%，主要原因是：</w:t>
      </w:r>
      <w:r>
        <w:rPr>
          <w:rFonts w:hint="eastAsia" w:ascii="仿宋_GB2312" w:hAnsi="仿宋_GB2312" w:eastAsia="仿宋_GB2312" w:cs="仿宋_GB2312"/>
          <w:sz w:val="32"/>
          <w:szCs w:val="32"/>
          <w:lang w:val="zh-CN"/>
        </w:rPr>
        <w:t>单位退休人员已终止医疗缴费，故基本医疗相应缴费减少。</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3.节能环保支出（类）自然生态保护（款）草原生态修复治理（项）:支出决算数为284.15万元，比上年决算增加271.15万元，增长2085.77%，主要原因是：我单位当年增加</w:t>
      </w:r>
      <w:r>
        <w:rPr>
          <w:rFonts w:hint="eastAsia" w:ascii="仿宋_GB2312" w:hAnsi="仿宋_GB2312" w:eastAsia="仿宋_GB2312" w:cs="仿宋_GB2312"/>
          <w:sz w:val="32"/>
          <w:szCs w:val="32"/>
          <w:lang w:val="zh-CN"/>
        </w:rPr>
        <w:t>2022年第二批中央林业草原生态保护修复资金271.81万元。</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4.住房保障支出（类）住房改革支出（款）住房公积金（项）:支出决算数为10.27万元，比上年决算增加0.58万元，增长5.99%，主要原因是：</w:t>
      </w:r>
      <w:r>
        <w:rPr>
          <w:rFonts w:hint="eastAsia" w:ascii="仿宋_GB2312" w:eastAsia="仿宋_GB2312"/>
          <w:sz w:val="32"/>
          <w:szCs w:val="32"/>
        </w:rPr>
        <w:t>我单位2023年增加绩效考核奖及基本工资调标、</w:t>
      </w:r>
      <w:r>
        <w:rPr>
          <w:rFonts w:hint="eastAsia" w:ascii="仿宋_GB2312" w:eastAsia="仿宋_GB2312"/>
          <w:sz w:val="32"/>
          <w:szCs w:val="32"/>
          <w:lang w:eastAsia="zh-CN"/>
        </w:rPr>
        <w:t>缴费</w:t>
      </w:r>
      <w:r>
        <w:rPr>
          <w:rFonts w:hint="eastAsia" w:ascii="仿宋_GB2312" w:eastAsia="仿宋_GB2312"/>
          <w:sz w:val="32"/>
          <w:szCs w:val="32"/>
        </w:rPr>
        <w:t xml:space="preserve">基数增加，所以住房公积金增加。 </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5.节能环保支出（类）自然生态保护（款）其他自然生态保护支出（项）:支出决算数为80.44万元，比上年决算增加80.44万元，增长100%，主要原因是：2023年增加2019-2020年度</w:t>
      </w:r>
      <w:r>
        <w:rPr>
          <w:rFonts w:hint="eastAsia" w:ascii="仿宋_GB2312" w:hAnsi="仿宋_GB2312" w:eastAsia="仿宋_GB2312" w:cs="仿宋_GB2312"/>
          <w:sz w:val="32"/>
          <w:szCs w:val="32"/>
          <w:lang w:val="zh-CN"/>
        </w:rPr>
        <w:t>中央林业生态保护恢复资金。</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6.社会保障和就业支出（类）行政事业单位养老支出（款）事业单位离退休（项）:支出决算数为8.13万元，比上年决算增加3.18万元，增长64.24%，主要原因是：</w:t>
      </w:r>
      <w:r>
        <w:rPr>
          <w:rFonts w:hint="eastAsia" w:ascii="仿宋_GB2312" w:hAnsi="仿宋" w:eastAsia="仿宋_GB2312"/>
          <w:sz w:val="32"/>
          <w:szCs w:val="32"/>
        </w:rPr>
        <w:t>2023年增加绩效考核奖及基本工资调标，所以支出增加</w:t>
      </w:r>
      <w:r>
        <w:rPr>
          <w:rFonts w:hint="eastAsia" w:ascii="仿宋_GB2312" w:hAnsi="仿宋_GB2312" w:eastAsia="仿宋_GB2312" w:cs="仿宋_GB2312"/>
          <w:sz w:val="32"/>
          <w:szCs w:val="32"/>
          <w:lang w:val="zh-CN"/>
        </w:rPr>
        <w:t>。</w:t>
      </w:r>
    </w:p>
    <w:p>
      <w:pPr>
        <w:ind w:firstLine="640" w:firstLineChars="200"/>
        <w:rPr>
          <w:rFonts w:ascii="仿宋_GB2312" w:eastAsia="仿宋_GB2312"/>
          <w:sz w:val="32"/>
          <w:szCs w:val="32"/>
        </w:rPr>
      </w:pPr>
      <w:r>
        <w:rPr>
          <w:rFonts w:hint="eastAsia" w:ascii="仿宋_GB2312" w:hAnsi="仿宋_GB2312" w:eastAsia="仿宋_GB2312" w:cs="仿宋_GB2312"/>
          <w:sz w:val="32"/>
          <w:szCs w:val="32"/>
        </w:rPr>
        <w:t>7.农林水支出（类）林业和草原（款）其他林业和草原支出（项）:支出决算数为3.50万元，比上年决算减少2.37万元，下降40.37%，主要原因是：</w:t>
      </w:r>
      <w:r>
        <w:rPr>
          <w:rFonts w:hint="eastAsia" w:ascii="仿宋_GB2312" w:eastAsia="仿宋_GB2312"/>
          <w:sz w:val="32"/>
          <w:szCs w:val="32"/>
        </w:rPr>
        <w:t>我单位当年2023年草原植被恢复费项目资金任务减少。</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8.农林水支出（类）林业和草原（款）林业草原防灾减灾（项）:支出决算数为6.77万元，比上年决算增加6.77万元，增长100%，主要原因是：2023年增加项目资金，</w:t>
      </w:r>
      <w:r>
        <w:rPr>
          <w:rFonts w:hint="eastAsia" w:ascii="仿宋_GB2312" w:hAnsi="仿宋_GB2312" w:eastAsia="仿宋_GB2312" w:cs="仿宋_GB2312"/>
          <w:sz w:val="32"/>
          <w:szCs w:val="32"/>
          <w:lang w:val="zh-CN"/>
        </w:rPr>
        <w:t>2022年度林业发展改革项目资金6.77万元。</w:t>
      </w:r>
    </w:p>
    <w:p>
      <w:pPr>
        <w:ind w:firstLine="640" w:firstLineChars="200"/>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9.社会保障和就业支出（类）行政事业单位养老支出（款）机关事业单位基本养老保险缴费支出（项）:支出决算数为13.05万元，比上年决算增加2.14万元，增长19.62%，主要原因是：2023年增加绩效考核奖及基本工资调标、人员职务晋升、考核增资等原因单位养老支出基础增加</w:t>
      </w:r>
      <w:r>
        <w:rPr>
          <w:rFonts w:hint="eastAsia" w:ascii="仿宋_GB2312" w:hAnsi="仿宋_GB2312" w:eastAsia="仿宋_GB2312" w:cs="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150.82万元，其中：人员经费148.22万元，包括：基本工资、津贴补贴、奖金、绩效工资、机关事业单位基本养老保险缴费、职工基本医疗保险缴费、其他社会保障缴费、住房公积金、退休费、抚恤金、生活补助、其他对个人和家庭的补助。</w:t>
      </w:r>
    </w:p>
    <w:p>
      <w:pPr>
        <w:ind w:firstLine="640" w:firstLineChars="200"/>
        <w:jc w:val="left"/>
        <w:rPr>
          <w:rFonts w:ascii="仿宋_GB2312" w:eastAsia="仿宋_GB2312"/>
          <w:sz w:val="32"/>
          <w:szCs w:val="32"/>
        </w:rPr>
      </w:pPr>
      <w:r>
        <w:rPr>
          <w:rFonts w:hint="eastAsia" w:ascii="仿宋_GB2312" w:eastAsia="仿宋_GB2312"/>
          <w:sz w:val="32"/>
          <w:szCs w:val="32"/>
        </w:rPr>
        <w:t>公用经费2.60万元，包括：办公费、物业管理费、差旅费、培训费、工会经费。</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color w:val="000000" w:themeColor="text1"/>
          <w:sz w:val="32"/>
          <w:szCs w:val="32"/>
          <w:lang w:val="zh-CN"/>
        </w:rPr>
        <w:t>2023年度</w:t>
      </w:r>
      <w:r>
        <w:rPr>
          <w:rFonts w:hint="eastAsia" w:ascii="仿宋_GB2312" w:eastAsia="仿宋_GB2312"/>
          <w:color w:val="000000" w:themeColor="text1"/>
          <w:sz w:val="32"/>
          <w:szCs w:val="32"/>
        </w:rPr>
        <w:t>财政拨款</w:t>
      </w:r>
      <w:r>
        <w:rPr>
          <w:rFonts w:hint="eastAsia" w:ascii="仿宋_GB2312" w:eastAsia="仿宋_GB2312"/>
          <w:color w:val="000000" w:themeColor="text1"/>
          <w:sz w:val="32"/>
          <w:szCs w:val="32"/>
          <w:lang w:val="zh-CN"/>
        </w:rPr>
        <w:t>“三公”经费支出3.81万元，</w:t>
      </w:r>
      <w:r>
        <w:rPr>
          <w:rFonts w:hint="eastAsia" w:ascii="仿宋_GB2312" w:eastAsia="仿宋_GB2312"/>
          <w:color w:val="000000" w:themeColor="text1"/>
          <w:sz w:val="32"/>
          <w:szCs w:val="32"/>
        </w:rPr>
        <w:t>比上年</w:t>
      </w:r>
      <w:r>
        <w:rPr>
          <w:rFonts w:hint="eastAsia" w:ascii="仿宋_GB2312" w:eastAsia="仿宋_GB2312"/>
          <w:color w:val="000000" w:themeColor="text1"/>
          <w:sz w:val="32"/>
          <w:szCs w:val="32"/>
          <w:lang w:val="zh-CN"/>
        </w:rPr>
        <w:t>增加1.53万元，</w:t>
      </w:r>
      <w:r>
        <w:rPr>
          <w:rFonts w:hint="eastAsia" w:ascii="仿宋_GB2312" w:eastAsia="仿宋_GB2312"/>
          <w:color w:val="000000" w:themeColor="text1"/>
          <w:sz w:val="32"/>
          <w:szCs w:val="32"/>
        </w:rPr>
        <w:t>增长67.11%,</w:t>
      </w:r>
      <w:r>
        <w:rPr>
          <w:rFonts w:hint="eastAsia" w:ascii="仿宋_GB2312" w:eastAsia="仿宋_GB2312"/>
          <w:color w:val="000000" w:themeColor="text1"/>
          <w:sz w:val="32"/>
          <w:szCs w:val="32"/>
          <w:lang w:val="zh-CN"/>
        </w:rPr>
        <w:t>主要原因是：</w:t>
      </w:r>
      <w:r>
        <w:rPr>
          <w:rFonts w:hint="eastAsia" w:ascii="仿宋_GB2312" w:eastAsia="仿宋_GB2312"/>
          <w:color w:val="000000" w:themeColor="text1"/>
          <w:sz w:val="32"/>
          <w:szCs w:val="32"/>
          <w:lang w:val="en-US" w:eastAsia="zh-CN"/>
        </w:rPr>
        <w:t>2023年因工作需要业务工作量增大</w:t>
      </w:r>
      <w:r>
        <w:rPr>
          <w:rFonts w:hint="eastAsia" w:ascii="仿宋_GB2312" w:eastAsia="仿宋_GB2312"/>
          <w:color w:val="auto"/>
          <w:sz w:val="32"/>
          <w:szCs w:val="32"/>
          <w:lang w:eastAsia="zh-CN"/>
        </w:rPr>
        <w:t>车辆使用次数增加</w:t>
      </w:r>
      <w:r>
        <w:rPr>
          <w:rFonts w:hint="eastAsia" w:ascii="仿宋_GB2312" w:eastAsia="仿宋_GB2312"/>
          <w:color w:val="000000" w:themeColor="text1"/>
          <w:sz w:val="32"/>
          <w:szCs w:val="32"/>
          <w:lang w:val="en-US" w:eastAsia="zh-CN"/>
        </w:rPr>
        <w:t>支出业务车辆维修费</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比上年</w:t>
      </w:r>
      <w:r>
        <w:rPr>
          <w:rFonts w:hint="eastAsia" w:ascii="仿宋_GB2312" w:eastAsia="仿宋_GB2312"/>
          <w:color w:val="000000" w:themeColor="text1"/>
          <w:sz w:val="32"/>
          <w:szCs w:val="32"/>
          <w:lang w:val="zh-CN"/>
        </w:rPr>
        <w:t>增加</w:t>
      </w:r>
      <w:r>
        <w:rPr>
          <w:rFonts w:hint="eastAsia" w:ascii="仿宋_GB2312" w:eastAsia="仿宋_GB2312"/>
          <w:color w:val="000000" w:themeColor="text1"/>
          <w:sz w:val="32"/>
          <w:szCs w:val="32"/>
          <w:lang w:val="en-US" w:eastAsia="zh-CN"/>
        </w:rPr>
        <w:t>了</w:t>
      </w:r>
      <w:r>
        <w:rPr>
          <w:rFonts w:hint="eastAsia" w:ascii="仿宋_GB2312" w:eastAsia="仿宋_GB2312"/>
          <w:color w:val="000000" w:themeColor="text1"/>
          <w:sz w:val="32"/>
          <w:szCs w:val="32"/>
          <w:lang w:val="zh-CN"/>
        </w:rPr>
        <w:t>“三公”经费支出。其中：因公出国（境）费支出0.00万元，占0.00%，比上年增加0.00万元，</w:t>
      </w:r>
      <w:r>
        <w:rPr>
          <w:rFonts w:hint="eastAsia" w:ascii="仿宋_GB2312" w:eastAsia="仿宋_GB2312"/>
          <w:color w:val="000000" w:themeColor="text1"/>
          <w:sz w:val="32"/>
          <w:szCs w:val="32"/>
        </w:rPr>
        <w:t>增长0.00%,</w:t>
      </w:r>
      <w:r>
        <w:rPr>
          <w:rFonts w:hint="eastAsia" w:ascii="仿宋_GB2312" w:eastAsia="仿宋_GB2312"/>
          <w:color w:val="000000" w:themeColor="text1"/>
          <w:sz w:val="32"/>
          <w:szCs w:val="32"/>
          <w:lang w:val="zh-CN"/>
        </w:rPr>
        <w:t>主要原因是：</w:t>
      </w:r>
      <w:r>
        <w:rPr>
          <w:rFonts w:hint="eastAsia" w:ascii="仿宋_GB2312" w:eastAsia="仿宋_GB2312"/>
          <w:color w:val="000000" w:themeColor="text1"/>
          <w:sz w:val="32"/>
          <w:szCs w:val="32"/>
        </w:rPr>
        <w:t>我单位无因公出国（境）费支出</w:t>
      </w:r>
      <w:r>
        <w:rPr>
          <w:rFonts w:hint="eastAsia" w:ascii="仿宋_GB2312" w:eastAsia="仿宋_GB2312"/>
          <w:color w:val="000000" w:themeColor="text1"/>
          <w:sz w:val="32"/>
          <w:szCs w:val="32"/>
          <w:lang w:val="zh-CN"/>
        </w:rPr>
        <w:t>；公务用车购置及运行维护费支出3.81万元，占100.00%，比上年增加1.81万元，</w:t>
      </w:r>
      <w:r>
        <w:rPr>
          <w:rFonts w:hint="eastAsia" w:ascii="仿宋_GB2312" w:eastAsia="仿宋_GB2312"/>
          <w:color w:val="000000" w:themeColor="text1"/>
          <w:sz w:val="32"/>
          <w:szCs w:val="32"/>
        </w:rPr>
        <w:t>增长90.50%,</w:t>
      </w:r>
      <w:r>
        <w:rPr>
          <w:rFonts w:hint="eastAsia" w:ascii="仿宋_GB2312" w:eastAsia="仿宋_GB2312"/>
          <w:color w:val="000000" w:themeColor="text1"/>
          <w:sz w:val="32"/>
          <w:szCs w:val="32"/>
          <w:lang w:val="zh-CN"/>
        </w:rPr>
        <w:t>主要原因是：</w:t>
      </w:r>
      <w:r>
        <w:rPr>
          <w:rFonts w:hint="eastAsia" w:ascii="仿宋_GB2312" w:eastAsia="仿宋_GB2312"/>
          <w:color w:val="000000" w:themeColor="text1"/>
          <w:sz w:val="32"/>
          <w:szCs w:val="32"/>
          <w:lang w:val="en-US" w:eastAsia="zh-CN"/>
        </w:rPr>
        <w:t>2023年因工作需要业务工作量增大</w:t>
      </w:r>
      <w:r>
        <w:rPr>
          <w:rFonts w:hint="eastAsia" w:ascii="仿宋_GB2312" w:eastAsia="仿宋_GB2312"/>
          <w:color w:val="auto"/>
          <w:sz w:val="32"/>
          <w:szCs w:val="32"/>
          <w:lang w:eastAsia="zh-CN"/>
        </w:rPr>
        <w:t>车辆使用次数增加</w:t>
      </w:r>
      <w:r>
        <w:rPr>
          <w:rFonts w:hint="eastAsia" w:ascii="仿宋_GB2312" w:eastAsia="仿宋_GB2312"/>
          <w:color w:val="000000" w:themeColor="text1"/>
          <w:sz w:val="32"/>
          <w:szCs w:val="32"/>
          <w:lang w:val="en-US" w:eastAsia="zh-CN"/>
        </w:rPr>
        <w:t>支出业务车辆维修费</w:t>
      </w:r>
      <w:r>
        <w:rPr>
          <w:rFonts w:hint="eastAsia" w:ascii="仿宋_GB2312" w:eastAsia="仿宋_GB2312"/>
          <w:color w:val="000000" w:themeColor="text1"/>
          <w:sz w:val="32"/>
          <w:szCs w:val="32"/>
          <w:lang w:eastAsia="zh-CN"/>
        </w:rPr>
        <w:t>，</w:t>
      </w:r>
      <w:r>
        <w:rPr>
          <w:rFonts w:hint="eastAsia" w:ascii="仿宋_GB2312" w:eastAsia="仿宋_GB2312"/>
          <w:color w:val="000000" w:themeColor="text1"/>
          <w:sz w:val="32"/>
          <w:szCs w:val="32"/>
        </w:rPr>
        <w:t>比上年</w:t>
      </w:r>
      <w:r>
        <w:rPr>
          <w:rFonts w:hint="eastAsia" w:ascii="仿宋_GB2312" w:eastAsia="仿宋_GB2312"/>
          <w:color w:val="000000" w:themeColor="text1"/>
          <w:sz w:val="32"/>
          <w:szCs w:val="32"/>
          <w:lang w:val="zh-CN"/>
        </w:rPr>
        <w:t>增加</w:t>
      </w:r>
      <w:r>
        <w:rPr>
          <w:rFonts w:hint="eastAsia" w:ascii="仿宋_GB2312" w:eastAsia="仿宋_GB2312"/>
          <w:color w:val="000000" w:themeColor="text1"/>
          <w:sz w:val="32"/>
          <w:szCs w:val="32"/>
          <w:lang w:val="en-US" w:eastAsia="zh-CN"/>
        </w:rPr>
        <w:t>了</w:t>
      </w:r>
      <w:r>
        <w:rPr>
          <w:rFonts w:hint="eastAsia" w:ascii="仿宋_GB2312" w:eastAsia="仿宋_GB2312"/>
          <w:color w:val="000000" w:themeColor="text1"/>
          <w:sz w:val="32"/>
          <w:szCs w:val="32"/>
          <w:lang w:val="zh-CN"/>
        </w:rPr>
        <w:t>“三公”经费支出；公务接待费支出0.00万元，占0.00%，比上年减少0.</w:t>
      </w:r>
      <w:r>
        <w:rPr>
          <w:rFonts w:hint="eastAsia" w:ascii="仿宋_GB2312" w:eastAsia="仿宋_GB2312"/>
          <w:sz w:val="32"/>
          <w:szCs w:val="32"/>
          <w:lang w:val="zh-CN"/>
        </w:rPr>
        <w:t>28万元，</w:t>
      </w:r>
      <w:r>
        <w:rPr>
          <w:rFonts w:hint="eastAsia" w:ascii="仿宋_GB2312" w:eastAsia="仿宋_GB2312"/>
          <w:sz w:val="32"/>
          <w:szCs w:val="32"/>
        </w:rPr>
        <w:t>下降100.00%,</w:t>
      </w:r>
      <w:r>
        <w:rPr>
          <w:rFonts w:hint="eastAsia" w:ascii="仿宋_GB2312" w:eastAsia="仿宋_GB2312"/>
          <w:sz w:val="32"/>
          <w:szCs w:val="32"/>
          <w:lang w:val="zh-CN"/>
        </w:rPr>
        <w:t>主要原因是：</w:t>
      </w:r>
      <w:r>
        <w:rPr>
          <w:rFonts w:hint="eastAsia" w:ascii="仿宋_GB2312" w:eastAsia="仿宋_GB2312"/>
          <w:sz w:val="32"/>
          <w:szCs w:val="32"/>
        </w:rPr>
        <w:t>我单位本年度没有公务接待费支出</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color w:val="auto"/>
          <w:sz w:val="32"/>
          <w:szCs w:val="32"/>
          <w:lang w:val="zh-CN"/>
        </w:rPr>
        <w:t>开支内容包括</w:t>
      </w:r>
      <w:r>
        <w:rPr>
          <w:rFonts w:hint="eastAsia" w:ascii="仿宋_GB2312" w:eastAsia="仿宋_GB2312"/>
          <w:sz w:val="32"/>
          <w:szCs w:val="32"/>
        </w:rPr>
        <w:t>我单位无因公出国（境）费支出</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公务用车购置及运行维护费3.81万元，其中：公务用车购置费0.00万元，公务用车运行维护费3.81万元。公务用车运行维护费开支内容包括</w:t>
      </w:r>
      <w:r>
        <w:rPr>
          <w:rFonts w:hint="eastAsia" w:ascii="仿宋_GB2312" w:eastAsia="仿宋_GB2312"/>
          <w:sz w:val="32"/>
          <w:szCs w:val="32"/>
        </w:rPr>
        <w:t>专项资金3.81万元车辆</w:t>
      </w:r>
      <w:r>
        <w:rPr>
          <w:rFonts w:hint="eastAsia" w:ascii="仿宋_GB2312" w:eastAsia="仿宋_GB2312"/>
          <w:sz w:val="32"/>
          <w:szCs w:val="32"/>
          <w:lang w:val="en-US" w:eastAsia="zh-CN"/>
        </w:rPr>
        <w:t>维修费及</w:t>
      </w:r>
      <w:r>
        <w:rPr>
          <w:rFonts w:hint="eastAsia" w:ascii="仿宋_GB2312" w:eastAsia="仿宋_GB2312"/>
          <w:sz w:val="32"/>
          <w:szCs w:val="32"/>
        </w:rPr>
        <w:t>加油款</w:t>
      </w:r>
      <w:r>
        <w:rPr>
          <w:rFonts w:hint="eastAsia" w:ascii="仿宋_GB2312" w:eastAsia="仿宋_GB2312"/>
          <w:sz w:val="32"/>
          <w:szCs w:val="32"/>
          <w:lang w:val="zh-CN"/>
        </w:rPr>
        <w:t>。公务用车购置数0辆，公务用车保有量2辆。国有资产占用情况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与公务用车保有量差异原因是：数量一致无差异。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预算数3.81万元，决算数3.81万元，预决算差异率0.00%，主要原因是：</w:t>
      </w:r>
      <w:r>
        <w:rPr>
          <w:rFonts w:hint="eastAsia" w:ascii="仿宋_GB2312" w:eastAsia="仿宋_GB2312"/>
          <w:sz w:val="32"/>
          <w:szCs w:val="32"/>
        </w:rPr>
        <w:t>财政拨款“三公”经费支出预算数和决算数无变化，预决算无差异。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我单位未安排因公出国（境）费，预决算无差异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我单位未安排公务用车购置费，预决算无差异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预算数3.81万元，决算数3.81万元，预决算差异率0.00%，主要原因是：</w:t>
      </w:r>
      <w:r>
        <w:rPr>
          <w:rFonts w:hint="eastAsia" w:ascii="仿宋_GB2312" w:hAnsi="宋体" w:eastAsia="仿宋_GB2312" w:cs="宋体"/>
          <w:kern w:val="0"/>
          <w:sz w:val="32"/>
          <w:szCs w:val="32"/>
        </w:rPr>
        <w:t>公务用车运行费预算数和决算数无变化，预决算无差异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我单位本年未安排公务接待费，预决算无差异。</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沙湾市草原站（事业单位）公用经费支出2.60万元，</w:t>
      </w:r>
      <w:r>
        <w:rPr>
          <w:rFonts w:hint="eastAsia" w:ascii="仿宋_GB2312" w:hAnsi="仿宋_GB2312" w:eastAsia="仿宋_GB2312" w:cs="仿宋_GB2312"/>
          <w:sz w:val="32"/>
          <w:szCs w:val="32"/>
          <w:lang w:val="zh-CN"/>
        </w:rPr>
        <w:t>比上年减少2.34万元，下降47.37%，主要原因是：</w:t>
      </w:r>
      <w:r>
        <w:rPr>
          <w:rFonts w:hint="eastAsia" w:ascii="仿宋_GB2312" w:eastAsia="仿宋_GB2312"/>
          <w:sz w:val="32"/>
          <w:szCs w:val="32"/>
        </w:rPr>
        <w:t>我单位在公用</w:t>
      </w:r>
      <w:r>
        <w:rPr>
          <w:rFonts w:hint="eastAsia" w:ascii="仿宋_GB2312" w:eastAsia="仿宋_GB2312"/>
          <w:sz w:val="32"/>
          <w:szCs w:val="32"/>
          <w:lang w:val="en-US" w:eastAsia="zh-CN"/>
        </w:rPr>
        <w:t>厉行节约</w:t>
      </w:r>
      <w:r>
        <w:rPr>
          <w:rFonts w:hint="eastAsia" w:ascii="仿宋_GB2312" w:eastAsia="仿宋_GB2312"/>
          <w:sz w:val="32"/>
          <w:szCs w:val="32"/>
        </w:rPr>
        <w:t>，</w:t>
      </w:r>
      <w:r>
        <w:rPr>
          <w:rFonts w:hint="eastAsia" w:ascii="仿宋_GB2312" w:eastAsia="仿宋_GB2312"/>
          <w:sz w:val="32"/>
          <w:szCs w:val="32"/>
          <w:lang w:val="en-US" w:eastAsia="zh-CN"/>
        </w:rPr>
        <w:t>办公费比去年减少1.07万元，公务用车运行维护费取暖费等比去年减少1.27万元，</w:t>
      </w:r>
      <w:r>
        <w:rPr>
          <w:rFonts w:hint="eastAsia" w:ascii="仿宋_GB2312" w:eastAsia="仿宋_GB2312"/>
          <w:sz w:val="32"/>
          <w:szCs w:val="32"/>
        </w:rPr>
        <w:t>保质保量完成了各项任</w:t>
      </w:r>
      <w:bookmarkStart w:id="48" w:name="_GoBack"/>
      <w:bookmarkEnd w:id="48"/>
      <w:r>
        <w:rPr>
          <w:rFonts w:hint="eastAsia" w:ascii="仿宋_GB2312" w:eastAsia="仿宋_GB2312"/>
          <w:sz w:val="32"/>
          <w:szCs w:val="32"/>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2023年度政府采购支出总额368.25万元，其中：政府采购货物支出317.34万元、政府采购工程支出27.80万元、政府采购服务支出23.11万元。</w:t>
      </w:r>
    </w:p>
    <w:p>
      <w:pPr>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授予中小企业合同金额368.25万元，占政府采购支出总额的100.00%，其中：授予小微企业合同金额368.25万元，占政府采购支出总额的100.00%</w:t>
      </w:r>
      <w:r>
        <w:rPr>
          <w:rFonts w:hint="eastAsia" w:ascii="仿宋_GB2312" w:hAnsi="仿宋_GB2312" w:eastAsia="仿宋_GB2312" w:cs="仿宋_GB2312"/>
          <w:sz w:val="32"/>
          <w:szCs w:val="32"/>
        </w:rPr>
        <w:t>。</w:t>
      </w:r>
    </w:p>
    <w:p>
      <w:pPr>
        <w:ind w:firstLine="640" w:firstLineChars="200"/>
        <w:jc w:val="left"/>
        <w:rPr>
          <w:rFonts w:ascii="仿宋_GB2312" w:hAnsi="仿宋_GB2312" w:eastAsia="仿宋_GB2312" w:cs="仿宋_GB2312"/>
          <w:sz w:val="32"/>
          <w:szCs w:val="30"/>
          <w:lang w:val="zh-CN"/>
        </w:rPr>
      </w:pPr>
      <w:bookmarkStart w:id="26" w:name="_Toc8391"/>
      <w:bookmarkStart w:id="27" w:name="_Toc4591"/>
      <w:r>
        <w:rPr>
          <w:rFonts w:hint="eastAsia" w:ascii="仿宋_GB2312" w:hAnsi="仿宋_GB2312" w:eastAsia="仿宋_GB2312" w:cs="仿宋_GB2312"/>
          <w:sz w:val="32"/>
          <w:szCs w:val="30"/>
          <w:lang w:val="zh-CN"/>
        </w:rPr>
        <w:t>（三）国有资产占用情况说明</w:t>
      </w:r>
      <w:bookmarkEnd w:id="26"/>
      <w:bookmarkEnd w:id="27"/>
    </w:p>
    <w:p>
      <w:pPr>
        <w:ind w:firstLine="640" w:firstLineChars="200"/>
        <w:jc w:val="left"/>
        <w:rPr>
          <w:rFonts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49.18</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屋70.00平方米，价值2.75万元。车辆2辆，价值21.16万元，其中：副部（省）级及以上领导用车0辆、主要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用车0辆、其他用车2辆，其他用车主要是：</w:t>
      </w:r>
      <w:r>
        <w:rPr>
          <w:rFonts w:hint="eastAsia" w:ascii="仿宋_GB2312" w:eastAsia="仿宋_GB2312"/>
          <w:sz w:val="32"/>
          <w:szCs w:val="32"/>
        </w:rPr>
        <w:t>业务用车</w:t>
      </w:r>
      <w:r>
        <w:rPr>
          <w:rFonts w:hint="eastAsia" w:ascii="仿宋_GB2312" w:eastAsia="仿宋_GB2312"/>
          <w:sz w:val="32"/>
          <w:szCs w:val="32"/>
          <w:lang w:eastAsia="zh-CN"/>
        </w:rPr>
        <w:t>；</w:t>
      </w:r>
      <w:r>
        <w:rPr>
          <w:rFonts w:hint="eastAsia" w:ascii="仿宋_GB2312" w:hAnsi="仿宋_GB2312" w:eastAsia="仿宋_GB2312" w:cs="仿宋_GB2312"/>
          <w:sz w:val="32"/>
          <w:szCs w:val="32"/>
          <w:lang w:val="zh-CN"/>
        </w:rPr>
        <w:t>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hint="eastAsia" w:ascii="仿宋_GB2312" w:eastAsia="仿宋_GB2312"/>
          <w:sz w:val="32"/>
          <w:szCs w:val="32"/>
          <w:lang w:eastAsia="zh-CN"/>
        </w:rPr>
      </w:pPr>
      <w:r>
        <w:rPr>
          <w:rFonts w:hint="eastAsia" w:ascii="仿宋_GB2312" w:eastAsia="仿宋_GB2312"/>
          <w:color w:val="000000" w:themeColor="text1"/>
          <w:sz w:val="32"/>
          <w:szCs w:val="32"/>
        </w:rPr>
        <w:t>根据预算绩效管理要求，我单位2023年度</w:t>
      </w:r>
      <w:r>
        <w:rPr>
          <w:rFonts w:hint="eastAsia" w:ascii="仿宋_GB2312" w:hAnsi="仿宋_GB2312" w:eastAsia="仿宋_GB2312" w:cs="仿宋_GB2312"/>
          <w:color w:val="000000" w:themeColor="text1"/>
          <w:kern w:val="0"/>
          <w:sz w:val="32"/>
          <w:szCs w:val="32"/>
        </w:rPr>
        <w:t>预算绩效管理整体支出绩效自评表</w:t>
      </w:r>
      <w:r>
        <w:rPr>
          <w:rFonts w:hint="eastAsia" w:ascii="仿宋_GB2312" w:eastAsia="仿宋_GB2312"/>
          <w:color w:val="000000" w:themeColor="text1"/>
          <w:sz w:val="32"/>
          <w:szCs w:val="32"/>
        </w:rPr>
        <w:t>1</w:t>
      </w:r>
      <w:r>
        <w:rPr>
          <w:rFonts w:hint="eastAsia" w:ascii="仿宋_GB2312" w:hAnsi="仿宋_GB2312" w:eastAsia="仿宋_GB2312" w:cs="仿宋_GB2312"/>
          <w:color w:val="000000" w:themeColor="text1"/>
          <w:kern w:val="0"/>
          <w:sz w:val="32"/>
          <w:szCs w:val="32"/>
        </w:rPr>
        <w:t>个，全年</w:t>
      </w:r>
      <w:r>
        <w:rPr>
          <w:rFonts w:hint="eastAsia" w:ascii="仿宋_GB2312" w:eastAsia="仿宋_GB2312"/>
          <w:color w:val="000000" w:themeColor="text1"/>
          <w:sz w:val="32"/>
          <w:szCs w:val="32"/>
        </w:rPr>
        <w:t>预算总额544.4万元，实际执行总额525.67万元</w:t>
      </w:r>
      <w:r>
        <w:rPr>
          <w:rFonts w:hint="eastAsia" w:ascii="仿宋_GB2312" w:hAnsi="仿宋_GB2312" w:eastAsia="仿宋_GB2312" w:cs="仿宋_GB2312"/>
          <w:color w:val="000000" w:themeColor="text1"/>
          <w:kern w:val="0"/>
          <w:sz w:val="32"/>
          <w:szCs w:val="32"/>
        </w:rPr>
        <w:t>；</w:t>
      </w:r>
      <w:r>
        <w:rPr>
          <w:rFonts w:hint="eastAsia" w:ascii="仿宋_GB2312" w:eastAsia="仿宋_GB2312"/>
          <w:color w:val="000000" w:themeColor="text1"/>
          <w:sz w:val="32"/>
          <w:szCs w:val="32"/>
        </w:rPr>
        <w:t>预算绩效评价项目4个，全年预算数</w:t>
      </w:r>
      <w:r>
        <w:rPr>
          <w:rFonts w:hint="eastAsia" w:ascii="仿宋_GB2312" w:eastAsia="仿宋_GB2312"/>
          <w:color w:val="000000" w:themeColor="text1"/>
          <w:sz w:val="32"/>
          <w:szCs w:val="32"/>
          <w:lang w:val="en-US" w:eastAsia="zh-CN"/>
        </w:rPr>
        <w:t>393.58</w:t>
      </w:r>
      <w:r>
        <w:rPr>
          <w:rFonts w:hint="eastAsia" w:ascii="仿宋_GB2312" w:eastAsia="仿宋_GB2312"/>
          <w:color w:val="000000" w:themeColor="text1"/>
          <w:sz w:val="32"/>
          <w:szCs w:val="32"/>
        </w:rPr>
        <w:t>万元，全年执行数374.85万元。预算绩效管理取得的成效：一是我单位严格按照上级的要求在规定的</w:t>
      </w:r>
      <w:r>
        <w:rPr>
          <w:rFonts w:hint="eastAsia" w:ascii="仿宋_GB2312" w:eastAsia="仿宋_GB2312"/>
          <w:sz w:val="32"/>
          <w:szCs w:val="32"/>
        </w:rPr>
        <w:t>时间报送绩效目标，比如每月按时发放工资，公积金、医疗保险等按时准确发放到位，从无拖欠；二是2023年，我局根据年初工作规划及财政预算计划，积极履职、强化管理，好</w:t>
      </w:r>
      <w:r>
        <w:rPr>
          <w:rFonts w:hint="eastAsia" w:ascii="仿宋_GB2312" w:eastAsia="仿宋_GB2312"/>
          <w:sz w:val="32"/>
          <w:szCs w:val="32"/>
          <w:lang w:val="en-US" w:eastAsia="zh-CN"/>
        </w:rPr>
        <w:t>地</w:t>
      </w:r>
      <w:r>
        <w:rPr>
          <w:rFonts w:hint="eastAsia" w:ascii="仿宋_GB2312" w:eastAsia="仿宋_GB2312"/>
          <w:sz w:val="32"/>
          <w:szCs w:val="32"/>
        </w:rPr>
        <w:t>完成了年度工作目标。通过加强预算收支管理、不断建立健全内部管理制度、梳理内部管理流程，部门整体支出管理情况得到提升。发现的问题及原因：</w:t>
      </w:r>
      <w:r>
        <w:rPr>
          <w:rFonts w:hint="eastAsia" w:ascii="仿宋_GB2312" w:eastAsia="仿宋_GB2312"/>
          <w:sz w:val="32"/>
          <w:szCs w:val="32"/>
          <w:highlight w:val="none"/>
          <w:lang w:eastAsia="zh-CN"/>
        </w:rPr>
        <w:t>一是对绩效目标的设定不够细化和准确，部分项目设置的绩效指标与项目实际脱节，导致监控时无法达到预期目标值,预期指标值不够精准，希望给予专业指导；二是绩效填报工作主要是财务人员负责，项目实施部门未积极参与项目绩效管理工作中来，导致交接不到位，部分项目未及时进行调整。</w:t>
      </w:r>
      <w:r>
        <w:rPr>
          <w:rFonts w:hint="eastAsia" w:ascii="仿宋_GB2312" w:eastAsia="仿宋_GB2312"/>
          <w:sz w:val="32"/>
          <w:szCs w:val="32"/>
        </w:rPr>
        <w:t>下一步改进措施：</w:t>
      </w:r>
      <w:r>
        <w:rPr>
          <w:rFonts w:hint="eastAsia" w:ascii="仿宋_GB2312" w:eastAsia="仿宋_GB2312"/>
          <w:sz w:val="32"/>
          <w:szCs w:val="32"/>
          <w:highlight w:val="none"/>
          <w:lang w:eastAsia="zh-CN"/>
        </w:rPr>
        <w:t>一是加强各科室及时对接项目实施，明确分工，协调专人负责该项工作；二是通过对每笔资金的精细化管理来保障资金使用的合规、合法性，并据此分析各类资金支出产生的效益，使本单位的绩效监控工作上一个新台阶。</w:t>
      </w:r>
      <w:r>
        <w:rPr>
          <w:rFonts w:hint="eastAsia" w:ascii="仿宋_GB2312" w:eastAsia="仿宋_GB2312"/>
          <w:sz w:val="32"/>
          <w:szCs w:val="32"/>
        </w:rPr>
        <w:t>具体项目自评情况附绩效自评表及自评报告。</w:t>
      </w:r>
    </w:p>
    <w:p>
      <w:pPr>
        <w:ind w:firstLine="640" w:firstLineChars="200"/>
        <w:rPr>
          <w:rFonts w:hint="eastAsia" w:ascii="仿宋_GB2312" w:eastAsia="仿宋_GB2312"/>
          <w:sz w:val="32"/>
          <w:szCs w:val="32"/>
          <w:lang w:eastAsia="zh-CN"/>
        </w:rPr>
      </w:pPr>
    </w:p>
    <w:p>
      <w:pPr>
        <w:jc w:val="left"/>
        <w:rPr>
          <w:rFonts w:ascii="仿宋_GB2312" w:hAnsi="仿宋_GB2312" w:eastAsia="仿宋_GB2312" w:cs="仿宋_GB2312"/>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bookmarkStart w:id="30" w:name="_Toc24143"/>
      <w:bookmarkStart w:id="31" w:name="_Toc3250"/>
    </w:p>
    <w:p>
      <w:pPr>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jc w:val="center"/>
        <w:outlineLvl w:val="0"/>
        <w:rPr>
          <w:rFonts w:ascii="黑体" w:hAnsi="黑体" w:eastAsia="黑体"/>
          <w:sz w:val="32"/>
          <w:szCs w:val="32"/>
        </w:rPr>
      </w:pP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BjNDBhMzE3MTRmMjgzMGM1MTdjNDY2ODhjMWY1YTYifQ=="/>
    <w:docVar w:name="KSO_WPS_MARK_KEY" w:val="41ee2a61-2d54-4f93-83be-afdb9a40d732"/>
  </w:docVars>
  <w:rsids>
    <w:rsidRoot w:val="00324462"/>
    <w:rsid w:val="000177D2"/>
    <w:rsid w:val="00050538"/>
    <w:rsid w:val="00073857"/>
    <w:rsid w:val="001952AB"/>
    <w:rsid w:val="001C1777"/>
    <w:rsid w:val="00213C59"/>
    <w:rsid w:val="002B6AE2"/>
    <w:rsid w:val="002C281D"/>
    <w:rsid w:val="003210CE"/>
    <w:rsid w:val="00324462"/>
    <w:rsid w:val="00334660"/>
    <w:rsid w:val="00367588"/>
    <w:rsid w:val="00367C34"/>
    <w:rsid w:val="0042626C"/>
    <w:rsid w:val="00444026"/>
    <w:rsid w:val="004F489E"/>
    <w:rsid w:val="005B6713"/>
    <w:rsid w:val="005F0A13"/>
    <w:rsid w:val="005F3FFE"/>
    <w:rsid w:val="00780B93"/>
    <w:rsid w:val="007C3222"/>
    <w:rsid w:val="008144A0"/>
    <w:rsid w:val="00881C7C"/>
    <w:rsid w:val="0094181F"/>
    <w:rsid w:val="00954276"/>
    <w:rsid w:val="00A253D2"/>
    <w:rsid w:val="00A32A9C"/>
    <w:rsid w:val="00A526E7"/>
    <w:rsid w:val="00B70D59"/>
    <w:rsid w:val="00BD1FE7"/>
    <w:rsid w:val="00C83C31"/>
    <w:rsid w:val="00C94BF9"/>
    <w:rsid w:val="00DB22F0"/>
    <w:rsid w:val="00DB3651"/>
    <w:rsid w:val="00E13F82"/>
    <w:rsid w:val="00E233D5"/>
    <w:rsid w:val="00E3739D"/>
    <w:rsid w:val="00F52A8D"/>
    <w:rsid w:val="00FB7793"/>
    <w:rsid w:val="00FC46DD"/>
    <w:rsid w:val="00FE07FA"/>
    <w:rsid w:val="00FF7493"/>
    <w:rsid w:val="017F680D"/>
    <w:rsid w:val="019404F8"/>
    <w:rsid w:val="01C30B6B"/>
    <w:rsid w:val="01DE6478"/>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862691"/>
    <w:rsid w:val="079052BE"/>
    <w:rsid w:val="08145C21"/>
    <w:rsid w:val="08422688"/>
    <w:rsid w:val="085854ED"/>
    <w:rsid w:val="0879188F"/>
    <w:rsid w:val="08A0354D"/>
    <w:rsid w:val="08CD4C49"/>
    <w:rsid w:val="090D2302"/>
    <w:rsid w:val="09114954"/>
    <w:rsid w:val="095A5B83"/>
    <w:rsid w:val="096466E3"/>
    <w:rsid w:val="0968304D"/>
    <w:rsid w:val="09AF3D17"/>
    <w:rsid w:val="09D43B8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80135C"/>
    <w:rsid w:val="0E640559"/>
    <w:rsid w:val="0F1113DA"/>
    <w:rsid w:val="0F78534A"/>
    <w:rsid w:val="0F89358A"/>
    <w:rsid w:val="0F8C6D51"/>
    <w:rsid w:val="105B0B5E"/>
    <w:rsid w:val="112E58D0"/>
    <w:rsid w:val="11731CAC"/>
    <w:rsid w:val="119500A0"/>
    <w:rsid w:val="11C0733B"/>
    <w:rsid w:val="11D50D17"/>
    <w:rsid w:val="120E0809"/>
    <w:rsid w:val="12521AED"/>
    <w:rsid w:val="127F665A"/>
    <w:rsid w:val="12F7068C"/>
    <w:rsid w:val="130556A6"/>
    <w:rsid w:val="134250AA"/>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715EF0"/>
    <w:rsid w:val="17954A6E"/>
    <w:rsid w:val="17BE2C86"/>
    <w:rsid w:val="180059E9"/>
    <w:rsid w:val="184510FD"/>
    <w:rsid w:val="190648B0"/>
    <w:rsid w:val="19071D6C"/>
    <w:rsid w:val="19BA35FD"/>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544C4D"/>
    <w:rsid w:val="236767D3"/>
    <w:rsid w:val="2380045B"/>
    <w:rsid w:val="23BC04D2"/>
    <w:rsid w:val="23EF1892"/>
    <w:rsid w:val="2483647E"/>
    <w:rsid w:val="24A32D55"/>
    <w:rsid w:val="24CE6D9A"/>
    <w:rsid w:val="251F61B7"/>
    <w:rsid w:val="25292727"/>
    <w:rsid w:val="252E5CA9"/>
    <w:rsid w:val="2547461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4D50F0"/>
    <w:rsid w:val="2BB94DBF"/>
    <w:rsid w:val="2BF37410"/>
    <w:rsid w:val="2C6F314E"/>
    <w:rsid w:val="2C9C2046"/>
    <w:rsid w:val="2CC206BE"/>
    <w:rsid w:val="2CF71A94"/>
    <w:rsid w:val="2D1136DF"/>
    <w:rsid w:val="2D20606D"/>
    <w:rsid w:val="2D6729FE"/>
    <w:rsid w:val="2DB87198"/>
    <w:rsid w:val="2DB93C54"/>
    <w:rsid w:val="2E19750B"/>
    <w:rsid w:val="2E3D144C"/>
    <w:rsid w:val="2E891204"/>
    <w:rsid w:val="2F3F0A28"/>
    <w:rsid w:val="2F7736F3"/>
    <w:rsid w:val="2FBF7029"/>
    <w:rsid w:val="2FD0187F"/>
    <w:rsid w:val="2FD27414"/>
    <w:rsid w:val="2FFE4BB0"/>
    <w:rsid w:val="300E7B60"/>
    <w:rsid w:val="300F6E18"/>
    <w:rsid w:val="30862F5F"/>
    <w:rsid w:val="30A4775A"/>
    <w:rsid w:val="30E4165A"/>
    <w:rsid w:val="314029C9"/>
    <w:rsid w:val="31C63837"/>
    <w:rsid w:val="31C82E39"/>
    <w:rsid w:val="32601BAD"/>
    <w:rsid w:val="326571C3"/>
    <w:rsid w:val="329F6389"/>
    <w:rsid w:val="3389023A"/>
    <w:rsid w:val="33CB74FA"/>
    <w:rsid w:val="343642F2"/>
    <w:rsid w:val="343F3010"/>
    <w:rsid w:val="345D0A00"/>
    <w:rsid w:val="34713BFD"/>
    <w:rsid w:val="34C13589"/>
    <w:rsid w:val="353369E3"/>
    <w:rsid w:val="35B21E0B"/>
    <w:rsid w:val="35E00D72"/>
    <w:rsid w:val="36965B9D"/>
    <w:rsid w:val="36C549FD"/>
    <w:rsid w:val="36F833D0"/>
    <w:rsid w:val="379028BA"/>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CC4A5F"/>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4D61EF"/>
    <w:rsid w:val="3FB77A1D"/>
    <w:rsid w:val="3FDC3674"/>
    <w:rsid w:val="3FED7F8A"/>
    <w:rsid w:val="40094AEF"/>
    <w:rsid w:val="405470BD"/>
    <w:rsid w:val="40794A29"/>
    <w:rsid w:val="40834692"/>
    <w:rsid w:val="41431AD5"/>
    <w:rsid w:val="414B3C0F"/>
    <w:rsid w:val="417C1CE7"/>
    <w:rsid w:val="41874A60"/>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5847246"/>
    <w:rsid w:val="46061BDC"/>
    <w:rsid w:val="461404F8"/>
    <w:rsid w:val="461C6772"/>
    <w:rsid w:val="46413018"/>
    <w:rsid w:val="464B7E04"/>
    <w:rsid w:val="468041AA"/>
    <w:rsid w:val="468123C6"/>
    <w:rsid w:val="46901EEE"/>
    <w:rsid w:val="469C74D2"/>
    <w:rsid w:val="46DD3374"/>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265EA1"/>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9A75DA"/>
    <w:rsid w:val="4EFD18DE"/>
    <w:rsid w:val="4F144236"/>
    <w:rsid w:val="4F3F0628"/>
    <w:rsid w:val="4F663C87"/>
    <w:rsid w:val="4F7E29A8"/>
    <w:rsid w:val="4F9E1FFC"/>
    <w:rsid w:val="50447CC2"/>
    <w:rsid w:val="5050039B"/>
    <w:rsid w:val="50874A7C"/>
    <w:rsid w:val="50895EE7"/>
    <w:rsid w:val="50921B9D"/>
    <w:rsid w:val="50D16158"/>
    <w:rsid w:val="50DB5F45"/>
    <w:rsid w:val="51025EB1"/>
    <w:rsid w:val="51141503"/>
    <w:rsid w:val="513C450E"/>
    <w:rsid w:val="518D0ED5"/>
    <w:rsid w:val="525C687F"/>
    <w:rsid w:val="52A3740A"/>
    <w:rsid w:val="52F647F7"/>
    <w:rsid w:val="52F92565"/>
    <w:rsid w:val="533B4FCC"/>
    <w:rsid w:val="53AE735E"/>
    <w:rsid w:val="53D03877"/>
    <w:rsid w:val="542F73CA"/>
    <w:rsid w:val="5430786D"/>
    <w:rsid w:val="545A1D2A"/>
    <w:rsid w:val="54C811C0"/>
    <w:rsid w:val="556A442D"/>
    <w:rsid w:val="55DA564E"/>
    <w:rsid w:val="55E816A3"/>
    <w:rsid w:val="5604127D"/>
    <w:rsid w:val="56044E6C"/>
    <w:rsid w:val="56166703"/>
    <w:rsid w:val="56510474"/>
    <w:rsid w:val="565C6063"/>
    <w:rsid w:val="56861525"/>
    <w:rsid w:val="56A93273"/>
    <w:rsid w:val="56BD550C"/>
    <w:rsid w:val="56E07045"/>
    <w:rsid w:val="56FF28AF"/>
    <w:rsid w:val="57540E7D"/>
    <w:rsid w:val="577B4878"/>
    <w:rsid w:val="57926973"/>
    <w:rsid w:val="57B2710C"/>
    <w:rsid w:val="57D1482F"/>
    <w:rsid w:val="58175352"/>
    <w:rsid w:val="581F2200"/>
    <w:rsid w:val="583059FA"/>
    <w:rsid w:val="584A0929"/>
    <w:rsid w:val="58CD2491"/>
    <w:rsid w:val="591B41B2"/>
    <w:rsid w:val="59254A26"/>
    <w:rsid w:val="59326325"/>
    <w:rsid w:val="595C505B"/>
    <w:rsid w:val="595E55C3"/>
    <w:rsid w:val="596E7E20"/>
    <w:rsid w:val="5A5D23AA"/>
    <w:rsid w:val="5A60780B"/>
    <w:rsid w:val="5A8F48C0"/>
    <w:rsid w:val="5A9F29C3"/>
    <w:rsid w:val="5AB34579"/>
    <w:rsid w:val="5AB40E78"/>
    <w:rsid w:val="5AF80B40"/>
    <w:rsid w:val="5AFC6609"/>
    <w:rsid w:val="5B113480"/>
    <w:rsid w:val="5BD456CE"/>
    <w:rsid w:val="5C0D1F49"/>
    <w:rsid w:val="5CA14A0C"/>
    <w:rsid w:val="5CBB0CE2"/>
    <w:rsid w:val="5CC17177"/>
    <w:rsid w:val="5CF306BC"/>
    <w:rsid w:val="5CFD1C22"/>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BA003B"/>
    <w:rsid w:val="65D97752"/>
    <w:rsid w:val="66085536"/>
    <w:rsid w:val="66105BF7"/>
    <w:rsid w:val="66150023"/>
    <w:rsid w:val="6628010D"/>
    <w:rsid w:val="665A1E94"/>
    <w:rsid w:val="669B4528"/>
    <w:rsid w:val="66CC12D7"/>
    <w:rsid w:val="67134CEF"/>
    <w:rsid w:val="671F1ABD"/>
    <w:rsid w:val="674D37A6"/>
    <w:rsid w:val="67521A59"/>
    <w:rsid w:val="67C304AB"/>
    <w:rsid w:val="683F0658"/>
    <w:rsid w:val="689C6793"/>
    <w:rsid w:val="68DB0208"/>
    <w:rsid w:val="68FB170C"/>
    <w:rsid w:val="691B3D98"/>
    <w:rsid w:val="693748F0"/>
    <w:rsid w:val="694878F0"/>
    <w:rsid w:val="69846A0E"/>
    <w:rsid w:val="69AA1366"/>
    <w:rsid w:val="69AD798C"/>
    <w:rsid w:val="69CF52DB"/>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8E6093"/>
    <w:rsid w:val="72D068C7"/>
    <w:rsid w:val="72E42ED8"/>
    <w:rsid w:val="72FC34C3"/>
    <w:rsid w:val="735F4CB9"/>
    <w:rsid w:val="73674C62"/>
    <w:rsid w:val="73845865"/>
    <w:rsid w:val="739B6D9E"/>
    <w:rsid w:val="73BC1D76"/>
    <w:rsid w:val="73FB6630"/>
    <w:rsid w:val="74487DCF"/>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7E3F4B"/>
    <w:rsid w:val="7A9B3811"/>
    <w:rsid w:val="7AAA4D40"/>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C93EBA"/>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16</Pages>
  <Words>5731</Words>
  <Characters>6503</Characters>
  <Lines>51</Lines>
  <Paragraphs>14</Paragraphs>
  <TotalTime>58</TotalTime>
  <ScaleCrop>false</ScaleCrop>
  <LinksUpToDate>false</LinksUpToDate>
  <CharactersWithSpaces>6515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2024-09-19T11:18:00Z</dcterms:created>
  <dc:creator>GXR</dc:creator>
  <cp:lastModifiedBy>张晓芳</cp:lastModifiedBy>
  <dcterms:modified xsi:type="dcterms:W3CDTF">2025-04-09T11:32:50Z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y fmtid="{D5CDD505-2E9C-101B-9397-08002B2CF9AE}" pid="4" name="KSOTemplateDocerSaveRecord">
    <vt:lpwstr>eyJoZGlkIjoiZDU4MmQ2ZWMyMDZlYzhmM2M0MmMwNGNmYmFiY2Q3YTQiLCJ1c2VySWQiOiI1Mzk1NTEzNjcifQ==</vt:lpwstr>
  </property>
</Properties>
</file>