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2023</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沙湾市生活垃圾填埋场二期处理场耕地占用税</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沙湾市环境卫生服务中心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沙湾市环境卫生服务中心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王山春</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塔</w:t>
      </w:r>
      <w:r>
        <w:rPr>
          <w:rStyle w:val="18"/>
          <w:rFonts w:hint="eastAsia" w:ascii="楷体" w:hAnsi="楷体" w:eastAsia="楷体"/>
          <w:spacing w:val="-4"/>
          <w:sz w:val="32"/>
          <w:szCs w:val="32"/>
        </w:rPr>
        <w:t>城地区沙湾市生活垃圾填埋场二期处理场耕地占用税项目是作为塔城地区沙湾市生活垃圾填埋场二期处理场项目的前期用地审批及占用地税款缴纳的事项。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因目前填埋场一期的垃圾清运范围扩大、人口不断增加，剩余库容远远不够后续填埋场运行，并且现状填埋场渗滤液采用回喷方式，不能满足现阶段的规范及环保要求，建设相应的渗滤液处理系统进行处理。所以实施建设了垃圾填埋场二期工程。为该项目的顺利落地并实施，需办理建设用地审批及缴纳相关税费费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2023年，沙湾市环境卫生服务中心根据沙湾市自然资源局2023年005号《办理耕地占用税通知书》要求，合法合规</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办理了塔城地区沙湾市生活垃圾填埋场二期处理场项目前期用地审批相关事宜及缴纳了塔城地区沙湾市生活垃圾填埋场二期处理场耕地占用税。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本项目主要内容为：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自然资源局2023年005号《办理耕地占用税通知书》要求，本项目实施（或建设）内容为：经批准占用未利用地（其它草地面积为16248平方米）需申报缴纳耕地占用税；4、通过项目实施，成功办理了塔城地区沙湾市生活垃圾填埋场二期处理场项目用地手续。提高了塔城地区沙湾市生活垃圾填埋场二期处理场项目落地进度；同时达到项目的合法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本项目于2023年6月开始实施，</w:t>
      </w:r>
      <w:r>
        <w:rPr>
          <w:rStyle w:val="18"/>
          <w:rFonts w:hint="eastAsia" w:ascii="楷体" w:hAnsi="楷体" w:eastAsia="楷体"/>
          <w:spacing w:val="-4"/>
          <w:sz w:val="32"/>
          <w:szCs w:val="32"/>
          <w:lang w:val="en-US" w:eastAsia="zh-CN"/>
        </w:rPr>
        <w:t>截至</w:t>
      </w:r>
      <w:r>
        <w:rPr>
          <w:rStyle w:val="18"/>
          <w:rFonts w:hint="eastAsia" w:ascii="楷体" w:hAnsi="楷体" w:eastAsia="楷体"/>
          <w:spacing w:val="-4"/>
          <w:sz w:val="32"/>
          <w:szCs w:val="32"/>
        </w:rPr>
        <w:t>2023年6月，该项目已实施完成，各项任务指标全部完成。通过本项目的实施，有效解决了塔城地区沙湾市生活垃圾填埋场二期处理场项目的前期工作的完整性，提升了该项目的进度，增强了项目的合法合规性。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2023年塔城地区沙湾市生活垃圾填埋场二期处理场耕地占用税项目的实施主体为沙湾市环境卫生服务中心。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根据沙财经办函[2023]75号《关于沙湾市生活垃圾填埋场二期处理场项目耕地占用税款的批复》文件，塔城地区沙湾市生活垃圾填埋场二期处理场耕地占用税项目预算安排资金总额260万元，其中财政资金260万元、其他资金0万元；2023年实际收到政府基金预算资金260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截至2023年12月20日，本项目实际支付资金260万元，预算执行率100%。项目资金主要用于支付塔城地区沙湾市生活垃圾填埋场二期处理场耕地占用税费用260万元。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缴</w:t>
      </w:r>
      <w:r>
        <w:rPr>
          <w:rStyle w:val="18"/>
          <w:rFonts w:hint="eastAsia" w:ascii="楷体" w:hAnsi="楷体" w:eastAsia="楷体"/>
          <w:spacing w:val="-4"/>
          <w:sz w:val="32"/>
          <w:szCs w:val="32"/>
        </w:rPr>
        <w:t>纳塔城地区沙湾市生活垃圾填埋场二期处理场耕地占用税的目地，及时办理项目前期用地审批手续等合法合规手续。全年项目计划实现目标如下：“目标”：于2023年12月20日前支付260万元，缴纳草地占用税笔数1笔，资金应缴尽缴率100%，资金使用规范率100%。通过项目的实施提升项目建设用地合法效益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“缴纳草地占用税笔数（笔）”指标，预期指标值为“等于1笔”；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“资金应缴尽缴率（%）”指标，预期指标值为“等于100%”；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资金使用规范率（%）”指标，预期指标值为“等于100%”；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“资金拨付及时性（%）”指标，预期指标值为“等于100%”；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“项目完成时限”指标，预期指标值为“2023年12月20日前”；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“耕地占用税成本”指标，预期指标值为“小于等于260万元”；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“提升项目建设用地合法效益”指标，预期指标值为“有效提升”；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无此项指标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塔城地区沙湾市生活垃圾填埋场二期处理场耕地占用税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2409" w:firstLineChars="769"/>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塔城地区沙湾市生活垃圾填埋场二期处理场耕地占用税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二</w:t>
      </w:r>
      <w:r>
        <w:rPr>
          <w:rStyle w:val="18"/>
          <w:rFonts w:hint="eastAsia" w:ascii="楷体" w:hAnsi="楷体" w:eastAsia="楷体"/>
          <w:spacing w:val="-4"/>
          <w:sz w:val="32"/>
          <w:szCs w:val="32"/>
        </w:rPr>
        <w:t>级指标为：项目立项、绩效目标、资金投入、资金管理、组织实施、产出数量、产出质量、产出时效、产出成本、实施效益、满意度。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产出数量指标完成率、质量指标达标率、项目完成及时率、成本控制率、项目实施所产生的效益、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1782" w:firstLineChars="569"/>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我</w:t>
      </w:r>
      <w:r>
        <w:rPr>
          <w:rStyle w:val="18"/>
          <w:rFonts w:hint="eastAsia" w:ascii="楷体" w:hAnsi="楷体" w:eastAsia="楷体"/>
          <w:spacing w:val="-4"/>
          <w:sz w:val="32"/>
          <w:szCs w:val="32"/>
        </w:rPr>
        <w:t>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刘涛任评价组组长，绩效评价工作职责为检查项目绩效指标完成情况、审定项目支出绩效评价结果及项目支出绩效评价报告。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王山春任评价组副组长，绩效评价工作职责为组织和协调项目工作人员采取实地调查、资料检查等方式，核实项目绩效指标完成情况；组织受益对象对项目工作进行评价等。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古丽娜儿任评价组成员，绩效评价工作职责为做好项目支出绩效评价工作的沟通协调工作，对项目实施情况进行实地调查，编写项目支出绩效评价报告。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建</w:t>
      </w:r>
      <w:r>
        <w:rPr>
          <w:rStyle w:val="18"/>
          <w:rFonts w:hint="eastAsia" w:ascii="楷体" w:hAnsi="楷体" w:eastAsia="楷体"/>
          <w:spacing w:val="-4"/>
          <w:sz w:val="32"/>
          <w:szCs w:val="32"/>
        </w:rPr>
        <w:t>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通</w:t>
      </w:r>
      <w:r>
        <w:rPr>
          <w:rStyle w:val="18"/>
          <w:rFonts w:hint="eastAsia" w:ascii="楷体" w:hAnsi="楷体" w:eastAsia="楷体"/>
          <w:spacing w:val="-4"/>
          <w:sz w:val="32"/>
          <w:szCs w:val="32"/>
        </w:rPr>
        <w:t>过塔城地区沙湾市生活垃圾填埋场二期处理场耕地占用税项目的实施，解决了塔城地区沙湾市生活垃圾填埋场二期处理场项目建设用地问题，实现了塔城地区生活垃圾填埋场二期处理场项目建设用地的合法合规性效益，该项目预算执行率达100%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次评价采取定量与定性评价相结合的方式，对塔城地区沙湾市生活垃圾填埋场二期处理场耕地占用税项目的绩效目标和各项具体绩效指标实现情况进行了客观评价，最终评分为100分。绩效评级为“优”，具体得分情况为：项目决策15分、项目过程15分、项目产出15分、项目效益40分、项目满意度30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立项依据充分性：本项目是由沙湾市环境卫生服务中心提出申报，于2023年6月批复设立，2023年我单位根据塔行办函[2022]39号文件《关于同意沙湾市生活垃圾填埋场二期处理场建设项目用地的复函》和沙湾市自然资源</w:t>
      </w:r>
      <w:r>
        <w:rPr>
          <w:rStyle w:val="18"/>
          <w:rFonts w:hint="eastAsia" w:ascii="楷体" w:hAnsi="楷体" w:eastAsia="楷体"/>
          <w:spacing w:val="-4"/>
          <w:sz w:val="32"/>
          <w:szCs w:val="32"/>
          <w:lang w:val="en-US" w:eastAsia="zh-CN"/>
        </w:rPr>
        <w:t>局</w:t>
      </w:r>
      <w:r>
        <w:rPr>
          <w:rStyle w:val="18"/>
          <w:rFonts w:hint="eastAsia" w:ascii="楷体" w:hAnsi="楷体" w:eastAsia="楷体"/>
          <w:spacing w:val="-4"/>
          <w:sz w:val="32"/>
          <w:szCs w:val="32"/>
        </w:rPr>
        <w:t>2023年005号办理占用耕地手续通知书文件要求组织实施该项目。项目立项符合国家法律法规、自治区和地区行业发展规划和政策要求，属于本部门履职所需。根据评分标准，该指标2.5分，得2.5分。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2.预算执行率：本项目预算编制较为详细，预算资金260万元，实际执行260万元，预算执行率为100%，项目资金支出总体能够按照预算执行，根据评分标准，该指标2分，得2分。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资金使用合规性：项目任务下达后，我单位制定了《沙湾市环境卫生服务中心财务管理制度》等较为健全的各项管理制度，并对经费使用进行规范管理，同时严格执行财务制度；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管理制度健全性：我单位制定了《沙湾市环境卫生服务中心预算绩效管理工作实施办法》，《沙湾市环境卫生服务中心财务管理制度》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w:t>
      </w:r>
      <w:r>
        <w:rPr>
          <w:rStyle w:val="18"/>
          <w:rFonts w:hint="eastAsia" w:ascii="楷体" w:hAnsi="楷体" w:eastAsia="楷体"/>
          <w:spacing w:val="-4"/>
          <w:sz w:val="32"/>
          <w:szCs w:val="32"/>
          <w:lang w:val="en-US" w:eastAsia="zh-CN"/>
        </w:rPr>
        <w:t>检查</w:t>
      </w:r>
      <w:r>
        <w:rPr>
          <w:rStyle w:val="18"/>
          <w:rFonts w:hint="eastAsia" w:ascii="楷体" w:hAnsi="楷体" w:eastAsia="楷体"/>
          <w:spacing w:val="-4"/>
          <w:sz w:val="32"/>
          <w:szCs w:val="32"/>
        </w:rPr>
        <w:t>，年底对资金使用效果进行自评，根据评分标准，该指标4分，得4分。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项目产出类指标包括产出数量、产出质量、产出时效、产出成本共四方面的内容，由6个三级指标构成，权重分为60分，本项目实际得分60分，得分率为100%。具体各项指标得分如下：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“缴纳草地占用税笔数（笔）”指标，预期指标值为“等于1笔”，根据塔行办函[2022]39号文件可知，实际完成缴纳草地占用税笔数1笔，与预期目标一致，根据评分标准，该指标20分，得20分。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资金应缴尽缴率（%）”指标，预期指标值为“等于100%”，根据缴费票据，目前塔城地区沙湾市生活垃圾填埋场二期处理场耕地占用税已足额全部缴纳完毕，资金应缴尽缴率100%，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规范率（%）”指标，预期指标值为“等于100%”，根据缴费资料，目前塔城地区沙湾市生活垃圾填埋场二期处理场耕地占用税资金以规范使用，资金使用规范率100%，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“资金支付及时性”指标，预期指标值为“等于100%”；根据资金支付凭证显示，按文件规定，资金已于2023年6月全部支付完毕，与预期目标指标一致，根据评分标准，该指标5分，得5分。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“项目完成时限”指标，预期指标值为“2023年12月20日前”；根据资金支付凭证显示，按文件规定，资金已于2023年6月全部支付完毕，与预期目标指标一致，根据评分标准，该指标5分，得5分。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4、</w:t>
      </w:r>
      <w:r>
        <w:rPr>
          <w:rStyle w:val="18"/>
          <w:rFonts w:hint="eastAsia" w:ascii="楷体" w:hAnsi="楷体" w:eastAsia="楷体"/>
          <w:spacing w:val="-4"/>
          <w:sz w:val="32"/>
          <w:szCs w:val="32"/>
        </w:rPr>
        <w:t>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耕地占用税成本（万元）”指标，预期指标值为“小于等于260万元”，根据文件和资金支付凭证显示，本项目2023年共计支付耕地占用税260万元，经费支出能够控制在年度计划成本范围内，根据评分标准，该指标20分，得20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项目效益类指标由社会效益1个二级指标和1个三级指标构成，权重分为30分，本项目实际得分30分，得分率为100%。具体各项指标得分如下：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“提升项目建设用地合法效益”指标，预期指标值为“有效提升”，根据完税证明票据及文件，实际完成值为“基本达成目标根据评分标准，该指标30分，得30分。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Fonts w:ascii="楷体" w:hAnsi="楷体" w:eastAsia="楷体"/>
          <w:b/>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塔城地区沙湾市生活垃圾填埋场二期处理场耕地占用税项目预算金额260万元，实际到位260万元，全年项目实际支出260万元，预算执行率为100%。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2023年本单位负责实施的塔城地区沙湾市生活垃圾填埋场二期处理场耕地占用税项目的绩效目标及指标已经全部达成，不存在偏差情况。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1、</w:t>
      </w:r>
      <w:r>
        <w:rPr>
          <w:rStyle w:val="18"/>
          <w:rFonts w:hint="eastAsia" w:ascii="楷体" w:hAnsi="楷体" w:eastAsia="楷体"/>
          <w:spacing w:val="-4"/>
          <w:sz w:val="32"/>
          <w:szCs w:val="32"/>
        </w:rPr>
        <w:t>确定明确的项目目标和绩效指标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在项目开</w:t>
      </w:r>
      <w:r>
        <w:rPr>
          <w:rStyle w:val="18"/>
          <w:rFonts w:hint="eastAsia" w:ascii="楷体" w:hAnsi="楷体" w:eastAsia="楷体"/>
          <w:spacing w:val="-4"/>
          <w:sz w:val="32"/>
          <w:szCs w:val="32"/>
          <w:lang w:val="en-US" w:eastAsia="zh-CN"/>
        </w:rPr>
        <w:t>工</w:t>
      </w:r>
      <w:r>
        <w:rPr>
          <w:rStyle w:val="18"/>
          <w:rFonts w:hint="eastAsia" w:ascii="楷体" w:hAnsi="楷体" w:eastAsia="楷体"/>
          <w:spacing w:val="-4"/>
          <w:sz w:val="32"/>
          <w:szCs w:val="32"/>
        </w:rPr>
        <w:t>之前，明确确定项目的目标和期望的绩效水平，并将其转化为可量化的指标。这将有助于明确工作重点和目标，并衡量项目的成功程度。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2.建立高效的项目管理流程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建立适合项目的项目管理流程，包括项目规划、任务分配、进度跟踪等环节。确保流程高效有序，单位成员理解和遵守流程，以减少工作重复和误解，提高工作效率和质量。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3.设定合理的项目预算和资源计划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在项目开始之前，制定项目预算和资源计划，确保项目有足够的资源支持和按计划进行。同</w:t>
      </w:r>
      <w:r>
        <w:rPr>
          <w:rStyle w:val="18"/>
          <w:rFonts w:hint="eastAsia" w:ascii="楷体" w:hAnsi="楷体" w:eastAsia="楷体"/>
          <w:spacing w:val="-4"/>
          <w:sz w:val="32"/>
          <w:szCs w:val="32"/>
          <w:lang w:val="en-US" w:eastAsia="zh-CN"/>
        </w:rPr>
        <w:t>时</w:t>
      </w:r>
      <w:r>
        <w:rPr>
          <w:rStyle w:val="18"/>
          <w:rFonts w:hint="eastAsia" w:ascii="楷体" w:hAnsi="楷体" w:eastAsia="楷体"/>
          <w:spacing w:val="-4"/>
          <w:sz w:val="32"/>
          <w:szCs w:val="32"/>
        </w:rPr>
        <w:t>进行合理的资源分配和高度，确保项目团队的工作均衡，避免资源紧张</w:t>
      </w:r>
      <w:bookmarkStart w:id="0" w:name="_GoBack"/>
      <w:bookmarkEnd w:id="0"/>
      <w:r>
        <w:rPr>
          <w:rStyle w:val="18"/>
          <w:rFonts w:hint="eastAsia" w:ascii="楷体" w:hAnsi="楷体" w:eastAsia="楷体"/>
          <w:spacing w:val="-4"/>
          <w:sz w:val="32"/>
          <w:szCs w:val="32"/>
        </w:rPr>
        <w:t>和项目延期。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4.不断学习和改进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项目结束后，及时总结和分析项目经验和教训，反思项目执行过程中存在的问题和不足，并进行持续改进，提升项目绩效。同时项目成员应不断学习和更新自己的知识和技能，以适应不断变化的项目环境和要求。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1、项目绩效目标设定、预算执行、资金使用等方面，不同程度地存在一些操作不够规范、跟踪不够及时、衔接不够充分、</w:t>
      </w:r>
      <w:r>
        <w:rPr>
          <w:rStyle w:val="18"/>
          <w:rFonts w:hint="eastAsia" w:ascii="楷体" w:hAnsi="楷体" w:eastAsia="楷体"/>
          <w:spacing w:val="-4"/>
          <w:sz w:val="32"/>
          <w:szCs w:val="32"/>
          <w:lang w:val="en-US" w:eastAsia="zh-CN"/>
        </w:rPr>
        <w:t>检查</w:t>
      </w:r>
      <w:r>
        <w:rPr>
          <w:rStyle w:val="18"/>
          <w:rFonts w:hint="eastAsia" w:ascii="楷体" w:hAnsi="楷体" w:eastAsia="楷体"/>
          <w:spacing w:val="-4"/>
          <w:sz w:val="32"/>
          <w:szCs w:val="32"/>
        </w:rPr>
        <w:t>不到位等问题。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2.绩效档案归档工作有待提高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02DFF"/>
    <w:rsid w:val="00121AE4"/>
    <w:rsid w:val="00146AAD"/>
    <w:rsid w:val="001B3A40"/>
    <w:rsid w:val="00291BC0"/>
    <w:rsid w:val="002F2074"/>
    <w:rsid w:val="00311DBE"/>
    <w:rsid w:val="004366A8"/>
    <w:rsid w:val="00502BA7"/>
    <w:rsid w:val="005162F1"/>
    <w:rsid w:val="00535153"/>
    <w:rsid w:val="00554F82"/>
    <w:rsid w:val="0056390D"/>
    <w:rsid w:val="005719B0"/>
    <w:rsid w:val="005D10D6"/>
    <w:rsid w:val="006C0F0E"/>
    <w:rsid w:val="00846E71"/>
    <w:rsid w:val="00855E3A"/>
    <w:rsid w:val="0091457F"/>
    <w:rsid w:val="00922CB9"/>
    <w:rsid w:val="00980F8C"/>
    <w:rsid w:val="009E5CD9"/>
    <w:rsid w:val="00A26421"/>
    <w:rsid w:val="00A34588"/>
    <w:rsid w:val="00A4293B"/>
    <w:rsid w:val="00A67D50"/>
    <w:rsid w:val="00A8691A"/>
    <w:rsid w:val="00AC1946"/>
    <w:rsid w:val="00B40063"/>
    <w:rsid w:val="00B41F61"/>
    <w:rsid w:val="00B7593B"/>
    <w:rsid w:val="00BA46E6"/>
    <w:rsid w:val="00C56C72"/>
    <w:rsid w:val="00CA6457"/>
    <w:rsid w:val="00CE2FD9"/>
    <w:rsid w:val="00D17F2E"/>
    <w:rsid w:val="00D30354"/>
    <w:rsid w:val="00D47CF6"/>
    <w:rsid w:val="00D70FCB"/>
    <w:rsid w:val="00DF42A0"/>
    <w:rsid w:val="00E30E91"/>
    <w:rsid w:val="00E769FE"/>
    <w:rsid w:val="00EA2CBE"/>
    <w:rsid w:val="00F32FEE"/>
    <w:rsid w:val="00FB10BB"/>
    <w:rsid w:val="01A01997"/>
    <w:rsid w:val="03564A89"/>
    <w:rsid w:val="04590FB1"/>
    <w:rsid w:val="078A4C3D"/>
    <w:rsid w:val="0930264E"/>
    <w:rsid w:val="0D682C90"/>
    <w:rsid w:val="134B4714"/>
    <w:rsid w:val="18F217FA"/>
    <w:rsid w:val="19ED4F15"/>
    <w:rsid w:val="1A266374"/>
    <w:rsid w:val="1F3879C6"/>
    <w:rsid w:val="23396426"/>
    <w:rsid w:val="254B663C"/>
    <w:rsid w:val="254E75C1"/>
    <w:rsid w:val="25CE2857"/>
    <w:rsid w:val="28810AE6"/>
    <w:rsid w:val="29CD19D5"/>
    <w:rsid w:val="2D2910A6"/>
    <w:rsid w:val="35E4397B"/>
    <w:rsid w:val="361F45B9"/>
    <w:rsid w:val="38B81613"/>
    <w:rsid w:val="40345961"/>
    <w:rsid w:val="43E47A45"/>
    <w:rsid w:val="45DE3CAE"/>
    <w:rsid w:val="49462A1A"/>
    <w:rsid w:val="4D2606A1"/>
    <w:rsid w:val="4F737FE7"/>
    <w:rsid w:val="579440BD"/>
    <w:rsid w:val="57C47FE1"/>
    <w:rsid w:val="59440C82"/>
    <w:rsid w:val="5D54149D"/>
    <w:rsid w:val="5ECE1623"/>
    <w:rsid w:val="64320A70"/>
    <w:rsid w:val="6A02377A"/>
    <w:rsid w:val="6A133C0D"/>
    <w:rsid w:val="6F9A0528"/>
    <w:rsid w:val="6FCC0E93"/>
    <w:rsid w:val="746F6492"/>
    <w:rsid w:val="77B130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7088</Words>
  <Characters>7378</Characters>
  <Lines>53</Lines>
  <Paragraphs>15</Paragraphs>
  <TotalTime>16</TotalTime>
  <ScaleCrop>false</ScaleCrop>
  <LinksUpToDate>false</LinksUpToDate>
  <CharactersWithSpaces>7725</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2024-09-25T02:28:00Z</dcterms:created>
  <dc:creator>赵 恺（预算处）</dc:creator>
  <cp:lastModifiedBy>cs0016</cp:lastModifiedBy>
  <cp:lastPrinted>2018-12-31T10:56:00Z</cp:lastPrinted>
  <dcterms:modified xsi:type="dcterms:W3CDTF">2024-11-08T11:26:43Z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8D623A0949654A128B6B1D4856B66C55</vt:lpwstr>
  </property>
</Properties>
</file>