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沙湾市环境卫生服务中心</w:t>
      </w:r>
    </w:p>
    <w:p>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rPr>
          <w:rFonts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ind w:firstLine="640" w:firstLineChars="200"/>
        <w:jc w:val="left"/>
        <w:rPr>
          <w:rFonts w:hint="eastAsia" w:ascii="仿宋_GB2312" w:eastAsia="仿宋_GB2312"/>
          <w:sz w:val="32"/>
          <w:szCs w:val="32"/>
        </w:rPr>
      </w:pPr>
      <w:bookmarkStart w:id="4" w:name="_Toc31238"/>
      <w:bookmarkStart w:id="5" w:name="_Toc2151"/>
      <w:r>
        <w:rPr>
          <w:rFonts w:hint="eastAsia" w:ascii="仿宋_GB2312" w:eastAsia="仿宋_GB2312"/>
          <w:sz w:val="32"/>
          <w:szCs w:val="32"/>
        </w:rPr>
        <w:t>（1）环境卫生管理。对城区环境卫生进行管理，协调城区单位、个体工商户及个人之间的环境卫生纠纷问题，同时肩负着环境卫生法律法规的宣传重任；</w:t>
      </w:r>
    </w:p>
    <w:p>
      <w:pPr>
        <w:ind w:firstLine="640" w:firstLineChars="200"/>
        <w:jc w:val="left"/>
        <w:rPr>
          <w:rFonts w:hint="eastAsia" w:ascii="仿宋_GB2312" w:eastAsia="仿宋_GB2312"/>
          <w:sz w:val="32"/>
          <w:szCs w:val="32"/>
        </w:rPr>
      </w:pPr>
      <w:r>
        <w:rPr>
          <w:rFonts w:hint="eastAsia" w:ascii="仿宋_GB2312" w:eastAsia="仿宋_GB2312"/>
          <w:sz w:val="32"/>
          <w:szCs w:val="32"/>
        </w:rPr>
        <w:t>（2）生活垃圾清运。负责对全区城镇居民、个体工商户及单位的生活垃圾的消毒，清运和处理，对垃圾场、垃圾箱、垃圾集聚地进行消毒灭蝇，同时对破损垃圾箱进行维修；</w:t>
      </w:r>
    </w:p>
    <w:p>
      <w:pPr>
        <w:ind w:firstLine="640" w:firstLineChars="200"/>
        <w:jc w:val="left"/>
        <w:rPr>
          <w:rFonts w:hint="eastAsia" w:ascii="仿宋_GB2312" w:eastAsia="仿宋_GB2312"/>
          <w:sz w:val="32"/>
          <w:szCs w:val="32"/>
        </w:rPr>
      </w:pPr>
      <w:r>
        <w:rPr>
          <w:rFonts w:hint="eastAsia" w:ascii="仿宋_GB2312" w:eastAsia="仿宋_GB2312"/>
          <w:sz w:val="32"/>
          <w:szCs w:val="32"/>
        </w:rPr>
        <w:t>（3）对公厕进行管理。对全市城</w:t>
      </w:r>
      <w:r>
        <w:rPr>
          <w:rFonts w:hint="eastAsia" w:ascii="仿宋_GB2312" w:eastAsia="仿宋_GB2312"/>
          <w:sz w:val="32"/>
          <w:szCs w:val="32"/>
          <w:lang w:val="en-US" w:eastAsia="zh-CN"/>
        </w:rPr>
        <w:t>区</w:t>
      </w:r>
      <w:r>
        <w:rPr>
          <w:rFonts w:hint="eastAsia" w:ascii="仿宋_GB2312" w:eastAsia="仿宋_GB2312"/>
          <w:sz w:val="32"/>
          <w:szCs w:val="32"/>
        </w:rPr>
        <w:t>公共厕所进行清扫保洁和粪便的清运处理，以及消毒灭蝇等工作；</w:t>
      </w:r>
    </w:p>
    <w:p>
      <w:pPr>
        <w:ind w:firstLine="640" w:firstLineChars="200"/>
        <w:jc w:val="left"/>
        <w:rPr>
          <w:rFonts w:hint="eastAsia" w:ascii="仿宋_GB2312" w:eastAsia="仿宋_GB2312"/>
          <w:sz w:val="32"/>
          <w:szCs w:val="32"/>
        </w:rPr>
      </w:pPr>
      <w:r>
        <w:rPr>
          <w:rFonts w:hint="eastAsia" w:ascii="仿宋_GB2312" w:eastAsia="仿宋_GB2312"/>
          <w:sz w:val="32"/>
          <w:szCs w:val="32"/>
        </w:rPr>
        <w:t>（4）对全市城区102万平方米的路面进行清扫保洁。每天清扫两次，全天进行保洁，平均每人每天清扫保洁10000多平方米；</w:t>
      </w:r>
    </w:p>
    <w:p>
      <w:pPr>
        <w:ind w:firstLine="640" w:firstLineChars="200"/>
        <w:jc w:val="left"/>
        <w:rPr>
          <w:rFonts w:hint="eastAsia" w:ascii="仿宋_GB2312" w:eastAsia="仿宋_GB2312"/>
          <w:sz w:val="32"/>
          <w:szCs w:val="32"/>
        </w:rPr>
      </w:pPr>
      <w:r>
        <w:rPr>
          <w:rFonts w:hint="eastAsia" w:ascii="仿宋_GB2312" w:eastAsia="仿宋_GB2312"/>
          <w:sz w:val="32"/>
          <w:szCs w:val="32"/>
        </w:rPr>
        <w:t>（5）对“三包区”卫生管理。对个体工商户门前卫生进行全方位管理，每天监督检查，协调解决随时出现的影响环境卫生的问题；</w:t>
      </w:r>
    </w:p>
    <w:p>
      <w:pPr>
        <w:ind w:firstLine="640" w:firstLineChars="200"/>
        <w:jc w:val="left"/>
        <w:rPr>
          <w:rFonts w:hint="eastAsia" w:ascii="仿宋_GB2312" w:eastAsia="仿宋_GB2312"/>
          <w:sz w:val="32"/>
          <w:szCs w:val="32"/>
        </w:rPr>
      </w:pPr>
      <w:r>
        <w:rPr>
          <w:rFonts w:hint="eastAsia" w:ascii="仿宋_GB2312" w:eastAsia="仿宋_GB2312"/>
          <w:sz w:val="32"/>
          <w:szCs w:val="32"/>
        </w:rPr>
        <w:t>（6）市容监察工作。维护市容市貌的整洁卫生，对车辆乱抛乱撒、垃圾乱堆倒、广告乱</w:t>
      </w:r>
      <w:r>
        <w:rPr>
          <w:rFonts w:hint="eastAsia" w:ascii="仿宋_GB2312" w:eastAsia="仿宋_GB2312"/>
          <w:sz w:val="32"/>
          <w:szCs w:val="32"/>
          <w:lang w:val="en-US" w:eastAsia="zh-CN"/>
        </w:rPr>
        <w:t>贴</w:t>
      </w:r>
      <w:r>
        <w:rPr>
          <w:rFonts w:hint="eastAsia" w:ascii="仿宋_GB2312" w:eastAsia="仿宋_GB2312"/>
          <w:sz w:val="32"/>
          <w:szCs w:val="32"/>
        </w:rPr>
        <w:t>乱画等影响市容的行为进行管理，并按城市管理法规进行处罚（此职能现并入住建局）；</w:t>
      </w:r>
    </w:p>
    <w:p>
      <w:pPr>
        <w:ind w:firstLine="640" w:firstLineChars="200"/>
        <w:jc w:val="left"/>
        <w:rPr>
          <w:rFonts w:hint="eastAsia" w:ascii="仿宋_GB2312" w:eastAsia="仿宋_GB2312"/>
          <w:sz w:val="32"/>
          <w:szCs w:val="32"/>
        </w:rPr>
      </w:pPr>
      <w:r>
        <w:rPr>
          <w:rFonts w:hint="eastAsia" w:ascii="仿宋_GB2312" w:eastAsia="仿宋_GB2312"/>
          <w:sz w:val="32"/>
          <w:szCs w:val="32"/>
        </w:rPr>
        <w:t>（7）对全市城区路面进行冬季清雪工作。</w:t>
      </w:r>
    </w:p>
    <w:p>
      <w:pPr>
        <w:ind w:firstLine="640" w:firstLineChars="200"/>
        <w:jc w:val="left"/>
        <w:rPr>
          <w:rFonts w:hint="eastAsia" w:ascii="仿宋_GB2312" w:eastAsia="仿宋_GB2312"/>
          <w:sz w:val="32"/>
          <w:szCs w:val="32"/>
        </w:rPr>
      </w:pPr>
      <w:r>
        <w:rPr>
          <w:rFonts w:hint="eastAsia" w:ascii="仿宋_GB2312" w:eastAsia="仿宋_GB2312"/>
          <w:sz w:val="32"/>
          <w:szCs w:val="32"/>
        </w:rPr>
        <w:t>（8）</w:t>
      </w:r>
      <w:r>
        <w:rPr>
          <w:rFonts w:hint="eastAsia" w:ascii="仿宋_GB2312" w:eastAsia="仿宋_GB2312"/>
          <w:sz w:val="32"/>
          <w:szCs w:val="32"/>
          <w:lang w:eastAsia="zh-CN"/>
        </w:rPr>
        <w:t>市委、市政府</w:t>
      </w:r>
      <w:r>
        <w:rPr>
          <w:rFonts w:hint="eastAsia" w:ascii="仿宋_GB2312" w:eastAsia="仿宋_GB2312"/>
          <w:sz w:val="32"/>
          <w:szCs w:val="32"/>
        </w:rPr>
        <w:t>及住建局安排的其他工</w:t>
      </w:r>
      <w:r>
        <w:rPr>
          <w:rFonts w:hint="eastAsia" w:ascii="仿宋_GB2312" w:eastAsia="仿宋_GB2312"/>
          <w:sz w:val="32"/>
          <w:szCs w:val="32"/>
          <w:lang w:val="en-US" w:eastAsia="zh-CN"/>
        </w:rPr>
        <w:t>作</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ascii="仿宋_GB2312" w:eastAsia="仿宋_GB2312"/>
          <w:sz w:val="32"/>
          <w:szCs w:val="32"/>
        </w:rPr>
      </w:pPr>
      <w:r>
        <w:rPr>
          <w:rFonts w:hint="eastAsia" w:ascii="仿宋_GB2312" w:eastAsia="仿宋_GB2312"/>
          <w:sz w:val="32"/>
          <w:szCs w:val="32"/>
        </w:rPr>
        <w:t>沙湾市环境卫生服务中心2023年度，实有人数</w:t>
      </w:r>
      <w:r>
        <w:rPr>
          <w:rFonts w:hint="eastAsia" w:ascii="仿宋_GB2312" w:eastAsia="仿宋_GB2312"/>
          <w:sz w:val="32"/>
          <w:szCs w:val="32"/>
          <w:lang w:val="zh-CN"/>
        </w:rPr>
        <w:t>39</w:t>
      </w:r>
      <w:r>
        <w:rPr>
          <w:rFonts w:hint="eastAsia" w:ascii="仿宋_GB2312" w:eastAsia="仿宋_GB2312"/>
          <w:sz w:val="32"/>
          <w:szCs w:val="32"/>
        </w:rPr>
        <w:t>人，其中：在职人员</w:t>
      </w:r>
      <w:r>
        <w:rPr>
          <w:rFonts w:hint="eastAsia" w:ascii="仿宋_GB2312" w:eastAsia="仿宋_GB2312"/>
          <w:sz w:val="32"/>
          <w:szCs w:val="32"/>
          <w:lang w:val="zh-CN"/>
        </w:rPr>
        <w:t>22</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17</w:t>
      </w:r>
      <w:r>
        <w:rPr>
          <w:rFonts w:hint="eastAsia" w:ascii="仿宋_GB2312" w:eastAsia="仿宋_GB2312"/>
          <w:sz w:val="32"/>
          <w:szCs w:val="32"/>
        </w:rPr>
        <w:t>人</w:t>
      </w:r>
      <w:r>
        <w:rPr>
          <w:rFonts w:hint="eastAsia" w:ascii="仿宋_GB2312" w:eastAsia="仿宋_GB2312"/>
          <w:color w:val="000000" w:themeColor="text1"/>
          <w:sz w:val="32"/>
          <w:szCs w:val="32"/>
        </w:rPr>
        <w:t>。</w:t>
      </w:r>
    </w:p>
    <w:p>
      <w:pPr>
        <w:spacing w:line="580" w:lineRule="exact"/>
        <w:ind w:firstLine="640" w:firstLineChars="200"/>
        <w:rPr>
          <w:rFonts w:hint="eastAsia" w:ascii="仿宋" w:hAnsi="仿宋" w:eastAsia="仿宋"/>
          <w:sz w:val="32"/>
          <w:szCs w:val="32"/>
        </w:r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六</w:t>
      </w:r>
      <w:r>
        <w:rPr>
          <w:rFonts w:hint="eastAsia" w:ascii="仿宋" w:hAnsi="仿宋" w:eastAsia="仿宋"/>
          <w:sz w:val="32"/>
          <w:szCs w:val="32"/>
        </w:rPr>
        <w:t>个科室，分别是：办公室、财务室、收费办、车队、清洁队、采购办。</w:t>
      </w:r>
      <w:bookmarkStart w:id="6" w:name="_Toc29374"/>
      <w:bookmarkStart w:id="7" w:name="_Toc3092"/>
    </w:p>
    <w:p>
      <w:pPr>
        <w:rPr>
          <w:rFonts w:hint="eastAsia" w:ascii="仿宋" w:hAnsi="仿宋" w:eastAsia="仿宋"/>
          <w:sz w:val="32"/>
          <w:szCs w:val="32"/>
        </w:rPr>
      </w:pPr>
      <w:r>
        <w:rPr>
          <w:rFonts w:hint="eastAsia" w:ascii="仿宋" w:hAnsi="仿宋" w:eastAsia="仿宋"/>
          <w:sz w:val="32"/>
          <w:szCs w:val="32"/>
        </w:rPr>
        <w:br w:type="page"/>
      </w:r>
    </w:p>
    <w:p>
      <w:pPr>
        <w:jc w:val="center"/>
        <w:outlineLvl w:val="0"/>
        <w:rPr>
          <w:rFonts w:ascii="黑体" w:hAnsi="黑体" w:eastAsia="黑体"/>
          <w:sz w:val="32"/>
          <w:szCs w:val="32"/>
        </w:rPr>
      </w:pPr>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hint="eastAsia" w:ascii="仿宋_GB2312" w:eastAsia="仿宋_GB2312"/>
          <w:sz w:val="32"/>
          <w:szCs w:val="32"/>
        </w:rPr>
      </w:pPr>
      <w:r>
        <w:rPr>
          <w:rFonts w:hint="eastAsia" w:ascii="仿宋_GB2312" w:eastAsia="仿宋_GB2312"/>
          <w:sz w:val="32"/>
          <w:szCs w:val="32"/>
        </w:rPr>
        <w:t>2023年度收入总计816.28万元，其中：本年收入合计816.28万元，使用非财政拨款结余0.00万元，年初结转和结余0.00万元。</w:t>
      </w:r>
    </w:p>
    <w:p>
      <w:pPr>
        <w:ind w:firstLine="640" w:firstLineChars="200"/>
        <w:jc w:val="left"/>
        <w:rPr>
          <w:rFonts w:hint="eastAsia" w:ascii="仿宋_GB2312" w:eastAsia="仿宋_GB2312"/>
          <w:sz w:val="32"/>
          <w:szCs w:val="32"/>
        </w:rPr>
      </w:pPr>
      <w:r>
        <w:rPr>
          <w:rFonts w:hint="eastAsia" w:ascii="仿宋_GB2312" w:eastAsia="仿宋_GB2312"/>
          <w:sz w:val="32"/>
          <w:szCs w:val="32"/>
        </w:rPr>
        <w:t>2023年度支出总计816.28万元，其中：本年支出合计816.28万元，结余分配0.00万元，年末结转和结余0.00万元。</w:t>
      </w:r>
    </w:p>
    <w:p>
      <w:pPr>
        <w:ind w:firstLine="640" w:firstLineChars="200"/>
        <w:jc w:val="left"/>
        <w:rPr>
          <w:rFonts w:hint="eastAsia" w:ascii="仿宋_GB2312" w:eastAsia="仿宋_GB2312"/>
          <w:sz w:val="32"/>
          <w:szCs w:val="32"/>
          <w:lang w:eastAsia="zh-CN"/>
        </w:rPr>
      </w:pPr>
      <w:r>
        <w:rPr>
          <w:rFonts w:hint="eastAsia" w:ascii="仿宋_GB2312" w:eastAsia="仿宋_GB2312"/>
          <w:sz w:val="32"/>
          <w:szCs w:val="32"/>
        </w:rPr>
        <w:t>收入支出总体与上年相比，</w:t>
      </w:r>
      <w:r>
        <w:rPr>
          <w:rFonts w:hint="eastAsia" w:ascii="仿宋_GB2312" w:eastAsia="仿宋_GB2312"/>
          <w:sz w:val="32"/>
          <w:szCs w:val="32"/>
          <w:lang w:val="zh-CN"/>
        </w:rPr>
        <w:t>减少9,224.72万元</w:t>
      </w:r>
      <w:r>
        <w:rPr>
          <w:rFonts w:hint="eastAsia" w:ascii="仿宋_GB2312" w:eastAsia="仿宋_GB2312"/>
          <w:sz w:val="32"/>
          <w:szCs w:val="32"/>
        </w:rPr>
        <w:t>，下降91.87%，主要原因是：因2022年下半年起转型为政府购买社会化服务，财聘人员工资社保支出，专项业务经费支出及供养人员伙食费支出部分减少</w:t>
      </w:r>
      <w:r>
        <w:rPr>
          <w:rFonts w:hint="eastAsia" w:ascii="仿宋_GB2312" w:eastAsia="仿宋_GB2312"/>
          <w:sz w:val="32"/>
          <w:szCs w:val="32"/>
          <w:lang w:eastAsia="zh-CN"/>
        </w:rPr>
        <w:t>，</w:t>
      </w:r>
      <w:r>
        <w:rPr>
          <w:rFonts w:hint="eastAsia" w:ascii="仿宋_GB2312" w:eastAsia="仿宋_GB2312"/>
          <w:sz w:val="32"/>
          <w:szCs w:val="32"/>
          <w:lang w:val="en-US" w:eastAsia="zh-CN"/>
        </w:rPr>
        <w:t>2023年减少</w:t>
      </w:r>
      <w:r>
        <w:rPr>
          <w:rFonts w:hint="eastAsia" w:ascii="仿宋_GB2312" w:eastAsia="仿宋_GB2312"/>
          <w:color w:val="000000" w:themeColor="text1"/>
          <w:sz w:val="32"/>
          <w:szCs w:val="32"/>
          <w:lang w:eastAsia="zh-CN"/>
        </w:rPr>
        <w:t>政府性基金项目。</w:t>
      </w:r>
    </w:p>
    <w:p>
      <w:pPr>
        <w:ind w:firstLine="640" w:firstLineChars="200"/>
        <w:jc w:val="left"/>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jc w:val="left"/>
        <w:rPr>
          <w:rFonts w:hint="eastAsia" w:ascii="仿宋_GB2312" w:eastAsia="仿宋_GB2312"/>
          <w:sz w:val="32"/>
          <w:szCs w:val="32"/>
        </w:rPr>
      </w:pPr>
      <w:r>
        <w:rPr>
          <w:rFonts w:hint="eastAsia" w:ascii="仿宋_GB2312" w:eastAsia="仿宋_GB2312"/>
          <w:sz w:val="32"/>
          <w:szCs w:val="32"/>
        </w:rPr>
        <w:t>本年收入816.28万元，其中：财政拨款收入</w:t>
      </w:r>
      <w:r>
        <w:rPr>
          <w:rFonts w:hint="eastAsia" w:ascii="仿宋_GB2312" w:eastAsia="仿宋_GB2312"/>
          <w:sz w:val="32"/>
          <w:szCs w:val="32"/>
          <w:lang w:val="zh-CN"/>
        </w:rPr>
        <w:t>816.28</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jc w:val="left"/>
        <w:rPr>
          <w:rFonts w:ascii="仿宋_GB2312" w:hAnsi="仿宋_GB2312" w:eastAsia="仿宋_GB2312" w:cs="仿宋_GB2312"/>
          <w:color w:val="auto"/>
          <w:sz w:val="32"/>
          <w:szCs w:val="32"/>
          <w:lang w:val="zh-CN"/>
        </w:rPr>
      </w:pPr>
      <w:r>
        <w:rPr>
          <w:rFonts w:hint="eastAsia" w:ascii="仿宋_GB2312" w:eastAsia="仿宋_GB2312"/>
          <w:sz w:val="32"/>
          <w:szCs w:val="32"/>
          <w:lang w:val="zh-CN"/>
        </w:rPr>
        <w:t>本年支出816.28万元，其中：基本支出372.95万元，占45.69%；项目支出443.32万元，占54.31%；上缴上级支出0.00万元，占0.00%；经营支出0.00万元，占0.00%；</w:t>
      </w:r>
      <w:r>
        <w:rPr>
          <w:rFonts w:hint="eastAsia" w:ascii="仿宋_GB2312" w:hAnsi="仿宋_GB2312" w:eastAsia="仿宋_GB2312" w:cs="仿宋_GB2312"/>
          <w:color w:val="auto"/>
          <w:sz w:val="32"/>
          <w:szCs w:val="32"/>
          <w:lang w:val="zh-CN"/>
        </w:rPr>
        <w:t>对附属单位补助支出0.00万元，占0.00%。</w:t>
      </w:r>
    </w:p>
    <w:p>
      <w:pPr>
        <w:ind w:firstLine="640" w:firstLineChars="200"/>
        <w:jc w:val="left"/>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2023年度财政拨款收入总计816.28万元，其中：年初财政拨款结转和结余0.00万元，本年财政拨款收入816.28万元。财政拨款支出总计816.28万元，其中：年末财政拨款结转和结余0.00万元，本年财政拨款支出816.28万元。</w:t>
      </w:r>
    </w:p>
    <w:p>
      <w:pPr>
        <w:ind w:firstLine="640" w:firstLineChars="200"/>
        <w:jc w:val="left"/>
        <w:rPr>
          <w:rFonts w:hint="eastAsia" w:ascii="仿宋_GB2312" w:eastAsia="仿宋_GB2312"/>
          <w:sz w:val="32"/>
          <w:szCs w:val="32"/>
          <w:lang w:val="zh-CN" w:eastAsia="zh-CN"/>
        </w:rPr>
      </w:pPr>
      <w:r>
        <w:rPr>
          <w:rFonts w:hint="eastAsia" w:ascii="仿宋_GB2312" w:eastAsia="仿宋_GB2312"/>
          <w:sz w:val="32"/>
          <w:szCs w:val="32"/>
          <w:lang w:val="zh-CN"/>
        </w:rPr>
        <w:t>财政拨款收入支出总体与上年相比,减少9,224.72万元，下降91.87%,主要原因是：因2022年下半年起转型为政府购买社会化服务，财聘人员工资社保支出，专项业务经费支出及供养人员伙食费支出部分减少，</w:t>
      </w:r>
      <w:r>
        <w:rPr>
          <w:rFonts w:hint="eastAsia" w:ascii="仿宋_GB2312" w:eastAsia="仿宋_GB2312"/>
          <w:sz w:val="32"/>
          <w:szCs w:val="32"/>
          <w:lang w:val="en-US" w:eastAsia="zh-CN"/>
        </w:rPr>
        <w:t>2023年减少</w:t>
      </w:r>
      <w:r>
        <w:rPr>
          <w:rFonts w:hint="eastAsia" w:ascii="仿宋_GB2312" w:eastAsia="仿宋_GB2312"/>
          <w:color w:val="000000" w:themeColor="text1"/>
          <w:sz w:val="32"/>
          <w:szCs w:val="32"/>
          <w:lang w:eastAsia="zh-CN"/>
        </w:rPr>
        <w:t>政府性基金项目。</w:t>
      </w:r>
      <w:r>
        <w:rPr>
          <w:rFonts w:hint="eastAsia" w:ascii="仿宋_GB2312" w:eastAsia="仿宋_GB2312"/>
          <w:sz w:val="32"/>
          <w:szCs w:val="32"/>
          <w:lang w:val="zh-CN"/>
        </w:rPr>
        <w:t>与年初预算相比，年初预算数402.29万元，决算数816.28万元，预决算差异率</w:t>
      </w:r>
      <w:r>
        <w:rPr>
          <w:rFonts w:hint="eastAsia" w:ascii="仿宋_GB2312" w:eastAsia="仿宋_GB2312"/>
          <w:sz w:val="32"/>
          <w:szCs w:val="32"/>
        </w:rPr>
        <w:t>102.91%，主</w:t>
      </w:r>
      <w:r>
        <w:rPr>
          <w:rFonts w:hint="eastAsia" w:ascii="仿宋_GB2312" w:eastAsia="仿宋_GB2312"/>
          <w:sz w:val="32"/>
          <w:szCs w:val="32"/>
          <w:lang w:val="zh-CN"/>
        </w:rPr>
        <w:t>要原因是：本年度人员工资，住房公积金增加，</w:t>
      </w:r>
      <w:r>
        <w:rPr>
          <w:rFonts w:hint="eastAsia" w:ascii="仿宋_GB2312" w:eastAsia="仿宋_GB2312"/>
          <w:sz w:val="32"/>
          <w:szCs w:val="32"/>
          <w:lang w:val="zh-CN" w:eastAsia="zh-CN"/>
        </w:rPr>
        <w:t>追加</w:t>
      </w:r>
      <w:r>
        <w:rPr>
          <w:rFonts w:hint="eastAsia" w:ascii="仿宋_GB2312" w:eastAsia="仿宋_GB2312"/>
          <w:sz w:val="32"/>
          <w:szCs w:val="32"/>
          <w:lang w:val="zh-CN"/>
        </w:rPr>
        <w:t>政府性基金</w:t>
      </w:r>
      <w:r>
        <w:rPr>
          <w:rFonts w:hint="eastAsia" w:ascii="仿宋_GB2312" w:eastAsia="仿宋_GB2312"/>
          <w:sz w:val="32"/>
          <w:szCs w:val="32"/>
          <w:lang w:val="en-US" w:eastAsia="zh-CN"/>
        </w:rPr>
        <w:t>及特定类</w:t>
      </w:r>
      <w:r>
        <w:rPr>
          <w:rFonts w:hint="eastAsia" w:ascii="仿宋_GB2312" w:eastAsia="仿宋_GB2312"/>
          <w:sz w:val="32"/>
          <w:szCs w:val="32"/>
          <w:lang w:val="zh-CN"/>
        </w:rPr>
        <w:t>项目</w:t>
      </w:r>
      <w:r>
        <w:rPr>
          <w:rFonts w:hint="eastAsia" w:ascii="仿宋_GB2312" w:eastAsia="仿宋_GB2312"/>
          <w:sz w:val="32"/>
          <w:szCs w:val="32"/>
          <w:lang w:val="zh-CN" w:eastAsia="zh-CN"/>
        </w:rPr>
        <w:t>。</w:t>
      </w:r>
    </w:p>
    <w:p>
      <w:pPr>
        <w:ind w:firstLine="640" w:firstLineChars="200"/>
        <w:jc w:val="left"/>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spacing w:line="600" w:lineRule="exact"/>
        <w:ind w:firstLine="640" w:firstLineChars="200"/>
        <w:jc w:val="left"/>
        <w:rPr>
          <w:rFonts w:hint="eastAsia" w:ascii="仿宋_GB2312" w:eastAsia="仿宋_GB2312"/>
          <w:sz w:val="32"/>
          <w:szCs w:val="32"/>
          <w:lang w:val="en-US" w:eastAsia="zh-CN"/>
        </w:rPr>
      </w:pPr>
      <w:r>
        <w:rPr>
          <w:rFonts w:hint="eastAsia" w:ascii="仿宋_GB2312" w:eastAsia="仿宋_GB2312"/>
          <w:sz w:val="32"/>
          <w:szCs w:val="32"/>
          <w:lang w:val="zh-CN"/>
        </w:rPr>
        <w:t>2023年度一般公共预算财政拨款支出556.28万元，占本年支出合计的68.15%。与上年相比，减少484.72万元，下降46.56%,主要原因是：2023年人员调出1人、退休1人、财聘人员从2022年7月1日起转入政府购买社会化服务企业等减少了人员经费支出。因厉行节约、减少开支，减少了公用经费支出，减少政府性基金项目等。与年初预算相比，</w:t>
      </w:r>
      <w:r>
        <w:rPr>
          <w:rFonts w:hint="eastAsia" w:ascii="仿宋_GB2312" w:eastAsia="仿宋_GB2312"/>
          <w:sz w:val="32"/>
          <w:szCs w:val="32"/>
        </w:rPr>
        <w:t>年初预算数</w:t>
      </w:r>
      <w:r>
        <w:rPr>
          <w:rFonts w:hint="eastAsia" w:ascii="仿宋_GB2312" w:eastAsia="仿宋_GB2312"/>
          <w:sz w:val="32"/>
          <w:szCs w:val="32"/>
          <w:lang w:val="zh-CN"/>
        </w:rPr>
        <w:t>402.29</w:t>
      </w:r>
      <w:r>
        <w:rPr>
          <w:rFonts w:hint="eastAsia" w:ascii="仿宋_GB2312" w:eastAsia="仿宋_GB2312"/>
          <w:sz w:val="32"/>
          <w:szCs w:val="32"/>
        </w:rPr>
        <w:t>万元，决算数</w:t>
      </w:r>
      <w:r>
        <w:rPr>
          <w:rFonts w:hint="eastAsia" w:ascii="仿宋_GB2312" w:eastAsia="仿宋_GB2312"/>
          <w:sz w:val="32"/>
          <w:szCs w:val="32"/>
          <w:lang w:val="zh-CN"/>
        </w:rPr>
        <w:t>556.28</w:t>
      </w:r>
      <w:r>
        <w:rPr>
          <w:rFonts w:hint="eastAsia" w:ascii="仿宋_GB2312" w:eastAsia="仿宋_GB2312"/>
          <w:sz w:val="32"/>
          <w:szCs w:val="32"/>
        </w:rPr>
        <w:t>万元，预决算差异率</w:t>
      </w:r>
      <w:r>
        <w:rPr>
          <w:rFonts w:hint="eastAsia" w:ascii="仿宋_GB2312" w:eastAsia="仿宋_GB2312"/>
          <w:sz w:val="32"/>
          <w:szCs w:val="32"/>
          <w:lang w:val="zh-CN"/>
        </w:rPr>
        <w:t>38.28%</w:t>
      </w:r>
      <w:r>
        <w:rPr>
          <w:rFonts w:hint="eastAsia" w:ascii="仿宋_GB2312" w:eastAsia="仿宋_GB2312"/>
          <w:sz w:val="32"/>
          <w:szCs w:val="32"/>
        </w:rPr>
        <w:t>，主要原因</w:t>
      </w:r>
      <w:r>
        <w:rPr>
          <w:rFonts w:hint="eastAsia" w:ascii="仿宋_GB2312" w:eastAsia="仿宋_GB2312"/>
          <w:sz w:val="32"/>
          <w:szCs w:val="32"/>
          <w:lang w:val="zh-CN"/>
        </w:rPr>
        <w:t>是：本年度人员工资，住房公积金增加。</w:t>
      </w:r>
    </w:p>
    <w:p>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hint="eastAsia" w:ascii="仿宋_GB2312" w:hAnsi="Times New Roman" w:eastAsia="仿宋_GB2312" w:cs="Times New Roman"/>
          <w:kern w:val="2"/>
          <w:sz w:val="32"/>
          <w:szCs w:val="32"/>
          <w:lang w:val="zh-CN" w:eastAsia="zh-CN" w:bidi="ar-SA"/>
        </w:rPr>
      </w:pPr>
      <w:r>
        <w:rPr>
          <w:rFonts w:hint="eastAsia" w:ascii="仿宋_GB2312" w:hAnsi="Times New Roman" w:eastAsia="仿宋_GB2312" w:cs="Times New Roman"/>
          <w:kern w:val="2"/>
          <w:sz w:val="32"/>
          <w:szCs w:val="32"/>
          <w:lang w:val="en-US" w:eastAsia="zh-CN" w:bidi="ar-SA"/>
        </w:rPr>
        <w:t>1</w:t>
      </w:r>
      <w:r>
        <w:rPr>
          <w:rFonts w:hint="eastAsia" w:ascii="仿宋_GB2312" w:hAnsi="Times New Roman" w:eastAsia="仿宋_GB2312" w:cs="Times New Roman"/>
          <w:kern w:val="2"/>
          <w:sz w:val="32"/>
          <w:szCs w:val="32"/>
          <w:lang w:val="zh-CN" w:eastAsia="zh-CN" w:bidi="ar-SA"/>
        </w:rPr>
        <w:t>.社会保障和就业支出（类）41.33万元，占7.43%；</w:t>
      </w:r>
    </w:p>
    <w:p>
      <w:pPr>
        <w:pStyle w:val="8"/>
        <w:widowControl/>
        <w:spacing w:before="0" w:beforeAutospacing="0" w:after="0" w:afterAutospacing="0"/>
        <w:ind w:firstLine="640" w:firstLineChars="200"/>
        <w:rPr>
          <w:rFonts w:hint="eastAsia" w:ascii="仿宋_GB2312" w:hAnsi="Times New Roman" w:eastAsia="仿宋_GB2312" w:cs="Times New Roman"/>
          <w:kern w:val="2"/>
          <w:sz w:val="32"/>
          <w:szCs w:val="32"/>
          <w:lang w:val="zh-CN" w:eastAsia="zh-CN" w:bidi="ar-SA"/>
        </w:rPr>
      </w:pPr>
      <w:r>
        <w:rPr>
          <w:rFonts w:hint="eastAsia" w:ascii="仿宋_GB2312" w:hAnsi="Times New Roman" w:eastAsia="仿宋_GB2312" w:cs="Times New Roman"/>
          <w:kern w:val="2"/>
          <w:sz w:val="32"/>
          <w:szCs w:val="32"/>
          <w:lang w:val="en-US" w:eastAsia="zh-CN" w:bidi="ar-SA"/>
        </w:rPr>
        <w:t>2</w:t>
      </w:r>
      <w:r>
        <w:rPr>
          <w:rFonts w:hint="eastAsia" w:ascii="仿宋_GB2312" w:hAnsi="Times New Roman" w:eastAsia="仿宋_GB2312" w:cs="Times New Roman"/>
          <w:kern w:val="2"/>
          <w:sz w:val="32"/>
          <w:szCs w:val="32"/>
          <w:lang w:val="zh-CN" w:eastAsia="zh-CN" w:bidi="ar-SA"/>
        </w:rPr>
        <w:t>.卫生健康支出（类）20.</w:t>
      </w:r>
      <w:r>
        <w:rPr>
          <w:rFonts w:hint="eastAsia" w:ascii="仿宋_GB2312" w:hAnsi="Times New Roman" w:eastAsia="仿宋_GB2312" w:cs="Times New Roman"/>
          <w:kern w:val="2"/>
          <w:sz w:val="32"/>
          <w:szCs w:val="32"/>
          <w:lang w:val="en-US" w:eastAsia="zh-CN" w:bidi="ar-SA"/>
        </w:rPr>
        <w:t>60</w:t>
      </w:r>
      <w:r>
        <w:rPr>
          <w:rFonts w:hint="eastAsia" w:ascii="仿宋_GB2312" w:hAnsi="Times New Roman" w:eastAsia="仿宋_GB2312" w:cs="Times New Roman"/>
          <w:kern w:val="2"/>
          <w:sz w:val="32"/>
          <w:szCs w:val="32"/>
          <w:lang w:val="zh-CN" w:eastAsia="zh-CN" w:bidi="ar-SA"/>
        </w:rPr>
        <w:t>万元，占3.70%；</w:t>
      </w:r>
    </w:p>
    <w:p>
      <w:pPr>
        <w:pStyle w:val="8"/>
        <w:widowControl/>
        <w:spacing w:before="0" w:beforeAutospacing="0" w:after="0" w:afterAutospacing="0"/>
        <w:ind w:firstLine="640" w:firstLineChars="200"/>
        <w:rPr>
          <w:rFonts w:hint="eastAsia" w:ascii="仿宋_GB2312" w:hAnsi="Times New Roman" w:eastAsia="仿宋_GB2312" w:cs="Times New Roman"/>
          <w:kern w:val="2"/>
          <w:sz w:val="32"/>
          <w:szCs w:val="32"/>
          <w:lang w:val="zh-CN" w:eastAsia="zh-CN" w:bidi="ar-SA"/>
        </w:rPr>
      </w:pPr>
      <w:r>
        <w:rPr>
          <w:rFonts w:hint="eastAsia" w:ascii="仿宋_GB2312" w:hAnsi="Times New Roman" w:eastAsia="仿宋_GB2312" w:cs="Times New Roman"/>
          <w:kern w:val="2"/>
          <w:sz w:val="32"/>
          <w:szCs w:val="32"/>
          <w:lang w:val="en-US" w:eastAsia="zh-CN" w:bidi="ar-SA"/>
        </w:rPr>
        <w:t>3</w:t>
      </w:r>
      <w:r>
        <w:rPr>
          <w:rFonts w:hint="eastAsia" w:ascii="仿宋_GB2312" w:hAnsi="Times New Roman" w:eastAsia="仿宋_GB2312" w:cs="Times New Roman"/>
          <w:kern w:val="2"/>
          <w:sz w:val="32"/>
          <w:szCs w:val="32"/>
          <w:lang w:val="zh-CN" w:eastAsia="zh-CN" w:bidi="ar-SA"/>
        </w:rPr>
        <w:t>.城乡社区支出（类）469.00万元，占 84.31%；</w:t>
      </w:r>
    </w:p>
    <w:p>
      <w:pPr>
        <w:pStyle w:val="8"/>
        <w:widowControl/>
        <w:spacing w:before="0" w:beforeAutospacing="0" w:after="0" w:afterAutospacing="0"/>
        <w:ind w:firstLine="640" w:firstLineChars="200"/>
        <w:rPr>
          <w:rFonts w:hint="eastAsia" w:ascii="仿宋_GB2312" w:hAnsi="Times New Roman" w:eastAsia="仿宋_GB2312" w:cs="Times New Roman"/>
          <w:kern w:val="2"/>
          <w:sz w:val="32"/>
          <w:szCs w:val="32"/>
          <w:lang w:val="zh-CN" w:eastAsia="zh-CN" w:bidi="ar-SA"/>
        </w:rPr>
      </w:pPr>
      <w:r>
        <w:rPr>
          <w:rFonts w:hint="eastAsia" w:ascii="仿宋_GB2312" w:hAnsi="Times New Roman" w:eastAsia="仿宋_GB2312" w:cs="Times New Roman"/>
          <w:kern w:val="2"/>
          <w:sz w:val="32"/>
          <w:szCs w:val="32"/>
          <w:lang w:val="en-US" w:eastAsia="zh-CN" w:bidi="ar-SA"/>
        </w:rPr>
        <w:t>4</w:t>
      </w:r>
      <w:r>
        <w:rPr>
          <w:rFonts w:hint="eastAsia" w:ascii="仿宋_GB2312" w:hAnsi="Times New Roman" w:eastAsia="仿宋_GB2312" w:cs="Times New Roman"/>
          <w:kern w:val="2"/>
          <w:sz w:val="32"/>
          <w:szCs w:val="32"/>
          <w:lang w:val="zh-CN" w:eastAsia="zh-CN" w:bidi="ar-SA"/>
        </w:rPr>
        <w:t>.住房保障支出（类）25.35万元，占4.56%；</w:t>
      </w:r>
    </w:p>
    <w:p>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pStyle w:val="8"/>
        <w:widowControl/>
        <w:spacing w:before="0" w:beforeAutospacing="0" w:after="0" w:afterAutospacing="0"/>
        <w:ind w:firstLine="640" w:firstLineChars="200"/>
        <w:rPr>
          <w:rFonts w:hint="eastAsia" w:ascii="仿宋_GB2312" w:hAnsi="Times New Roman" w:eastAsia="仿宋_GB2312" w:cs="Times New Roman"/>
          <w:kern w:val="2"/>
          <w:sz w:val="32"/>
          <w:szCs w:val="32"/>
          <w:lang w:val="zh-CN" w:eastAsia="zh-CN" w:bidi="ar-SA"/>
        </w:rPr>
      </w:pPr>
      <w:r>
        <w:rPr>
          <w:rFonts w:hint="eastAsia" w:ascii="仿宋_GB2312" w:hAnsi="Times New Roman" w:eastAsia="仿宋_GB2312" w:cs="Times New Roman"/>
          <w:kern w:val="2"/>
          <w:sz w:val="32"/>
          <w:szCs w:val="32"/>
          <w:lang w:val="zh-CN" w:eastAsia="zh-CN" w:bidi="ar-SA"/>
        </w:rPr>
        <w:t>1.卫生健康支出（类）行政事业单位医疗（款）事业单位医疗（项）:支出决算数为20.60万元，比上年决算减少0.41万元，下降1.95%，主要原因是：2023年在职人员调出1人、退休1人。</w:t>
      </w:r>
    </w:p>
    <w:p>
      <w:pPr>
        <w:pStyle w:val="8"/>
        <w:widowControl/>
        <w:spacing w:before="0" w:beforeAutospacing="0" w:after="0" w:afterAutospacing="0"/>
        <w:ind w:firstLine="640" w:firstLineChars="200"/>
        <w:rPr>
          <w:rFonts w:hint="eastAsia" w:ascii="仿宋_GB2312" w:hAnsi="Times New Roman" w:eastAsia="仿宋_GB2312" w:cs="Times New Roman"/>
          <w:kern w:val="2"/>
          <w:sz w:val="32"/>
          <w:szCs w:val="32"/>
          <w:lang w:val="zh-CN" w:eastAsia="zh-CN" w:bidi="ar-SA"/>
        </w:rPr>
      </w:pPr>
      <w:r>
        <w:rPr>
          <w:rFonts w:hint="eastAsia" w:ascii="仿宋_GB2312" w:hAnsi="Times New Roman" w:eastAsia="仿宋_GB2312" w:cs="Times New Roman"/>
          <w:kern w:val="2"/>
          <w:sz w:val="32"/>
          <w:szCs w:val="32"/>
          <w:lang w:val="zh-CN" w:eastAsia="zh-CN" w:bidi="ar-SA"/>
        </w:rPr>
        <w:t>2.城乡社区支出（类）城乡社区环境卫生（款）城乡社区环境卫生（项）:支出决算数为285.68万元，比上年决算减少647.12万元，下降69.37%，主要原因是：财聘人员从2022年7月1日起转入政府购买社会化服务企业等，减少了人员经费支出。厉行节约、减少开支，减少了公用经费支出。</w:t>
      </w:r>
    </w:p>
    <w:p>
      <w:pPr>
        <w:pStyle w:val="8"/>
        <w:widowControl/>
        <w:spacing w:before="0" w:beforeAutospacing="0" w:after="0" w:afterAutospacing="0"/>
        <w:ind w:firstLine="640" w:firstLineChars="200"/>
        <w:rPr>
          <w:rFonts w:hint="eastAsia" w:ascii="仿宋_GB2312" w:hAnsi="Times New Roman" w:eastAsia="仿宋_GB2312" w:cs="Times New Roman"/>
          <w:kern w:val="2"/>
          <w:sz w:val="32"/>
          <w:szCs w:val="32"/>
          <w:lang w:val="zh-CN" w:eastAsia="zh-CN" w:bidi="ar-SA"/>
        </w:rPr>
      </w:pPr>
      <w:r>
        <w:rPr>
          <w:rFonts w:hint="eastAsia" w:ascii="仿宋_GB2312" w:hAnsi="Times New Roman" w:eastAsia="仿宋_GB2312" w:cs="Times New Roman"/>
          <w:kern w:val="2"/>
          <w:sz w:val="32"/>
          <w:szCs w:val="32"/>
          <w:lang w:val="zh-CN" w:eastAsia="zh-CN" w:bidi="ar-SA"/>
        </w:rPr>
        <w:t>3.住房保障支出（类）住房改革支出（款）住房公积金（项）:支出决算数为25.35万元，比上年决算增加0.43万元，增长1.73%，主要原因是：因本年度人员工资增加，住房公积金支出增加。</w:t>
      </w:r>
    </w:p>
    <w:p>
      <w:pPr>
        <w:pStyle w:val="8"/>
        <w:widowControl/>
        <w:spacing w:before="0" w:beforeAutospacing="0" w:after="0" w:afterAutospacing="0"/>
        <w:ind w:firstLine="640" w:firstLineChars="200"/>
        <w:rPr>
          <w:rFonts w:hint="eastAsia" w:ascii="仿宋_GB2312" w:hAnsi="Times New Roman" w:eastAsia="仿宋_GB2312" w:cs="Times New Roman"/>
          <w:kern w:val="2"/>
          <w:sz w:val="32"/>
          <w:szCs w:val="32"/>
          <w:lang w:val="zh-CN" w:eastAsia="zh-CN" w:bidi="ar-SA"/>
        </w:rPr>
      </w:pPr>
      <w:r>
        <w:rPr>
          <w:rFonts w:hint="eastAsia" w:ascii="仿宋_GB2312" w:hAnsi="Times New Roman" w:eastAsia="仿宋_GB2312" w:cs="Times New Roman"/>
          <w:kern w:val="2"/>
          <w:sz w:val="32"/>
          <w:szCs w:val="32"/>
          <w:lang w:val="zh-CN" w:eastAsia="zh-CN" w:bidi="ar-SA"/>
        </w:rPr>
        <w:t>4.社会保障和就业支出（类）行政事业单位养老支出（款）事业单位离退休（项）:支出决算数为8.99万元，比上年决算增加3.23万元，增长56.08%，主要原因是：本年度增加了退休绩效奖支出。</w:t>
      </w:r>
    </w:p>
    <w:p>
      <w:pPr>
        <w:pStyle w:val="8"/>
        <w:widowControl/>
        <w:spacing w:before="0" w:beforeAutospacing="0" w:after="0" w:afterAutospacing="0"/>
        <w:ind w:firstLine="640" w:firstLineChars="200"/>
        <w:rPr>
          <w:rFonts w:hint="eastAsia" w:ascii="仿宋_GB2312" w:hAnsi="Times New Roman" w:eastAsia="仿宋_GB2312" w:cs="Times New Roman"/>
          <w:kern w:val="2"/>
          <w:sz w:val="32"/>
          <w:szCs w:val="32"/>
          <w:lang w:val="zh-CN" w:eastAsia="zh-CN" w:bidi="ar-SA"/>
        </w:rPr>
      </w:pPr>
      <w:r>
        <w:rPr>
          <w:rFonts w:hint="eastAsia" w:ascii="仿宋_GB2312" w:hAnsi="Times New Roman" w:eastAsia="仿宋_GB2312" w:cs="Times New Roman"/>
          <w:kern w:val="2"/>
          <w:sz w:val="32"/>
          <w:szCs w:val="32"/>
          <w:lang w:val="zh-CN" w:eastAsia="zh-CN" w:bidi="ar-SA"/>
        </w:rPr>
        <w:t>5.城乡社区支出（类）城乡社区公共设施（款）其他城乡社区公共设施支出（项）:支出决算数为183.33万元，比上年决算增加158.33万元，增长633.32%，主要原因是：本年度增加冬季扫雪租赁费、房屋吊顶、住院治疗费、耕地占用税滞纳金、供养人员宿舍安装充电桩和地下室吊顶维修项目等项目支出。</w:t>
      </w:r>
    </w:p>
    <w:p>
      <w:pPr>
        <w:pStyle w:val="8"/>
        <w:widowControl/>
        <w:spacing w:before="0" w:beforeAutospacing="0" w:after="0" w:afterAutospacing="0"/>
        <w:ind w:firstLine="640" w:firstLineChars="200"/>
        <w:rPr>
          <w:rFonts w:hint="eastAsia" w:ascii="仿宋_GB2312" w:hAnsi="Times New Roman" w:eastAsia="仿宋_GB2312" w:cs="Times New Roman"/>
          <w:kern w:val="2"/>
          <w:sz w:val="32"/>
          <w:szCs w:val="32"/>
          <w:lang w:val="zh-CN" w:eastAsia="zh-CN" w:bidi="ar-SA"/>
        </w:rPr>
      </w:pPr>
      <w:r>
        <w:rPr>
          <w:rFonts w:hint="eastAsia" w:ascii="仿宋_GB2312" w:hAnsi="Times New Roman" w:eastAsia="仿宋_GB2312" w:cs="Times New Roman"/>
          <w:kern w:val="2"/>
          <w:sz w:val="32"/>
          <w:szCs w:val="32"/>
          <w:lang w:val="zh-CN" w:eastAsia="zh-CN" w:bidi="ar-SA"/>
        </w:rPr>
        <w:t>6.社会保障和就业支出（类）行政事业单位养老支出（款）机关事业单位基本养老保险缴费支出（项）:支出决算数为32.34万元，比上年决算增加4.57万元，增长16.46%，主要原因是：因本年度人员工资增加原因，机关事业单位基本养老保险缴费支出也增加。</w:t>
      </w:r>
    </w:p>
    <w:p>
      <w:pPr>
        <w:pStyle w:val="8"/>
        <w:widowControl/>
        <w:spacing w:before="0" w:beforeAutospacing="0" w:after="0" w:afterAutospacing="0"/>
        <w:ind w:firstLine="640" w:firstLineChars="200"/>
        <w:rPr>
          <w:rFonts w:hint="eastAsia" w:ascii="仿宋_GB2312" w:hAnsi="Times New Roman" w:eastAsia="仿宋_GB2312" w:cs="Times New Roman"/>
          <w:kern w:val="2"/>
          <w:sz w:val="32"/>
          <w:szCs w:val="32"/>
          <w:lang w:val="zh-CN" w:eastAsia="zh-CN" w:bidi="ar-SA"/>
        </w:rPr>
      </w:pPr>
      <w:r>
        <w:rPr>
          <w:rFonts w:hint="eastAsia" w:ascii="仿宋_GB2312" w:hAnsi="Times New Roman" w:eastAsia="仿宋_GB2312" w:cs="Times New Roman"/>
          <w:kern w:val="2"/>
          <w:sz w:val="32"/>
          <w:szCs w:val="32"/>
          <w:lang w:val="zh-CN" w:eastAsia="zh-CN" w:bidi="ar-SA"/>
        </w:rPr>
        <w:t>7.其他支出（类）其他支出（款）其他支出（项）:支出决算数为0.00万元，比上年决算减少3.74万元，下降100%，主要原因是：2023年“为民办实事”经费未支出。</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hint="eastAsia" w:ascii="仿宋_GB2312" w:hAnsi="Times New Roman" w:eastAsia="仿宋_GB2312" w:cs="Times New Roman"/>
          <w:color w:val="000000" w:themeColor="text1"/>
          <w:kern w:val="2"/>
          <w:sz w:val="32"/>
          <w:szCs w:val="32"/>
          <w:lang w:val="zh-CN" w:eastAsia="zh-CN" w:bidi="ar-SA"/>
        </w:rPr>
      </w:pPr>
      <w:r>
        <w:rPr>
          <w:rFonts w:hint="eastAsia" w:ascii="仿宋_GB2312" w:hAnsi="Times New Roman" w:eastAsia="仿宋_GB2312" w:cs="Times New Roman"/>
          <w:color w:val="000000" w:themeColor="text1"/>
          <w:kern w:val="2"/>
          <w:sz w:val="32"/>
          <w:szCs w:val="32"/>
          <w:lang w:val="zh-CN" w:eastAsia="zh-CN" w:bidi="ar-SA"/>
        </w:rPr>
        <w:t>2023年度一般公共预算财政拨款基本支出372.95万元，其中：人员经费361.24万元，包括：基本工资、津贴补贴、奖金、绩效工资、机关事业单位基本养老保险缴费、职工基本医疗保险缴费、其他社会保障缴费、住房公积金、退休费、其他对个人和家庭的补助。</w:t>
      </w:r>
    </w:p>
    <w:p>
      <w:pPr>
        <w:ind w:firstLine="640" w:firstLineChars="200"/>
        <w:jc w:val="left"/>
        <w:rPr>
          <w:rFonts w:hint="eastAsia" w:ascii="仿宋_GB2312" w:hAnsi="Times New Roman" w:eastAsia="仿宋_GB2312" w:cs="Times New Roman"/>
          <w:color w:val="000000" w:themeColor="text1"/>
          <w:kern w:val="2"/>
          <w:sz w:val="32"/>
          <w:szCs w:val="32"/>
          <w:lang w:val="zh-CN" w:eastAsia="zh-CN" w:bidi="ar-SA"/>
        </w:rPr>
      </w:pPr>
      <w:r>
        <w:rPr>
          <w:rFonts w:hint="eastAsia" w:ascii="仿宋_GB2312" w:hAnsi="Times New Roman" w:eastAsia="仿宋_GB2312" w:cs="Times New Roman"/>
          <w:color w:val="000000" w:themeColor="text1"/>
          <w:kern w:val="2"/>
          <w:sz w:val="32"/>
          <w:szCs w:val="32"/>
          <w:lang w:val="zh-CN" w:eastAsia="zh-CN" w:bidi="ar-SA"/>
        </w:rPr>
        <w:t>公用经费11.7</w:t>
      </w:r>
      <w:r>
        <w:rPr>
          <w:rFonts w:hint="eastAsia" w:ascii="仿宋_GB2312" w:eastAsia="仿宋_GB2312" w:cs="Times New Roman"/>
          <w:color w:val="000000" w:themeColor="text1"/>
          <w:kern w:val="2"/>
          <w:sz w:val="32"/>
          <w:szCs w:val="32"/>
          <w:lang w:val="en-US" w:eastAsia="zh-CN" w:bidi="ar-SA"/>
        </w:rPr>
        <w:t>2</w:t>
      </w:r>
      <w:r>
        <w:rPr>
          <w:rFonts w:hint="eastAsia" w:ascii="仿宋_GB2312" w:hAnsi="Times New Roman" w:eastAsia="仿宋_GB2312" w:cs="Times New Roman"/>
          <w:color w:val="000000" w:themeColor="text1"/>
          <w:kern w:val="2"/>
          <w:sz w:val="32"/>
          <w:szCs w:val="32"/>
          <w:lang w:val="zh-CN" w:eastAsia="zh-CN" w:bidi="ar-SA"/>
        </w:rPr>
        <w:t>万元，包括：办公费、电费、邮电费、取暖费、维修（护）费、专用材料费、工会经费、其他交通费用。</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hint="eastAsia" w:ascii="仿宋_GB2312" w:hAnsi="Times New Roman" w:eastAsia="仿宋_GB2312" w:cs="Times New Roman"/>
          <w:kern w:val="2"/>
          <w:sz w:val="32"/>
          <w:szCs w:val="32"/>
          <w:lang w:val="zh-CN" w:eastAsia="zh-CN" w:bidi="ar-SA"/>
        </w:rPr>
      </w:pPr>
      <w:r>
        <w:rPr>
          <w:rFonts w:hint="eastAsia" w:ascii="仿宋_GB2312" w:hAnsi="Times New Roman" w:eastAsia="仿宋_GB2312" w:cs="Times New Roman"/>
          <w:kern w:val="2"/>
          <w:sz w:val="32"/>
          <w:szCs w:val="32"/>
          <w:lang w:val="zh-CN" w:eastAsia="zh-CN" w:bidi="ar-SA"/>
        </w:rPr>
        <w:t>2023年度财政拨款“三公”经费支出0.00万元，比上年减少0.44万元，下降100.00%,主要原因是：2023年公务用车运行维护费支出从我单位预付上年度资金中支出，本年未支付“三公”经费支出。其中：因公出国（境）费支出0.00万元，占0.00%，比上年增加0.00万元，增长0.00%,主要原因是：今年没有安排因公出国（境）费支出预算；公务用车购置及运行维护费支出0.00万元，占0.00%，比上年减少0.44万元，下降100.00%,主要原因是：2023年公务用车运行维护费支出从我单位预付上年度资金中支出，本年未支付“三公”经费支出；公务接待费支出0.00万元，占0.00%，比上年增加0.00万元，增长0.00%,主要原因是：今年没有安排公务接待费支出预算。</w:t>
      </w:r>
    </w:p>
    <w:p>
      <w:pPr>
        <w:ind w:firstLine="640" w:firstLineChars="200"/>
        <w:jc w:val="left"/>
        <w:rPr>
          <w:rFonts w:hint="eastAsia" w:ascii="仿宋_GB2312" w:hAnsi="Times New Roman" w:eastAsia="仿宋_GB2312" w:cs="Times New Roman"/>
          <w:kern w:val="2"/>
          <w:sz w:val="32"/>
          <w:szCs w:val="32"/>
          <w:lang w:val="zh-CN" w:eastAsia="zh-CN" w:bidi="ar-SA"/>
        </w:rPr>
      </w:pPr>
      <w:r>
        <w:rPr>
          <w:rFonts w:hint="eastAsia" w:ascii="仿宋_GB2312" w:hAnsi="Times New Roman" w:eastAsia="仿宋_GB2312" w:cs="Times New Roman"/>
          <w:kern w:val="2"/>
          <w:sz w:val="32"/>
          <w:szCs w:val="32"/>
          <w:lang w:val="zh-CN" w:eastAsia="zh-CN" w:bidi="ar-SA"/>
        </w:rPr>
        <w:t>具体情况如下：</w:t>
      </w:r>
    </w:p>
    <w:p>
      <w:pPr>
        <w:ind w:firstLine="640" w:firstLineChars="200"/>
        <w:jc w:val="left"/>
        <w:rPr>
          <w:rFonts w:hint="eastAsia" w:ascii="仿宋_GB2312" w:hAnsi="Times New Roman" w:eastAsia="仿宋_GB2312" w:cs="Times New Roman"/>
          <w:kern w:val="2"/>
          <w:sz w:val="32"/>
          <w:szCs w:val="32"/>
          <w:lang w:val="zh-CN" w:eastAsia="zh-CN" w:bidi="ar-SA"/>
        </w:rPr>
      </w:pPr>
      <w:r>
        <w:rPr>
          <w:rFonts w:hint="eastAsia" w:ascii="仿宋_GB2312" w:hAnsi="Times New Roman" w:eastAsia="仿宋_GB2312" w:cs="Times New Roman"/>
          <w:kern w:val="2"/>
          <w:sz w:val="32"/>
          <w:szCs w:val="32"/>
          <w:lang w:val="zh-CN" w:eastAsia="zh-CN" w:bidi="ar-SA"/>
        </w:rPr>
        <w:t>因公出国（境）费支出0.00万元，开支内容包括今年没有安排因公出国（境）费支出预算。单位全年安排的因公出国（境）团组0个，因公出国（境）0人次。</w:t>
      </w:r>
    </w:p>
    <w:p>
      <w:pPr>
        <w:ind w:firstLine="640" w:firstLineChars="200"/>
        <w:jc w:val="left"/>
        <w:rPr>
          <w:rFonts w:hint="eastAsia" w:ascii="仿宋_GB2312" w:hAnsi="Times New Roman" w:eastAsia="仿宋_GB2312" w:cs="Times New Roman"/>
          <w:kern w:val="2"/>
          <w:sz w:val="32"/>
          <w:szCs w:val="32"/>
          <w:lang w:val="zh-CN" w:eastAsia="zh-CN" w:bidi="ar-SA"/>
        </w:rPr>
      </w:pPr>
      <w:r>
        <w:rPr>
          <w:rFonts w:hint="eastAsia" w:ascii="仿宋_GB2312" w:hAnsi="Times New Roman" w:eastAsia="仿宋_GB2312" w:cs="Times New Roman"/>
          <w:kern w:val="2"/>
          <w:sz w:val="32"/>
          <w:szCs w:val="32"/>
          <w:lang w:val="zh-CN" w:eastAsia="zh-CN" w:bidi="ar-SA"/>
        </w:rPr>
        <w:t>公务用车购置及运行维护费0.00万元，其中：公务用车购置费0.00万元，公务用车运行维护费0.00万元。公务用车运行维护费开支内容包括今年没有安排公务用车购置费预算。公务用车购置数0辆，公务用车保有量0辆。国有资产占用情况中固定资产车辆62辆，与公务用车保有量差异原因是：国有资产占用情况中固定资产车辆62辆为特种专业用车，非公务用车，用于城区环境卫生清扫、生活垃圾清运等。</w:t>
      </w:r>
    </w:p>
    <w:p>
      <w:pPr>
        <w:ind w:firstLine="640" w:firstLineChars="200"/>
        <w:jc w:val="left"/>
        <w:rPr>
          <w:rFonts w:hint="eastAsia" w:ascii="仿宋_GB2312" w:hAnsi="Times New Roman" w:eastAsia="仿宋_GB2312" w:cs="Times New Roman"/>
          <w:kern w:val="2"/>
          <w:sz w:val="32"/>
          <w:szCs w:val="32"/>
          <w:lang w:val="zh-CN" w:eastAsia="zh-CN" w:bidi="ar-SA"/>
        </w:rPr>
      </w:pPr>
      <w:r>
        <w:rPr>
          <w:rFonts w:hint="eastAsia" w:ascii="仿宋_GB2312" w:hAnsi="Times New Roman" w:eastAsia="仿宋_GB2312" w:cs="Times New Roman"/>
          <w:kern w:val="2"/>
          <w:sz w:val="32"/>
          <w:szCs w:val="32"/>
          <w:lang w:val="zh-CN" w:eastAsia="zh-CN" w:bidi="ar-SA"/>
        </w:rPr>
        <w:t>公务接待费0.00万元，开支内容包括今年没有安排公务接待费预算。单位全年安排的国内公务接待0批次，0人次。</w:t>
      </w:r>
    </w:p>
    <w:p>
      <w:pPr>
        <w:ind w:firstLine="640" w:firstLineChars="200"/>
        <w:jc w:val="left"/>
        <w:rPr>
          <w:rFonts w:ascii="仿宋_GB2312" w:eastAsia="仿宋_GB2312"/>
          <w:sz w:val="32"/>
          <w:szCs w:val="32"/>
          <w:lang w:val="zh-CN"/>
        </w:rPr>
      </w:pPr>
      <w:r>
        <w:rPr>
          <w:rFonts w:hint="eastAsia" w:ascii="仿宋_GB2312" w:hAnsi="Times New Roman" w:eastAsia="仿宋_GB2312" w:cs="Times New Roman"/>
          <w:kern w:val="2"/>
          <w:sz w:val="32"/>
          <w:szCs w:val="32"/>
          <w:lang w:val="zh-CN" w:eastAsia="zh-CN" w:bidi="ar-SA"/>
        </w:rPr>
        <w:t>与全年预算相比,财政拨款“三公”经费支出全年预算数1.00万元，决算数0.00万元，预决算差异率-100.00%，主要原因是：厉行节约，减少单位开支。其中：因公出国（境）费全年预算数0.00万元，决算数0.00万元，预决算差异率0.00%，主要原因是：今年没有安排因公出国（境）费预算；公务用车购置费全年预算数0.00万元，决算数0.00万元，预决算差异率0.00%，主要原因是：今年没有安排公务用车购置费预算。；公务用车运行费全年预算数1.00万元，决算数0.00万元，预决算差异率-100.00%，主要原因是：厉行节约，减少单位开支；公务接待费全年预算数0.00万元，决算数0.00万元，预决算差异率0.00%，主要原因是：今年没有安排公务接待费预算。</w:t>
      </w:r>
    </w:p>
    <w:p>
      <w:pPr>
        <w:ind w:firstLine="640" w:firstLineChars="200"/>
        <w:jc w:val="left"/>
        <w:outlineLvl w:val="1"/>
        <w:rPr>
          <w:rFonts w:ascii="仿宋_GB2312" w:eastAsia="仿宋_GB2312"/>
          <w:b/>
          <w:bCs/>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hint="eastAsia" w:ascii="仿宋_GB2312" w:hAnsi="Times New Roman" w:eastAsia="仿宋_GB2312" w:cs="Times New Roman"/>
          <w:kern w:val="2"/>
          <w:sz w:val="32"/>
          <w:szCs w:val="32"/>
          <w:lang w:val="zh-CN" w:eastAsia="zh-CN" w:bidi="ar-SA"/>
        </w:rPr>
      </w:pPr>
      <w:r>
        <w:rPr>
          <w:rFonts w:hint="eastAsia" w:ascii="仿宋_GB2312" w:hAnsi="Times New Roman" w:eastAsia="仿宋_GB2312" w:cs="Times New Roman"/>
          <w:kern w:val="2"/>
          <w:sz w:val="32"/>
          <w:szCs w:val="32"/>
          <w:lang w:val="zh-CN" w:eastAsia="zh-CN" w:bidi="ar-SA"/>
        </w:rPr>
        <w:t>2023年度政府性基金预算财政拨款收入总计260.00万元，其中：年初结转和结余0.00万元，本年收入260.00万元。政府性基金预算财政拨款支出总计260.00万元，其中：年末结转和结余0.00万元，本年支出260.00万元。</w:t>
      </w:r>
    </w:p>
    <w:p>
      <w:pPr>
        <w:ind w:firstLine="640" w:firstLineChars="200"/>
        <w:jc w:val="left"/>
        <w:rPr>
          <w:rFonts w:hint="eastAsia" w:ascii="仿宋_GB2312" w:hAnsi="Times New Roman" w:eastAsia="仿宋_GB2312" w:cs="Times New Roman"/>
          <w:kern w:val="2"/>
          <w:sz w:val="32"/>
          <w:szCs w:val="32"/>
          <w:lang w:val="zh-CN" w:eastAsia="zh-CN" w:bidi="ar-SA"/>
        </w:rPr>
      </w:pPr>
      <w:r>
        <w:rPr>
          <w:rFonts w:hint="eastAsia" w:ascii="仿宋_GB2312" w:hAnsi="Times New Roman" w:eastAsia="仿宋_GB2312" w:cs="Times New Roman"/>
          <w:kern w:val="2"/>
          <w:sz w:val="32"/>
          <w:szCs w:val="32"/>
          <w:lang w:val="zh-CN" w:eastAsia="zh-CN" w:bidi="ar-SA"/>
        </w:rPr>
        <w:t>政府性基金预算财政拨款收入支出与上年相比，减少8,740.00万元,下降97.11%,主要原因是：本年度政府性基金项目减少。与年初预算相比,年初预算数0.00万元，决算数260.00万元，预决算差异率100.00%，主要原因是：本年度</w:t>
      </w:r>
      <w:r>
        <w:rPr>
          <w:rFonts w:hint="eastAsia" w:ascii="仿宋_GB2312" w:eastAsia="仿宋_GB2312" w:cs="Times New Roman"/>
          <w:kern w:val="2"/>
          <w:sz w:val="32"/>
          <w:szCs w:val="32"/>
          <w:lang w:val="zh-CN" w:eastAsia="zh-CN" w:bidi="ar-SA"/>
        </w:rPr>
        <w:t>追加</w:t>
      </w:r>
      <w:r>
        <w:rPr>
          <w:rFonts w:hint="eastAsia" w:ascii="仿宋_GB2312" w:hAnsi="Times New Roman" w:eastAsia="仿宋_GB2312" w:cs="Times New Roman"/>
          <w:kern w:val="2"/>
          <w:sz w:val="32"/>
          <w:szCs w:val="32"/>
          <w:lang w:val="zh-CN" w:eastAsia="zh-CN" w:bidi="ar-SA"/>
        </w:rPr>
        <w:t>政府性基金项目1个，为沙湾市生活垃圾填埋场二期处理场耕地占用税项目。</w:t>
      </w:r>
    </w:p>
    <w:p>
      <w:pPr>
        <w:ind w:firstLine="640" w:firstLineChars="200"/>
        <w:jc w:val="left"/>
        <w:rPr>
          <w:rFonts w:hint="eastAsia" w:ascii="仿宋_GB2312" w:hAnsi="Times New Roman" w:eastAsia="仿宋_GB2312" w:cs="Times New Roman"/>
          <w:kern w:val="2"/>
          <w:sz w:val="32"/>
          <w:szCs w:val="32"/>
          <w:lang w:val="zh-CN" w:eastAsia="zh-CN" w:bidi="ar-SA"/>
        </w:rPr>
      </w:pPr>
      <w:r>
        <w:rPr>
          <w:rFonts w:hint="eastAsia" w:ascii="仿宋_GB2312" w:hAnsi="Times New Roman" w:eastAsia="仿宋_GB2312" w:cs="Times New Roman"/>
          <w:kern w:val="2"/>
          <w:sz w:val="32"/>
          <w:szCs w:val="32"/>
          <w:lang w:val="zh-CN" w:eastAsia="zh-CN" w:bidi="ar-SA"/>
        </w:rPr>
        <w:t>政府性基金预算财政拨款支出260.00万元。</w:t>
      </w:r>
    </w:p>
    <w:p>
      <w:pPr>
        <w:ind w:firstLine="640" w:firstLineChars="200"/>
        <w:jc w:val="left"/>
        <w:rPr>
          <w:rFonts w:hint="eastAsia" w:ascii="仿宋_GB2312" w:hAnsi="Times New Roman" w:eastAsia="仿宋_GB2312" w:cs="Times New Roman"/>
          <w:kern w:val="2"/>
          <w:sz w:val="32"/>
          <w:szCs w:val="32"/>
          <w:lang w:val="zh-CN" w:eastAsia="zh-CN" w:bidi="ar-SA"/>
        </w:rPr>
      </w:pPr>
      <w:r>
        <w:rPr>
          <w:rFonts w:hint="eastAsia" w:ascii="仿宋_GB2312" w:hAnsi="Times New Roman" w:eastAsia="仿宋_GB2312" w:cs="Times New Roman"/>
          <w:kern w:val="2"/>
          <w:sz w:val="32"/>
          <w:szCs w:val="32"/>
          <w:lang w:val="zh-CN" w:eastAsia="zh-CN" w:bidi="ar-SA"/>
        </w:rPr>
        <w:t>1.城乡社区支出（类）国有土地使用权出让收入安排的支出（款）其他国有土地使用权出让收入安排的支出（项）:支出决算数为260.00万元，比上年决算增加260.00万元，增长100%，主要原因是：本年度支出政府性基金项目1个，为沙湾市生活垃圾填埋场二期处理场耕地占用税项目。</w:t>
      </w:r>
    </w:p>
    <w:p>
      <w:pPr>
        <w:ind w:firstLine="640" w:firstLineChars="200"/>
        <w:jc w:val="left"/>
        <w:rPr>
          <w:rFonts w:ascii="仿宋_GB2312" w:hAnsi="仿宋_GB2312" w:eastAsia="仿宋_GB2312" w:cs="仿宋_GB2312"/>
          <w:sz w:val="32"/>
          <w:szCs w:val="32"/>
          <w:lang w:val="zh-CN"/>
        </w:rPr>
      </w:pPr>
      <w:r>
        <w:rPr>
          <w:rFonts w:hint="eastAsia" w:ascii="仿宋_GB2312" w:hAnsi="Times New Roman" w:eastAsia="仿宋_GB2312" w:cs="Times New Roman"/>
          <w:kern w:val="2"/>
          <w:sz w:val="32"/>
          <w:szCs w:val="32"/>
          <w:lang w:val="zh-CN" w:eastAsia="zh-CN" w:bidi="ar-SA"/>
        </w:rPr>
        <w:t>2.其他支出（类）其他政府性基金及对应专项债务收入安排的支出（款）其他地方自行试点项目收益专项债券收入安排的支出（项）:支出决算数为0.00万元，比上年决算减少9,000.00万元，下降100%，主要原因是：本年度未申请政府性基金债券资金项目。</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hint="eastAsia" w:ascii="仿宋_GB2312" w:hAnsi="Times New Roman" w:eastAsia="仿宋_GB2312" w:cs="Times New Roman"/>
          <w:kern w:val="2"/>
          <w:sz w:val="32"/>
          <w:szCs w:val="32"/>
          <w:lang w:val="zh-CN" w:eastAsia="zh-CN" w:bidi="ar-SA"/>
        </w:rPr>
      </w:pPr>
      <w:r>
        <w:rPr>
          <w:rFonts w:hint="eastAsia" w:ascii="仿宋_GB2312" w:hAnsi="Times New Roman" w:eastAsia="仿宋_GB2312" w:cs="Times New Roman"/>
          <w:kern w:val="2"/>
          <w:sz w:val="32"/>
          <w:szCs w:val="32"/>
          <w:lang w:val="zh-CN" w:eastAsia="zh-CN" w:bidi="ar-SA"/>
        </w:rPr>
        <w:t>我单位本年度无国有资本经营预算财政拨款收入、支出及结转和结余，国有资本经营预算财政拨款收入支出决算表为空表。</w:t>
      </w:r>
    </w:p>
    <w:p>
      <w:pPr>
        <w:ind w:firstLine="640" w:firstLineChars="200"/>
        <w:jc w:val="left"/>
        <w:outlineLvl w:val="1"/>
        <w:rPr>
          <w:rFonts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pPr>
        <w:ind w:firstLine="640" w:firstLineChars="200"/>
        <w:jc w:val="left"/>
        <w:rPr>
          <w:rFonts w:hint="eastAsia" w:ascii="仿宋_GB2312" w:hAnsi="Times New Roman" w:eastAsia="仿宋_GB2312" w:cs="Times New Roman"/>
          <w:kern w:val="2"/>
          <w:sz w:val="32"/>
          <w:szCs w:val="32"/>
          <w:lang w:val="zh-CN" w:eastAsia="zh-CN" w:bidi="ar-SA"/>
        </w:rPr>
      </w:pPr>
      <w:bookmarkStart w:id="24" w:name="_Toc26704"/>
      <w:bookmarkStart w:id="25" w:name="_Toc227"/>
      <w:r>
        <w:rPr>
          <w:rFonts w:hint="eastAsia" w:ascii="仿宋_GB2312" w:hAnsi="Times New Roman" w:eastAsia="仿宋_GB2312" w:cs="Times New Roman"/>
          <w:kern w:val="2"/>
          <w:sz w:val="32"/>
          <w:szCs w:val="32"/>
          <w:lang w:val="zh-CN" w:eastAsia="zh-CN" w:bidi="ar-SA"/>
        </w:rPr>
        <w:t>2023年度沙湾市环境卫生服务中心（事业单位）公用经费支出11.72万元，比上年减少8.30万元，下降41.46%，主要原因是：因厉行节约、减少开支原因减少了公用经费支出。</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hint="eastAsia" w:ascii="仿宋_GB2312" w:hAnsi="Times New Roman" w:eastAsia="仿宋_GB2312" w:cs="Times New Roman"/>
          <w:kern w:val="2"/>
          <w:sz w:val="32"/>
          <w:szCs w:val="32"/>
          <w:lang w:val="zh-CN" w:eastAsia="zh-CN" w:bidi="ar-SA"/>
        </w:rPr>
      </w:pPr>
      <w:r>
        <w:rPr>
          <w:rFonts w:hint="eastAsia" w:ascii="仿宋_GB2312" w:hAnsi="Times New Roman" w:eastAsia="仿宋_GB2312" w:cs="Times New Roman"/>
          <w:kern w:val="2"/>
          <w:sz w:val="32"/>
          <w:szCs w:val="32"/>
          <w:lang w:val="zh-CN" w:eastAsia="zh-CN" w:bidi="ar-SA"/>
        </w:rPr>
        <w:t>2023年度政府采购支出总额357.2</w:t>
      </w:r>
      <w:r>
        <w:rPr>
          <w:rFonts w:hint="eastAsia" w:ascii="仿宋_GB2312" w:eastAsia="仿宋_GB2312" w:cs="Times New Roman"/>
          <w:kern w:val="2"/>
          <w:sz w:val="32"/>
          <w:szCs w:val="32"/>
          <w:lang w:val="en-US" w:eastAsia="zh-CN" w:bidi="ar-SA"/>
        </w:rPr>
        <w:t>1</w:t>
      </w:r>
      <w:r>
        <w:rPr>
          <w:rFonts w:hint="eastAsia" w:ascii="仿宋_GB2312" w:hAnsi="Times New Roman" w:eastAsia="仿宋_GB2312" w:cs="Times New Roman"/>
          <w:kern w:val="2"/>
          <w:sz w:val="32"/>
          <w:szCs w:val="32"/>
          <w:lang w:val="zh-CN" w:eastAsia="zh-CN" w:bidi="ar-SA"/>
        </w:rPr>
        <w:t>万元，其中：政府采购货物支出348.9</w:t>
      </w:r>
      <w:r>
        <w:rPr>
          <w:rFonts w:hint="eastAsia" w:ascii="仿宋_GB2312" w:eastAsia="仿宋_GB2312" w:cs="Times New Roman"/>
          <w:kern w:val="2"/>
          <w:sz w:val="32"/>
          <w:szCs w:val="32"/>
          <w:lang w:val="en-US" w:eastAsia="zh-CN" w:bidi="ar-SA"/>
        </w:rPr>
        <w:t>2</w:t>
      </w:r>
      <w:r>
        <w:rPr>
          <w:rFonts w:hint="eastAsia" w:ascii="仿宋_GB2312" w:hAnsi="Times New Roman" w:eastAsia="仿宋_GB2312" w:cs="Times New Roman"/>
          <w:kern w:val="2"/>
          <w:sz w:val="32"/>
          <w:szCs w:val="32"/>
          <w:lang w:val="zh-CN" w:eastAsia="zh-CN" w:bidi="ar-SA"/>
        </w:rPr>
        <w:t>万元、政府采购工程支出8.00万元、政府采购服务支出0.29万元。</w:t>
      </w:r>
    </w:p>
    <w:p>
      <w:pPr>
        <w:ind w:firstLine="640" w:firstLineChars="200"/>
        <w:jc w:val="left"/>
        <w:rPr>
          <w:rFonts w:hint="eastAsia" w:ascii="仿宋_GB2312" w:hAnsi="Times New Roman" w:eastAsia="仿宋_GB2312" w:cs="Times New Roman"/>
          <w:kern w:val="2"/>
          <w:sz w:val="32"/>
          <w:szCs w:val="32"/>
          <w:lang w:val="zh-CN" w:eastAsia="zh-CN" w:bidi="ar-SA"/>
        </w:rPr>
      </w:pPr>
      <w:r>
        <w:rPr>
          <w:rFonts w:hint="eastAsia" w:ascii="仿宋_GB2312" w:hAnsi="Times New Roman" w:eastAsia="仿宋_GB2312" w:cs="Times New Roman"/>
          <w:kern w:val="2"/>
          <w:sz w:val="32"/>
          <w:szCs w:val="32"/>
          <w:lang w:val="zh-CN" w:eastAsia="zh-CN" w:bidi="ar-SA"/>
        </w:rPr>
        <w:t>授予中小企业合同金额17.21万元，占政府采购支出总额的4.82%，其中：授予小微企业合同金额17.21万元，占政府采购支出总额的4.82%。</w:t>
      </w:r>
    </w:p>
    <w:p>
      <w:pPr>
        <w:ind w:firstLine="640" w:firstLineChars="200"/>
        <w:jc w:val="left"/>
        <w:rPr>
          <w:rFonts w:hint="eastAsia" w:eastAsia="黑体"/>
          <w:sz w:val="32"/>
          <w:szCs w:val="30"/>
          <w:lang w:val="zh-CN" w:eastAsia="zh-CN"/>
        </w:rPr>
      </w:pPr>
      <w:bookmarkStart w:id="26" w:name="_Toc8391"/>
      <w:bookmarkStart w:id="27" w:name="_Toc4591"/>
      <w:r>
        <w:rPr>
          <w:rFonts w:hint="eastAsia" w:eastAsia="黑体"/>
          <w:sz w:val="32"/>
          <w:szCs w:val="30"/>
          <w:lang w:val="zh-CN" w:eastAsia="zh-CN"/>
        </w:rPr>
        <w:t>（三）国有资产占用情况说明</w:t>
      </w:r>
      <w:bookmarkEnd w:id="26"/>
      <w:bookmarkEnd w:id="27"/>
    </w:p>
    <w:p>
      <w:pPr>
        <w:ind w:firstLine="640" w:firstLineChars="200"/>
        <w:jc w:val="left"/>
        <w:rPr>
          <w:rFonts w:hint="eastAsia" w:ascii="仿宋_GB2312" w:hAnsi="Times New Roman" w:eastAsia="仿宋_GB2312" w:cs="Times New Roman"/>
          <w:kern w:val="2"/>
          <w:sz w:val="32"/>
          <w:szCs w:val="32"/>
          <w:lang w:val="zh-CN" w:eastAsia="zh-CN" w:bidi="ar-SA"/>
        </w:rPr>
      </w:pPr>
      <w:r>
        <w:rPr>
          <w:rFonts w:hint="eastAsia" w:ascii="仿宋_GB2312" w:hAnsi="Times New Roman" w:eastAsia="仿宋_GB2312" w:cs="Times New Roman"/>
          <w:kern w:val="2"/>
          <w:sz w:val="32"/>
          <w:szCs w:val="32"/>
          <w:lang w:val="zh-CN" w:eastAsia="zh-CN" w:bidi="ar-SA"/>
        </w:rPr>
        <w:t>截至2023年12月31日，固定资产原值4,284.15万元，房屋1,078.21平方米，价值162.52万元。车辆62辆，价值2,230.72万元，其中：副部（省）级及以上领导用车0辆、主要负责人用车0辆、机要通信用车0辆、应急保障用车0辆、执法执勤用车0辆、特种专业技术用车59辆、离退休干部服务用车0辆、其他用车3辆，其他用车主要是：皮卡车；单价100万元（含）以上设备（不含车辆）4台（套）。</w:t>
      </w:r>
    </w:p>
    <w:p>
      <w:pPr>
        <w:ind w:firstLine="640" w:firstLineChars="200"/>
        <w:jc w:val="left"/>
        <w:outlineLvl w:val="1"/>
        <w:rPr>
          <w:rFonts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pPr>
        <w:ind w:firstLine="640" w:firstLineChars="200"/>
        <w:jc w:val="left"/>
        <w:rPr>
          <w:rFonts w:ascii="黑体" w:hAnsi="黑体" w:eastAsia="黑体" w:cs="宋体"/>
          <w:bCs/>
          <w:kern w:val="0"/>
          <w:sz w:val="32"/>
          <w:szCs w:val="32"/>
        </w:rPr>
      </w:pPr>
      <w:r>
        <w:rPr>
          <w:rFonts w:hint="eastAsia" w:ascii="仿宋_GB2312" w:hAnsi="Times New Roman" w:eastAsia="仿宋_GB2312" w:cs="Times New Roman"/>
          <w:kern w:val="2"/>
          <w:sz w:val="32"/>
          <w:szCs w:val="32"/>
          <w:lang w:val="zh-CN" w:eastAsia="zh-CN" w:bidi="ar-SA"/>
        </w:rPr>
        <w:t>根据预算绩效管理要求，我单位2023年度预算绩效管理整体支出绩效自评表1个，全年预算总额</w:t>
      </w:r>
      <w:r>
        <w:rPr>
          <w:rFonts w:hint="eastAsia" w:ascii="仿宋_GB2312" w:hAnsi="Times New Roman" w:eastAsia="仿宋_GB2312" w:cs="Times New Roman"/>
          <w:kern w:val="2"/>
          <w:sz w:val="32"/>
          <w:szCs w:val="32"/>
          <w:lang w:val="en-US" w:eastAsia="zh-CN" w:bidi="ar-SA"/>
        </w:rPr>
        <w:t>821.28</w:t>
      </w:r>
      <w:r>
        <w:rPr>
          <w:rFonts w:hint="eastAsia" w:ascii="仿宋_GB2312" w:hAnsi="Times New Roman" w:eastAsia="仿宋_GB2312" w:cs="Times New Roman"/>
          <w:kern w:val="2"/>
          <w:sz w:val="32"/>
          <w:szCs w:val="32"/>
          <w:lang w:val="zh-CN" w:eastAsia="zh-CN" w:bidi="ar-SA"/>
        </w:rPr>
        <w:t>万元，实际执行总额816.28万元；预算绩效评价项目</w:t>
      </w:r>
      <w:r>
        <w:rPr>
          <w:rFonts w:hint="eastAsia" w:ascii="仿宋_GB2312" w:eastAsia="仿宋_GB2312" w:cs="Times New Roman"/>
          <w:kern w:val="2"/>
          <w:sz w:val="32"/>
          <w:szCs w:val="32"/>
          <w:lang w:val="en-US" w:eastAsia="zh-CN" w:bidi="ar-SA"/>
        </w:rPr>
        <w:t>6</w:t>
      </w:r>
      <w:r>
        <w:rPr>
          <w:rFonts w:hint="eastAsia" w:ascii="仿宋_GB2312" w:hAnsi="Times New Roman" w:eastAsia="仿宋_GB2312" w:cs="Times New Roman"/>
          <w:kern w:val="2"/>
          <w:sz w:val="32"/>
          <w:szCs w:val="32"/>
          <w:lang w:val="zh-CN" w:eastAsia="zh-CN" w:bidi="ar-SA"/>
        </w:rPr>
        <w:t>个，全年预算数4</w:t>
      </w:r>
      <w:r>
        <w:rPr>
          <w:rFonts w:hint="eastAsia" w:ascii="仿宋_GB2312" w:eastAsia="仿宋_GB2312" w:cs="Times New Roman"/>
          <w:kern w:val="2"/>
          <w:sz w:val="32"/>
          <w:szCs w:val="32"/>
          <w:lang w:val="en-US" w:eastAsia="zh-CN" w:bidi="ar-SA"/>
        </w:rPr>
        <w:t>4</w:t>
      </w:r>
      <w:r>
        <w:rPr>
          <w:rFonts w:hint="eastAsia" w:ascii="仿宋_GB2312" w:hAnsi="Times New Roman" w:eastAsia="仿宋_GB2312" w:cs="Times New Roman"/>
          <w:kern w:val="2"/>
          <w:sz w:val="32"/>
          <w:szCs w:val="32"/>
          <w:lang w:val="zh-CN" w:eastAsia="zh-CN" w:bidi="ar-SA"/>
        </w:rPr>
        <w:t>3.32万元，全年执行数4</w:t>
      </w:r>
      <w:r>
        <w:rPr>
          <w:rFonts w:hint="eastAsia" w:ascii="仿宋_GB2312" w:eastAsia="仿宋_GB2312" w:cs="Times New Roman"/>
          <w:kern w:val="2"/>
          <w:sz w:val="32"/>
          <w:szCs w:val="32"/>
          <w:lang w:val="en-US" w:eastAsia="zh-CN" w:bidi="ar-SA"/>
        </w:rPr>
        <w:t>4</w:t>
      </w:r>
      <w:r>
        <w:rPr>
          <w:rFonts w:hint="eastAsia" w:ascii="仿宋_GB2312" w:hAnsi="Times New Roman" w:eastAsia="仿宋_GB2312" w:cs="Times New Roman"/>
          <w:kern w:val="2"/>
          <w:sz w:val="32"/>
          <w:szCs w:val="32"/>
          <w:lang w:val="zh-CN" w:eastAsia="zh-CN" w:bidi="ar-SA"/>
        </w:rPr>
        <w:t>3.32万元</w:t>
      </w:r>
      <w:r>
        <w:rPr>
          <w:rFonts w:hint="eastAsia" w:ascii="仿宋_GB2312" w:eastAsia="仿宋_GB2312"/>
          <w:color w:val="000000" w:themeColor="text1"/>
          <w:sz w:val="32"/>
          <w:szCs w:val="32"/>
        </w:rPr>
        <w:t>。</w:t>
      </w:r>
      <w:r>
        <w:rPr>
          <w:rFonts w:hint="eastAsia" w:ascii="仿宋_GB2312" w:hAnsi="仿宋_GB2312" w:eastAsia="仿宋_GB2312" w:cs="仿宋_GB2312"/>
          <w:color w:val="000000" w:themeColor="text1"/>
          <w:kern w:val="0"/>
          <w:sz w:val="32"/>
          <w:szCs w:val="32"/>
        </w:rPr>
        <w:t>本</w:t>
      </w:r>
      <w:r>
        <w:rPr>
          <w:rFonts w:hint="eastAsia" w:ascii="仿宋_GB2312" w:hAnsi="Times New Roman" w:eastAsia="仿宋_GB2312" w:cs="Times New Roman"/>
          <w:color w:val="000000" w:themeColor="text1"/>
          <w:kern w:val="2"/>
          <w:sz w:val="32"/>
          <w:szCs w:val="32"/>
          <w:lang w:val="zh-CN" w:eastAsia="zh-CN" w:bidi="ar-SA"/>
        </w:rPr>
        <w:t>单位sm项目</w:t>
      </w:r>
      <w:r>
        <w:rPr>
          <w:rFonts w:hint="eastAsia" w:ascii="仿宋_GB2312" w:hAnsi="Times New Roman" w:eastAsia="仿宋_GB2312" w:cs="Times New Roman"/>
          <w:color w:val="000000" w:themeColor="text1"/>
          <w:kern w:val="2"/>
          <w:sz w:val="32"/>
          <w:szCs w:val="32"/>
          <w:lang w:val="en-US" w:eastAsia="zh-CN" w:bidi="ar-SA"/>
        </w:rPr>
        <w:t>1</w:t>
      </w:r>
      <w:r>
        <w:rPr>
          <w:rFonts w:hint="eastAsia" w:ascii="仿宋_GB2312" w:hAnsi="Times New Roman" w:eastAsia="仿宋_GB2312" w:cs="Times New Roman"/>
          <w:color w:val="000000" w:themeColor="text1"/>
          <w:kern w:val="2"/>
          <w:sz w:val="32"/>
          <w:szCs w:val="32"/>
          <w:lang w:val="zh-CN" w:eastAsia="zh-CN" w:bidi="ar-SA"/>
        </w:rPr>
        <w:t>个，全年预算数</w:t>
      </w:r>
      <w:r>
        <w:rPr>
          <w:rFonts w:hint="eastAsia" w:ascii="仿宋_GB2312" w:hAnsi="Times New Roman" w:eastAsia="仿宋_GB2312" w:cs="Times New Roman"/>
          <w:color w:val="000000" w:themeColor="text1"/>
          <w:kern w:val="2"/>
          <w:sz w:val="32"/>
          <w:szCs w:val="32"/>
          <w:lang w:val="en-US" w:eastAsia="zh-CN" w:bidi="ar-SA"/>
        </w:rPr>
        <w:t>40</w:t>
      </w:r>
      <w:r>
        <w:rPr>
          <w:rFonts w:hint="eastAsia" w:ascii="仿宋_GB2312" w:hAnsi="Times New Roman" w:eastAsia="仿宋_GB2312" w:cs="Times New Roman"/>
          <w:color w:val="000000" w:themeColor="text1"/>
          <w:kern w:val="2"/>
          <w:sz w:val="32"/>
          <w:szCs w:val="32"/>
          <w:lang w:val="zh-CN" w:eastAsia="zh-CN" w:bidi="ar-SA"/>
        </w:rPr>
        <w:t>万元，全年执行数</w:t>
      </w:r>
      <w:r>
        <w:rPr>
          <w:rFonts w:hint="eastAsia" w:ascii="仿宋_GB2312" w:hAnsi="Times New Roman" w:eastAsia="仿宋_GB2312" w:cs="Times New Roman"/>
          <w:color w:val="000000" w:themeColor="text1"/>
          <w:kern w:val="2"/>
          <w:sz w:val="32"/>
          <w:szCs w:val="32"/>
          <w:lang w:val="en-US" w:eastAsia="zh-CN" w:bidi="ar-SA"/>
        </w:rPr>
        <w:t>40</w:t>
      </w:r>
      <w:r>
        <w:rPr>
          <w:rFonts w:hint="eastAsia" w:ascii="仿宋_GB2312" w:hAnsi="Times New Roman" w:eastAsia="仿宋_GB2312" w:cs="Times New Roman"/>
          <w:color w:val="000000" w:themeColor="text1"/>
          <w:kern w:val="2"/>
          <w:sz w:val="32"/>
          <w:szCs w:val="32"/>
          <w:lang w:val="zh-CN" w:eastAsia="zh-CN" w:bidi="ar-SA"/>
        </w:rPr>
        <w:t>万元，</w:t>
      </w:r>
      <w:r>
        <w:rPr>
          <w:rFonts w:hint="eastAsia" w:ascii="仿宋_GB2312" w:hAnsi="仿宋_GB2312" w:eastAsia="仿宋_GB2312" w:cs="仿宋_GB2312"/>
          <w:color w:val="000000" w:themeColor="text1"/>
          <w:kern w:val="0"/>
          <w:sz w:val="32"/>
          <w:szCs w:val="32"/>
        </w:rPr>
        <w:t>不予以公开</w:t>
      </w:r>
      <w:bookmarkStart w:id="48" w:name="_GoBack"/>
      <w:bookmarkEnd w:id="48"/>
      <w:r>
        <w:rPr>
          <w:rFonts w:hint="eastAsia" w:ascii="仿宋_GB2312" w:hAnsi="仿宋_GB2312" w:eastAsia="仿宋_GB2312" w:cs="仿宋_GB2312"/>
          <w:color w:val="000000" w:themeColor="text1"/>
          <w:kern w:val="0"/>
          <w:sz w:val="32"/>
          <w:szCs w:val="32"/>
        </w:rPr>
        <w:t>。</w:t>
      </w:r>
      <w:r>
        <w:rPr>
          <w:rFonts w:hint="eastAsia" w:ascii="仿宋_GB2312" w:hAnsi="Times New Roman" w:eastAsia="仿宋_GB2312" w:cs="Times New Roman"/>
          <w:color w:val="000000" w:themeColor="text1"/>
          <w:kern w:val="2"/>
          <w:sz w:val="32"/>
          <w:szCs w:val="32"/>
          <w:lang w:val="zh-CN" w:eastAsia="zh-CN" w:bidi="ar-SA"/>
        </w:rPr>
        <w:t>预算绩效管理取得的成效：一是落实2022年预算</w:t>
      </w:r>
      <w:r>
        <w:rPr>
          <w:rFonts w:hint="eastAsia" w:ascii="仿宋_GB2312" w:hAnsi="Times New Roman" w:eastAsia="仿宋_GB2312" w:cs="Times New Roman"/>
          <w:kern w:val="2"/>
          <w:sz w:val="32"/>
          <w:szCs w:val="32"/>
          <w:lang w:val="zh-CN" w:eastAsia="zh-CN" w:bidi="ar-SA"/>
        </w:rPr>
        <w:t>绩效管理工作实施方案及计划完成支付项目资金9136.79万元;二是按照沙党办发【2019】147号，关于印发《沙湾县贯彻落实(自治区党委自治区人民政府关于全面实施预算绩效管理的实施意见)的实施方案》的通知文件精神，单位自2019年1月1日起，将政策和项目全面纳入预算管理。并将上述项目在绩效目标进行了录入，经过全年的项目运行，上述项目已圆满完成了既定的目标任务，绩效目标完成情况达到了100%。发现的问题及原因：一是预算绩效管理工作还存在根据项目或整体支出的资金情况做目标、自评及评价;二是项</w:t>
      </w:r>
      <w:r>
        <w:rPr>
          <w:rFonts w:hint="eastAsia" w:ascii="仿宋_GB2312" w:eastAsia="仿宋_GB2312" w:cs="Times New Roman"/>
          <w:kern w:val="2"/>
          <w:sz w:val="32"/>
          <w:szCs w:val="32"/>
          <w:lang w:val="en-US" w:eastAsia="zh-CN" w:bidi="ar-SA"/>
        </w:rPr>
        <w:t>目</w:t>
      </w:r>
      <w:r>
        <w:rPr>
          <w:rFonts w:hint="eastAsia" w:ascii="仿宋_GB2312" w:hAnsi="Times New Roman" w:eastAsia="仿宋_GB2312" w:cs="Times New Roman"/>
          <w:kern w:val="2"/>
          <w:sz w:val="32"/>
          <w:szCs w:val="32"/>
          <w:lang w:val="zh-CN" w:eastAsia="zh-CN" w:bidi="ar-SA"/>
        </w:rPr>
        <w:t>预算绩效管理缺乏认识不到位，理解不充分，对预算绩效管理工作重点把握不到位现象。下一步改进措施：1.强化责任意识。通过绩效评价，考核各处室绩效目标实际完成情况和取得的成效，并与下年度预算安排挂钩，用财要问效，无效要问责，在一定程度上强化了单位整体和各部门的自我约束意识和责任意识。2.提高资金的使用效益。本单位将以工作实际需求为依据，预算编制与工作实际相结合，按照规定的开支范围与开支标准，科学合理预测各项内容并按经济用途逐级细化分类，提高预算编制的科学性和准确性，优化支出结构，减少支出的随意性和盲目性，最大限度地将有限资源配置到效益最佳的部门并发挥最大效益。3.加强预算执行管理。做好事前审批、事中管理和事后监督工作，不断加快预算执行进度，推动预算执行按照资金计划有序进行。4. 提高资金使用效益。在遵守法律法规的前提下，统筹兼顾、量力而行、讲求绩效，圆满完成党中央、自治区和地区决策部署提出的各项要求。5.不断完善预算绩效管理相关工作制度，建立全过程预算绩效管理链条，有效贯彻落实全面实施绩效管理的精神。6. 强化内部控制管理，严格按规定做好绩效目标申报、自评、公开等相关工作，提高财政资金使用绩效。7.不断加强预算编制管理，保障预算编制的合理性、科学性；按照国家法律法规、财政部及新疆财政相关规章制度编制预算，并不断完善预算编制体系，保障预算数据全面性、完整性：不断强化预算资金约束力，优化收支结构，提高预算资金使用效益；及时向各部门通报预算执行进度，促使业务部门合理安排工作，有效保障预算资金的透明度；统筹规划预算资金，确保预算资金使用的合理性、合法性</w:t>
      </w:r>
      <w:r>
        <w:rPr>
          <w:rFonts w:hint="eastAsia" w:ascii="仿宋_GB2312" w:eastAsia="仿宋_GB2312"/>
          <w:sz w:val="32"/>
          <w:szCs w:val="32"/>
        </w:rPr>
        <w:t>。</w:t>
      </w:r>
    </w:p>
    <w:p>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hint="eastAsia" w:ascii="仿宋_GB2312" w:hAnsi="Times New Roman" w:eastAsia="仿宋_GB2312" w:cs="Times New Roman"/>
          <w:color w:val="000000" w:themeColor="text1"/>
          <w:kern w:val="2"/>
          <w:sz w:val="32"/>
          <w:szCs w:val="32"/>
          <w:lang w:val="zh-CN" w:eastAsia="zh-CN" w:bidi="ar-SA"/>
        </w:rPr>
      </w:pPr>
      <w:r>
        <w:rPr>
          <w:rFonts w:hint="eastAsia" w:ascii="仿宋_GB2312" w:hAnsi="Times New Roman" w:eastAsia="仿宋_GB2312" w:cs="Times New Roman"/>
          <w:color w:val="000000" w:themeColor="text1"/>
          <w:kern w:val="2"/>
          <w:sz w:val="32"/>
          <w:szCs w:val="32"/>
          <w:lang w:val="zh-CN" w:eastAsia="zh-CN" w:bidi="ar-SA"/>
        </w:rPr>
        <w:t>本单位sm项目</w:t>
      </w:r>
      <w:r>
        <w:rPr>
          <w:rFonts w:hint="eastAsia" w:ascii="仿宋_GB2312" w:hAnsi="Times New Roman" w:eastAsia="仿宋_GB2312" w:cs="Times New Roman"/>
          <w:color w:val="000000" w:themeColor="text1"/>
          <w:kern w:val="2"/>
          <w:sz w:val="32"/>
          <w:szCs w:val="32"/>
          <w:lang w:val="en-US" w:eastAsia="zh-CN" w:bidi="ar-SA"/>
        </w:rPr>
        <w:t>1</w:t>
      </w:r>
      <w:r>
        <w:rPr>
          <w:rFonts w:hint="eastAsia" w:ascii="仿宋_GB2312" w:hAnsi="Times New Roman" w:eastAsia="仿宋_GB2312" w:cs="Times New Roman"/>
          <w:color w:val="000000" w:themeColor="text1"/>
          <w:kern w:val="2"/>
          <w:sz w:val="32"/>
          <w:szCs w:val="32"/>
          <w:lang w:val="zh-CN" w:eastAsia="zh-CN" w:bidi="ar-SA"/>
        </w:rPr>
        <w:t>个，全年预算数</w:t>
      </w:r>
      <w:r>
        <w:rPr>
          <w:rFonts w:hint="eastAsia" w:ascii="仿宋_GB2312" w:hAnsi="Times New Roman" w:eastAsia="仿宋_GB2312" w:cs="Times New Roman"/>
          <w:color w:val="000000" w:themeColor="text1"/>
          <w:kern w:val="2"/>
          <w:sz w:val="32"/>
          <w:szCs w:val="32"/>
          <w:lang w:val="en-US" w:eastAsia="zh-CN" w:bidi="ar-SA"/>
        </w:rPr>
        <w:t>40</w:t>
      </w:r>
      <w:r>
        <w:rPr>
          <w:rFonts w:hint="eastAsia" w:ascii="仿宋_GB2312" w:hAnsi="Times New Roman" w:eastAsia="仿宋_GB2312" w:cs="Times New Roman"/>
          <w:color w:val="000000" w:themeColor="text1"/>
          <w:kern w:val="2"/>
          <w:sz w:val="32"/>
          <w:szCs w:val="32"/>
          <w:lang w:val="zh-CN" w:eastAsia="zh-CN" w:bidi="ar-SA"/>
        </w:rPr>
        <w:t>万元，全年执行数</w:t>
      </w:r>
      <w:r>
        <w:rPr>
          <w:rFonts w:hint="eastAsia" w:ascii="仿宋_GB2312" w:hAnsi="Times New Roman" w:eastAsia="仿宋_GB2312" w:cs="Times New Roman"/>
          <w:color w:val="000000" w:themeColor="text1"/>
          <w:kern w:val="2"/>
          <w:sz w:val="32"/>
          <w:szCs w:val="32"/>
          <w:lang w:val="en-US" w:eastAsia="zh-CN" w:bidi="ar-SA"/>
        </w:rPr>
        <w:t>40</w:t>
      </w:r>
      <w:r>
        <w:rPr>
          <w:rFonts w:hint="eastAsia" w:ascii="仿宋_GB2312" w:hAnsi="Times New Roman" w:eastAsia="仿宋_GB2312" w:cs="Times New Roman"/>
          <w:color w:val="000000" w:themeColor="text1"/>
          <w:kern w:val="2"/>
          <w:sz w:val="32"/>
          <w:szCs w:val="32"/>
          <w:lang w:val="zh-CN" w:eastAsia="zh-CN" w:bidi="ar-SA"/>
        </w:rPr>
        <w:t>万元，不予以公开绩效自评表。</w:t>
      </w:r>
    </w:p>
    <w:p>
      <w:pPr>
        <w:ind w:firstLine="640" w:firstLineChars="200"/>
        <w:jc w:val="left"/>
        <w:rPr>
          <w:rFonts w:ascii="黑体" w:hAnsi="黑体" w:eastAsia="黑体"/>
          <w:sz w:val="32"/>
          <w:szCs w:val="32"/>
        </w:rPr>
      </w:pPr>
      <w:bookmarkStart w:id="30" w:name="_Toc3250"/>
      <w:bookmarkStart w:id="31" w:name="_Toc24143"/>
      <w:r>
        <w:rPr>
          <w:rFonts w:hint="eastAsia" w:ascii="仿宋_GB2312" w:hAnsi="Times New Roman" w:eastAsia="仿宋_GB2312" w:cs="Times New Roman"/>
          <w:kern w:val="2"/>
          <w:sz w:val="32"/>
          <w:szCs w:val="32"/>
          <w:lang w:val="zh-CN" w:eastAsia="zh-CN" w:bidi="ar-SA"/>
        </w:rPr>
        <w:br w:type="page"/>
      </w: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TBjNDBhMzE3MTRmMjgzMGM1MTdjNDY2ODhjMWY1YTYifQ=="/>
    <w:docVar w:name="KSO_WPS_MARK_KEY" w:val="41ee2a61-2d54-4f93-83be-afdb9a40d732"/>
  </w:docVars>
  <w:rsids>
    <w:rsidRoot w:val="008800EE"/>
    <w:rsid w:val="00073E43"/>
    <w:rsid w:val="00120C22"/>
    <w:rsid w:val="00213C59"/>
    <w:rsid w:val="002E67E6"/>
    <w:rsid w:val="003210CE"/>
    <w:rsid w:val="00425DD7"/>
    <w:rsid w:val="00432366"/>
    <w:rsid w:val="00437016"/>
    <w:rsid w:val="005107E8"/>
    <w:rsid w:val="005C769D"/>
    <w:rsid w:val="005F06A1"/>
    <w:rsid w:val="006335AF"/>
    <w:rsid w:val="006542DC"/>
    <w:rsid w:val="00655732"/>
    <w:rsid w:val="006E698B"/>
    <w:rsid w:val="00805882"/>
    <w:rsid w:val="008800EE"/>
    <w:rsid w:val="00AF1D52"/>
    <w:rsid w:val="00B70D59"/>
    <w:rsid w:val="00C817F4"/>
    <w:rsid w:val="00D8618C"/>
    <w:rsid w:val="00D919F7"/>
    <w:rsid w:val="00E01731"/>
    <w:rsid w:val="00EB2E37"/>
    <w:rsid w:val="00F2439B"/>
    <w:rsid w:val="00F52A8D"/>
    <w:rsid w:val="00F910B2"/>
    <w:rsid w:val="019404F8"/>
    <w:rsid w:val="01A142BB"/>
    <w:rsid w:val="01C30B6B"/>
    <w:rsid w:val="01ED22F2"/>
    <w:rsid w:val="02BD3108"/>
    <w:rsid w:val="02F73D26"/>
    <w:rsid w:val="034D4FEF"/>
    <w:rsid w:val="03512C6E"/>
    <w:rsid w:val="035D1785"/>
    <w:rsid w:val="039F47CE"/>
    <w:rsid w:val="03BD5310"/>
    <w:rsid w:val="03E05CE8"/>
    <w:rsid w:val="03F973EE"/>
    <w:rsid w:val="043E5B56"/>
    <w:rsid w:val="047B6F67"/>
    <w:rsid w:val="04BB6EB7"/>
    <w:rsid w:val="04C04386"/>
    <w:rsid w:val="04D1736D"/>
    <w:rsid w:val="04D96608"/>
    <w:rsid w:val="04EE4FF3"/>
    <w:rsid w:val="04F210E4"/>
    <w:rsid w:val="04FA68C4"/>
    <w:rsid w:val="05381FDF"/>
    <w:rsid w:val="053F5AE6"/>
    <w:rsid w:val="057C0B0F"/>
    <w:rsid w:val="05EF4B48"/>
    <w:rsid w:val="05F76ECA"/>
    <w:rsid w:val="06183A24"/>
    <w:rsid w:val="064609F4"/>
    <w:rsid w:val="067425A5"/>
    <w:rsid w:val="06792773"/>
    <w:rsid w:val="06FD75CA"/>
    <w:rsid w:val="07093795"/>
    <w:rsid w:val="077559CB"/>
    <w:rsid w:val="07804730"/>
    <w:rsid w:val="079052BE"/>
    <w:rsid w:val="08145C21"/>
    <w:rsid w:val="08422688"/>
    <w:rsid w:val="08464A1F"/>
    <w:rsid w:val="085854ED"/>
    <w:rsid w:val="0879188F"/>
    <w:rsid w:val="08A0354D"/>
    <w:rsid w:val="08CD4C49"/>
    <w:rsid w:val="09114954"/>
    <w:rsid w:val="095A5B83"/>
    <w:rsid w:val="096466E3"/>
    <w:rsid w:val="0968304D"/>
    <w:rsid w:val="09AF3D17"/>
    <w:rsid w:val="09EC3E56"/>
    <w:rsid w:val="0A4F1E3A"/>
    <w:rsid w:val="0A7809B7"/>
    <w:rsid w:val="0A7B4867"/>
    <w:rsid w:val="0A840954"/>
    <w:rsid w:val="0A9928ED"/>
    <w:rsid w:val="0B61769D"/>
    <w:rsid w:val="0B8C3ECC"/>
    <w:rsid w:val="0B9577AD"/>
    <w:rsid w:val="0B9C639D"/>
    <w:rsid w:val="0BB052B2"/>
    <w:rsid w:val="0BD33FFC"/>
    <w:rsid w:val="0BE85A34"/>
    <w:rsid w:val="0BE97AC1"/>
    <w:rsid w:val="0C051664"/>
    <w:rsid w:val="0C1C4780"/>
    <w:rsid w:val="0C3613A3"/>
    <w:rsid w:val="0C5E519C"/>
    <w:rsid w:val="0C7227A7"/>
    <w:rsid w:val="0CA52EE8"/>
    <w:rsid w:val="0CBD6988"/>
    <w:rsid w:val="0CC335FF"/>
    <w:rsid w:val="0CD208AC"/>
    <w:rsid w:val="0D172DAA"/>
    <w:rsid w:val="0D4903E8"/>
    <w:rsid w:val="0D7A4A46"/>
    <w:rsid w:val="0E640559"/>
    <w:rsid w:val="0E6B26B6"/>
    <w:rsid w:val="0E961CDA"/>
    <w:rsid w:val="0F0A4152"/>
    <w:rsid w:val="0F1113DA"/>
    <w:rsid w:val="0F6770D5"/>
    <w:rsid w:val="0F78534A"/>
    <w:rsid w:val="0F840ABC"/>
    <w:rsid w:val="0F89358A"/>
    <w:rsid w:val="0F8B058F"/>
    <w:rsid w:val="0F8C6D51"/>
    <w:rsid w:val="0F8D020F"/>
    <w:rsid w:val="105B0B5E"/>
    <w:rsid w:val="10C23020"/>
    <w:rsid w:val="10C41590"/>
    <w:rsid w:val="112E58D0"/>
    <w:rsid w:val="11333392"/>
    <w:rsid w:val="11731CAC"/>
    <w:rsid w:val="119500A0"/>
    <w:rsid w:val="11C0733B"/>
    <w:rsid w:val="11D50D17"/>
    <w:rsid w:val="11D52A4E"/>
    <w:rsid w:val="120E0809"/>
    <w:rsid w:val="127F665A"/>
    <w:rsid w:val="12CD75C5"/>
    <w:rsid w:val="12D64DDB"/>
    <w:rsid w:val="12F7068C"/>
    <w:rsid w:val="13A20852"/>
    <w:rsid w:val="13C05E16"/>
    <w:rsid w:val="14207DC0"/>
    <w:rsid w:val="144A1DD6"/>
    <w:rsid w:val="14867396"/>
    <w:rsid w:val="14B932DA"/>
    <w:rsid w:val="150A66AF"/>
    <w:rsid w:val="154C1139"/>
    <w:rsid w:val="158C5B77"/>
    <w:rsid w:val="15C01CF6"/>
    <w:rsid w:val="15E74E47"/>
    <w:rsid w:val="160D1149"/>
    <w:rsid w:val="163563C0"/>
    <w:rsid w:val="164315EF"/>
    <w:rsid w:val="16557DFE"/>
    <w:rsid w:val="167268FB"/>
    <w:rsid w:val="16770D0A"/>
    <w:rsid w:val="16854DF4"/>
    <w:rsid w:val="169A0039"/>
    <w:rsid w:val="16CF2DFA"/>
    <w:rsid w:val="16D50C50"/>
    <w:rsid w:val="16E120E1"/>
    <w:rsid w:val="170148CE"/>
    <w:rsid w:val="17385A05"/>
    <w:rsid w:val="173B3901"/>
    <w:rsid w:val="176747F9"/>
    <w:rsid w:val="17954A6E"/>
    <w:rsid w:val="179D16F5"/>
    <w:rsid w:val="17BE2C86"/>
    <w:rsid w:val="180059E9"/>
    <w:rsid w:val="182F6239"/>
    <w:rsid w:val="184510FD"/>
    <w:rsid w:val="185B5098"/>
    <w:rsid w:val="18656713"/>
    <w:rsid w:val="18CB0F45"/>
    <w:rsid w:val="190648B0"/>
    <w:rsid w:val="19071D6C"/>
    <w:rsid w:val="191D00C0"/>
    <w:rsid w:val="194C318E"/>
    <w:rsid w:val="19B64ABD"/>
    <w:rsid w:val="19D26CD4"/>
    <w:rsid w:val="19E60D19"/>
    <w:rsid w:val="1A3E3450"/>
    <w:rsid w:val="1AD807E5"/>
    <w:rsid w:val="1B2B156D"/>
    <w:rsid w:val="1B39345B"/>
    <w:rsid w:val="1BAC19F3"/>
    <w:rsid w:val="1BDD21C2"/>
    <w:rsid w:val="1BFB2A1F"/>
    <w:rsid w:val="1C015D4A"/>
    <w:rsid w:val="1C290ED5"/>
    <w:rsid w:val="1C317E4F"/>
    <w:rsid w:val="1C4510D2"/>
    <w:rsid w:val="1C472464"/>
    <w:rsid w:val="1C92426F"/>
    <w:rsid w:val="1D0A371D"/>
    <w:rsid w:val="1D22799A"/>
    <w:rsid w:val="1D330575"/>
    <w:rsid w:val="1D5C1A72"/>
    <w:rsid w:val="1D9925C5"/>
    <w:rsid w:val="1D9D69A6"/>
    <w:rsid w:val="1DAF458D"/>
    <w:rsid w:val="1E086ACE"/>
    <w:rsid w:val="1E62130A"/>
    <w:rsid w:val="1E97358B"/>
    <w:rsid w:val="1EAA4A5F"/>
    <w:rsid w:val="1ED029FA"/>
    <w:rsid w:val="1EDE75FC"/>
    <w:rsid w:val="1EE30A52"/>
    <w:rsid w:val="1EE869A7"/>
    <w:rsid w:val="1F3736F0"/>
    <w:rsid w:val="1F3F37CF"/>
    <w:rsid w:val="1F8B2132"/>
    <w:rsid w:val="1FA15E62"/>
    <w:rsid w:val="1FBC2DEB"/>
    <w:rsid w:val="1FED69B6"/>
    <w:rsid w:val="200854B7"/>
    <w:rsid w:val="2064678E"/>
    <w:rsid w:val="207B12D7"/>
    <w:rsid w:val="20DC1AB9"/>
    <w:rsid w:val="20DD6197"/>
    <w:rsid w:val="212631E0"/>
    <w:rsid w:val="2138666F"/>
    <w:rsid w:val="21742080"/>
    <w:rsid w:val="21882AE9"/>
    <w:rsid w:val="2197117A"/>
    <w:rsid w:val="21A53757"/>
    <w:rsid w:val="21A72C37"/>
    <w:rsid w:val="21C5467A"/>
    <w:rsid w:val="21E140A1"/>
    <w:rsid w:val="21F879E1"/>
    <w:rsid w:val="221236C6"/>
    <w:rsid w:val="22AE7F72"/>
    <w:rsid w:val="22D7662C"/>
    <w:rsid w:val="22F91803"/>
    <w:rsid w:val="231B4D31"/>
    <w:rsid w:val="23326B7F"/>
    <w:rsid w:val="236976FD"/>
    <w:rsid w:val="2380045B"/>
    <w:rsid w:val="23842554"/>
    <w:rsid w:val="23BC04D2"/>
    <w:rsid w:val="23C5114B"/>
    <w:rsid w:val="23EF1892"/>
    <w:rsid w:val="2483647E"/>
    <w:rsid w:val="24A32D55"/>
    <w:rsid w:val="24CE6D9A"/>
    <w:rsid w:val="25292727"/>
    <w:rsid w:val="252E5CA9"/>
    <w:rsid w:val="256F7692"/>
    <w:rsid w:val="25BA2154"/>
    <w:rsid w:val="25C8773F"/>
    <w:rsid w:val="25F5779E"/>
    <w:rsid w:val="26235823"/>
    <w:rsid w:val="264A7253"/>
    <w:rsid w:val="268E37D0"/>
    <w:rsid w:val="26F0170C"/>
    <w:rsid w:val="26FE3B9A"/>
    <w:rsid w:val="27201D62"/>
    <w:rsid w:val="27286E73"/>
    <w:rsid w:val="27756789"/>
    <w:rsid w:val="27CF2642"/>
    <w:rsid w:val="27DB7BEF"/>
    <w:rsid w:val="27E777F5"/>
    <w:rsid w:val="27E92788"/>
    <w:rsid w:val="27EA1D4C"/>
    <w:rsid w:val="27EA2E41"/>
    <w:rsid w:val="28225400"/>
    <w:rsid w:val="282459E2"/>
    <w:rsid w:val="283A7FE5"/>
    <w:rsid w:val="285F51FF"/>
    <w:rsid w:val="28DA4193"/>
    <w:rsid w:val="28DF2665"/>
    <w:rsid w:val="28DF6A57"/>
    <w:rsid w:val="28E229A0"/>
    <w:rsid w:val="29072599"/>
    <w:rsid w:val="291029F3"/>
    <w:rsid w:val="29CB58F0"/>
    <w:rsid w:val="2A053397"/>
    <w:rsid w:val="2A145E96"/>
    <w:rsid w:val="2A2131BB"/>
    <w:rsid w:val="2A8668D4"/>
    <w:rsid w:val="2A9B2FF6"/>
    <w:rsid w:val="2AC85910"/>
    <w:rsid w:val="2AF5378F"/>
    <w:rsid w:val="2B002D1A"/>
    <w:rsid w:val="2B13221C"/>
    <w:rsid w:val="2B195A86"/>
    <w:rsid w:val="2B6464D6"/>
    <w:rsid w:val="2BB94DBF"/>
    <w:rsid w:val="2BC23121"/>
    <w:rsid w:val="2BF37410"/>
    <w:rsid w:val="2C242EAF"/>
    <w:rsid w:val="2C6F314E"/>
    <w:rsid w:val="2CC206BE"/>
    <w:rsid w:val="2CC82306"/>
    <w:rsid w:val="2CF802C3"/>
    <w:rsid w:val="2D1136DF"/>
    <w:rsid w:val="2D1D12F7"/>
    <w:rsid w:val="2D20606D"/>
    <w:rsid w:val="2D5A72D3"/>
    <w:rsid w:val="2D6729FE"/>
    <w:rsid w:val="2DB87198"/>
    <w:rsid w:val="2DB93C54"/>
    <w:rsid w:val="2E3D144C"/>
    <w:rsid w:val="2E891204"/>
    <w:rsid w:val="2EA22E91"/>
    <w:rsid w:val="2EC568C9"/>
    <w:rsid w:val="2F3F0A28"/>
    <w:rsid w:val="2FBF7029"/>
    <w:rsid w:val="2FD0187F"/>
    <w:rsid w:val="2FD27414"/>
    <w:rsid w:val="2FD44032"/>
    <w:rsid w:val="2FFE4BB0"/>
    <w:rsid w:val="300E7B60"/>
    <w:rsid w:val="300F6E18"/>
    <w:rsid w:val="304A1F48"/>
    <w:rsid w:val="30862F5F"/>
    <w:rsid w:val="30A4775A"/>
    <w:rsid w:val="314029C9"/>
    <w:rsid w:val="31BA24B9"/>
    <w:rsid w:val="31C63837"/>
    <w:rsid w:val="31C82E39"/>
    <w:rsid w:val="323B6E74"/>
    <w:rsid w:val="32601BAD"/>
    <w:rsid w:val="329F6389"/>
    <w:rsid w:val="331A42E4"/>
    <w:rsid w:val="3389023A"/>
    <w:rsid w:val="33CB74FA"/>
    <w:rsid w:val="34044588"/>
    <w:rsid w:val="343642F2"/>
    <w:rsid w:val="343F3010"/>
    <w:rsid w:val="345D0A00"/>
    <w:rsid w:val="34713BFD"/>
    <w:rsid w:val="34C13589"/>
    <w:rsid w:val="34DB3F45"/>
    <w:rsid w:val="353369E3"/>
    <w:rsid w:val="3566449D"/>
    <w:rsid w:val="35B21E0B"/>
    <w:rsid w:val="35D466DB"/>
    <w:rsid w:val="35E00D72"/>
    <w:rsid w:val="36850629"/>
    <w:rsid w:val="36965B9D"/>
    <w:rsid w:val="36C549FD"/>
    <w:rsid w:val="3776159C"/>
    <w:rsid w:val="37A755DD"/>
    <w:rsid w:val="37CC6D85"/>
    <w:rsid w:val="37F33BFE"/>
    <w:rsid w:val="37F94FA0"/>
    <w:rsid w:val="380D3381"/>
    <w:rsid w:val="38115B1F"/>
    <w:rsid w:val="385E3AC3"/>
    <w:rsid w:val="387D6B9E"/>
    <w:rsid w:val="38B75FF0"/>
    <w:rsid w:val="38D45016"/>
    <w:rsid w:val="38D90432"/>
    <w:rsid w:val="38EC7A8B"/>
    <w:rsid w:val="3914510A"/>
    <w:rsid w:val="3926770B"/>
    <w:rsid w:val="3982065B"/>
    <w:rsid w:val="398D3668"/>
    <w:rsid w:val="39DA0497"/>
    <w:rsid w:val="39E27206"/>
    <w:rsid w:val="3A742D4E"/>
    <w:rsid w:val="3A893816"/>
    <w:rsid w:val="3A893B6D"/>
    <w:rsid w:val="3AC56489"/>
    <w:rsid w:val="3ACA0840"/>
    <w:rsid w:val="3AD1763A"/>
    <w:rsid w:val="3B196883"/>
    <w:rsid w:val="3B6716E3"/>
    <w:rsid w:val="3B6C6B2D"/>
    <w:rsid w:val="3B6D11D3"/>
    <w:rsid w:val="3B83475A"/>
    <w:rsid w:val="3BC736F4"/>
    <w:rsid w:val="3C111A19"/>
    <w:rsid w:val="3C242659"/>
    <w:rsid w:val="3C356755"/>
    <w:rsid w:val="3C7B5091"/>
    <w:rsid w:val="3C96719C"/>
    <w:rsid w:val="3CA72BE8"/>
    <w:rsid w:val="3CB21257"/>
    <w:rsid w:val="3CDC1E1E"/>
    <w:rsid w:val="3CF37F8C"/>
    <w:rsid w:val="3D137554"/>
    <w:rsid w:val="3D5275AC"/>
    <w:rsid w:val="3DBC52D8"/>
    <w:rsid w:val="3DC1175F"/>
    <w:rsid w:val="3DCC2473"/>
    <w:rsid w:val="3DD55C8C"/>
    <w:rsid w:val="3DEB0883"/>
    <w:rsid w:val="3E2527BF"/>
    <w:rsid w:val="3E294607"/>
    <w:rsid w:val="3E70484C"/>
    <w:rsid w:val="3E731662"/>
    <w:rsid w:val="3E8168DD"/>
    <w:rsid w:val="3E9D7E49"/>
    <w:rsid w:val="3EA7725F"/>
    <w:rsid w:val="3EB03713"/>
    <w:rsid w:val="3EBF1A11"/>
    <w:rsid w:val="3EC52607"/>
    <w:rsid w:val="3EEC6CEF"/>
    <w:rsid w:val="3EFC39E8"/>
    <w:rsid w:val="3F183429"/>
    <w:rsid w:val="3F661A90"/>
    <w:rsid w:val="3F6F01A1"/>
    <w:rsid w:val="3F744629"/>
    <w:rsid w:val="3FB77A1D"/>
    <w:rsid w:val="3FDC3674"/>
    <w:rsid w:val="3FED7F8A"/>
    <w:rsid w:val="40094AEF"/>
    <w:rsid w:val="402A7E7C"/>
    <w:rsid w:val="40476CD9"/>
    <w:rsid w:val="405470BD"/>
    <w:rsid w:val="40794A29"/>
    <w:rsid w:val="40834692"/>
    <w:rsid w:val="409D3E85"/>
    <w:rsid w:val="40C41256"/>
    <w:rsid w:val="41431AD5"/>
    <w:rsid w:val="414B3C0F"/>
    <w:rsid w:val="417C1CE7"/>
    <w:rsid w:val="418A430E"/>
    <w:rsid w:val="41900018"/>
    <w:rsid w:val="41944406"/>
    <w:rsid w:val="419C74B1"/>
    <w:rsid w:val="41CA6369"/>
    <w:rsid w:val="41CE128F"/>
    <w:rsid w:val="41DA6F12"/>
    <w:rsid w:val="42171FB1"/>
    <w:rsid w:val="42652064"/>
    <w:rsid w:val="42C10D7B"/>
    <w:rsid w:val="434E6957"/>
    <w:rsid w:val="4353317A"/>
    <w:rsid w:val="43B14CFF"/>
    <w:rsid w:val="43BA0E31"/>
    <w:rsid w:val="43C15147"/>
    <w:rsid w:val="43C80D40"/>
    <w:rsid w:val="43E14DD2"/>
    <w:rsid w:val="43F800E9"/>
    <w:rsid w:val="443A7E4B"/>
    <w:rsid w:val="444A7D08"/>
    <w:rsid w:val="44564272"/>
    <w:rsid w:val="44757F5F"/>
    <w:rsid w:val="44A36BF7"/>
    <w:rsid w:val="44DA5705"/>
    <w:rsid w:val="45056637"/>
    <w:rsid w:val="452F5B3A"/>
    <w:rsid w:val="454E7FD2"/>
    <w:rsid w:val="45612887"/>
    <w:rsid w:val="45631DE6"/>
    <w:rsid w:val="45BA6329"/>
    <w:rsid w:val="46061BDC"/>
    <w:rsid w:val="461404F8"/>
    <w:rsid w:val="46413018"/>
    <w:rsid w:val="464B7E04"/>
    <w:rsid w:val="468041AA"/>
    <w:rsid w:val="468123C6"/>
    <w:rsid w:val="46901EEE"/>
    <w:rsid w:val="469C74D2"/>
    <w:rsid w:val="46C72378"/>
    <w:rsid w:val="47445515"/>
    <w:rsid w:val="474B4782"/>
    <w:rsid w:val="47D90D14"/>
    <w:rsid w:val="47DE1152"/>
    <w:rsid w:val="48387FB0"/>
    <w:rsid w:val="483A6114"/>
    <w:rsid w:val="487E229D"/>
    <w:rsid w:val="488727DB"/>
    <w:rsid w:val="4890451C"/>
    <w:rsid w:val="48B82268"/>
    <w:rsid w:val="48C354B3"/>
    <w:rsid w:val="493D58B5"/>
    <w:rsid w:val="494A7A04"/>
    <w:rsid w:val="49605EF7"/>
    <w:rsid w:val="49921B40"/>
    <w:rsid w:val="49C45812"/>
    <w:rsid w:val="4A0A26D2"/>
    <w:rsid w:val="4A2019A5"/>
    <w:rsid w:val="4A241A0B"/>
    <w:rsid w:val="4A5C2BD7"/>
    <w:rsid w:val="4A717832"/>
    <w:rsid w:val="4A7B2875"/>
    <w:rsid w:val="4A934476"/>
    <w:rsid w:val="4AAA220A"/>
    <w:rsid w:val="4AD04A4B"/>
    <w:rsid w:val="4AE12E67"/>
    <w:rsid w:val="4B4C0111"/>
    <w:rsid w:val="4B8553A9"/>
    <w:rsid w:val="4BBC3C5A"/>
    <w:rsid w:val="4BDB3730"/>
    <w:rsid w:val="4C200F7A"/>
    <w:rsid w:val="4CEE3180"/>
    <w:rsid w:val="4CF04A45"/>
    <w:rsid w:val="4D015FE4"/>
    <w:rsid w:val="4D0F4AF6"/>
    <w:rsid w:val="4D337AB8"/>
    <w:rsid w:val="4D537EEC"/>
    <w:rsid w:val="4DB60F8B"/>
    <w:rsid w:val="4DC4298D"/>
    <w:rsid w:val="4DF94F37"/>
    <w:rsid w:val="4E0A1DD5"/>
    <w:rsid w:val="4E3160E5"/>
    <w:rsid w:val="4E4D37AF"/>
    <w:rsid w:val="4E684632"/>
    <w:rsid w:val="4E8C6496"/>
    <w:rsid w:val="4EFD18DE"/>
    <w:rsid w:val="4F144236"/>
    <w:rsid w:val="4F663C87"/>
    <w:rsid w:val="4F7E29A8"/>
    <w:rsid w:val="4F9E1FFC"/>
    <w:rsid w:val="4FD50008"/>
    <w:rsid w:val="50447CC2"/>
    <w:rsid w:val="50874A7C"/>
    <w:rsid w:val="50895EE7"/>
    <w:rsid w:val="50921B9D"/>
    <w:rsid w:val="50D16158"/>
    <w:rsid w:val="50DB5F45"/>
    <w:rsid w:val="50FB2D75"/>
    <w:rsid w:val="51025EB1"/>
    <w:rsid w:val="51141503"/>
    <w:rsid w:val="51175361"/>
    <w:rsid w:val="513C450E"/>
    <w:rsid w:val="518D0ED5"/>
    <w:rsid w:val="523C7075"/>
    <w:rsid w:val="525C687F"/>
    <w:rsid w:val="52A3740A"/>
    <w:rsid w:val="52DE57E2"/>
    <w:rsid w:val="52F647F7"/>
    <w:rsid w:val="52F92565"/>
    <w:rsid w:val="5330458B"/>
    <w:rsid w:val="534F05A7"/>
    <w:rsid w:val="53AE735E"/>
    <w:rsid w:val="53D03877"/>
    <w:rsid w:val="542568A5"/>
    <w:rsid w:val="542F73CA"/>
    <w:rsid w:val="5430786D"/>
    <w:rsid w:val="545A1D2A"/>
    <w:rsid w:val="54BE00BA"/>
    <w:rsid w:val="54C811C0"/>
    <w:rsid w:val="556A442D"/>
    <w:rsid w:val="556B5D53"/>
    <w:rsid w:val="55DA564E"/>
    <w:rsid w:val="55E816A3"/>
    <w:rsid w:val="55FF5F1F"/>
    <w:rsid w:val="5604127D"/>
    <w:rsid w:val="56044E6C"/>
    <w:rsid w:val="56166703"/>
    <w:rsid w:val="56510474"/>
    <w:rsid w:val="56861525"/>
    <w:rsid w:val="56877B05"/>
    <w:rsid w:val="56A93273"/>
    <w:rsid w:val="56BD550C"/>
    <w:rsid w:val="56C03242"/>
    <w:rsid w:val="56E07045"/>
    <w:rsid w:val="56FF28AF"/>
    <w:rsid w:val="574B60D8"/>
    <w:rsid w:val="57540E7D"/>
    <w:rsid w:val="5768263D"/>
    <w:rsid w:val="577B4878"/>
    <w:rsid w:val="57926973"/>
    <w:rsid w:val="57D1482F"/>
    <w:rsid w:val="5811760C"/>
    <w:rsid w:val="58175352"/>
    <w:rsid w:val="581F2200"/>
    <w:rsid w:val="583059FA"/>
    <w:rsid w:val="584A0929"/>
    <w:rsid w:val="58CD2491"/>
    <w:rsid w:val="591B41B2"/>
    <w:rsid w:val="59254A26"/>
    <w:rsid w:val="59326325"/>
    <w:rsid w:val="595C505B"/>
    <w:rsid w:val="595E55C3"/>
    <w:rsid w:val="596E7E20"/>
    <w:rsid w:val="59F86EEA"/>
    <w:rsid w:val="59FF4895"/>
    <w:rsid w:val="5A5D23AA"/>
    <w:rsid w:val="5A60780B"/>
    <w:rsid w:val="5A766A76"/>
    <w:rsid w:val="5AB34579"/>
    <w:rsid w:val="5AB40E78"/>
    <w:rsid w:val="5ACD2D08"/>
    <w:rsid w:val="5ADE51A0"/>
    <w:rsid w:val="5AF80B40"/>
    <w:rsid w:val="5AFC6609"/>
    <w:rsid w:val="5B113480"/>
    <w:rsid w:val="5B6A7475"/>
    <w:rsid w:val="5BD347B4"/>
    <w:rsid w:val="5BD456CE"/>
    <w:rsid w:val="5C0D1F49"/>
    <w:rsid w:val="5C2D0770"/>
    <w:rsid w:val="5C36110E"/>
    <w:rsid w:val="5CA03352"/>
    <w:rsid w:val="5CBB0CE2"/>
    <w:rsid w:val="5CC17177"/>
    <w:rsid w:val="5CF306BC"/>
    <w:rsid w:val="5CF8443B"/>
    <w:rsid w:val="5D3F3D64"/>
    <w:rsid w:val="5D833043"/>
    <w:rsid w:val="5DD92690"/>
    <w:rsid w:val="5DDB1CFD"/>
    <w:rsid w:val="5DF87EEB"/>
    <w:rsid w:val="5E6172FF"/>
    <w:rsid w:val="5E7E6D93"/>
    <w:rsid w:val="5E82459B"/>
    <w:rsid w:val="5EA234A8"/>
    <w:rsid w:val="5ED15CC9"/>
    <w:rsid w:val="5ED44800"/>
    <w:rsid w:val="5EF3071F"/>
    <w:rsid w:val="5EF639F4"/>
    <w:rsid w:val="5F2A35B1"/>
    <w:rsid w:val="5F350BDE"/>
    <w:rsid w:val="5F507F6E"/>
    <w:rsid w:val="5F61632C"/>
    <w:rsid w:val="5FA17648"/>
    <w:rsid w:val="5FE705CB"/>
    <w:rsid w:val="6007714E"/>
    <w:rsid w:val="60252EC3"/>
    <w:rsid w:val="603D5080"/>
    <w:rsid w:val="606842D0"/>
    <w:rsid w:val="608672F9"/>
    <w:rsid w:val="60D0261B"/>
    <w:rsid w:val="61246BEF"/>
    <w:rsid w:val="61782DF6"/>
    <w:rsid w:val="618E3791"/>
    <w:rsid w:val="61947DCA"/>
    <w:rsid w:val="61A46A97"/>
    <w:rsid w:val="61D1382F"/>
    <w:rsid w:val="61F114A2"/>
    <w:rsid w:val="622B0ABA"/>
    <w:rsid w:val="62512BB4"/>
    <w:rsid w:val="625D7D1A"/>
    <w:rsid w:val="626424FE"/>
    <w:rsid w:val="62660469"/>
    <w:rsid w:val="62946B14"/>
    <w:rsid w:val="62CD57A4"/>
    <w:rsid w:val="62DD7D21"/>
    <w:rsid w:val="62EA0736"/>
    <w:rsid w:val="634403D8"/>
    <w:rsid w:val="637D586B"/>
    <w:rsid w:val="63A5560B"/>
    <w:rsid w:val="63B113DA"/>
    <w:rsid w:val="63B41CCB"/>
    <w:rsid w:val="63DB7DC0"/>
    <w:rsid w:val="63E9091F"/>
    <w:rsid w:val="63F6448F"/>
    <w:rsid w:val="64322AF9"/>
    <w:rsid w:val="64BD6456"/>
    <w:rsid w:val="64D6010D"/>
    <w:rsid w:val="64D82665"/>
    <w:rsid w:val="64E47C96"/>
    <w:rsid w:val="651A6B18"/>
    <w:rsid w:val="651E5741"/>
    <w:rsid w:val="653F3E3A"/>
    <w:rsid w:val="655D7702"/>
    <w:rsid w:val="658A4877"/>
    <w:rsid w:val="65A00902"/>
    <w:rsid w:val="65AC6EDD"/>
    <w:rsid w:val="65BC493F"/>
    <w:rsid w:val="65D97752"/>
    <w:rsid w:val="65DD72A7"/>
    <w:rsid w:val="65EE67C8"/>
    <w:rsid w:val="66085536"/>
    <w:rsid w:val="66105BF7"/>
    <w:rsid w:val="66150023"/>
    <w:rsid w:val="6628010D"/>
    <w:rsid w:val="669B4528"/>
    <w:rsid w:val="66CC12D7"/>
    <w:rsid w:val="67134CEF"/>
    <w:rsid w:val="671F1ABD"/>
    <w:rsid w:val="67521A59"/>
    <w:rsid w:val="67523E91"/>
    <w:rsid w:val="67C304AB"/>
    <w:rsid w:val="683F0658"/>
    <w:rsid w:val="689C6793"/>
    <w:rsid w:val="68D070FD"/>
    <w:rsid w:val="68DB0208"/>
    <w:rsid w:val="68FB170C"/>
    <w:rsid w:val="691B3D98"/>
    <w:rsid w:val="693748F0"/>
    <w:rsid w:val="69846A0E"/>
    <w:rsid w:val="69AA1366"/>
    <w:rsid w:val="69AD798C"/>
    <w:rsid w:val="69D005C0"/>
    <w:rsid w:val="69D80B96"/>
    <w:rsid w:val="69F47AD7"/>
    <w:rsid w:val="6A2C39D4"/>
    <w:rsid w:val="6A5269FC"/>
    <w:rsid w:val="6A556234"/>
    <w:rsid w:val="6AA76FE0"/>
    <w:rsid w:val="6AD611D4"/>
    <w:rsid w:val="6B105217"/>
    <w:rsid w:val="6B68175F"/>
    <w:rsid w:val="6BD84B89"/>
    <w:rsid w:val="6BF43BAA"/>
    <w:rsid w:val="6BFD799F"/>
    <w:rsid w:val="6C4A2E5A"/>
    <w:rsid w:val="6C5421EA"/>
    <w:rsid w:val="6C8138D0"/>
    <w:rsid w:val="6CEF0725"/>
    <w:rsid w:val="6D4B2604"/>
    <w:rsid w:val="6D77358F"/>
    <w:rsid w:val="6D8030E4"/>
    <w:rsid w:val="6E0E35C4"/>
    <w:rsid w:val="6E0F7A08"/>
    <w:rsid w:val="6E270D4F"/>
    <w:rsid w:val="6E3947F5"/>
    <w:rsid w:val="6E6733A0"/>
    <w:rsid w:val="6E6E3938"/>
    <w:rsid w:val="6E9C74ED"/>
    <w:rsid w:val="6EDA7B64"/>
    <w:rsid w:val="6EF405FA"/>
    <w:rsid w:val="6EF72976"/>
    <w:rsid w:val="6F795A80"/>
    <w:rsid w:val="6F7C1D2E"/>
    <w:rsid w:val="6F8E0407"/>
    <w:rsid w:val="6FDD069F"/>
    <w:rsid w:val="702A3ADC"/>
    <w:rsid w:val="702B4D16"/>
    <w:rsid w:val="70AA6621"/>
    <w:rsid w:val="7111480F"/>
    <w:rsid w:val="71261F49"/>
    <w:rsid w:val="712E6956"/>
    <w:rsid w:val="71473612"/>
    <w:rsid w:val="71504F32"/>
    <w:rsid w:val="7152309F"/>
    <w:rsid w:val="718F7F65"/>
    <w:rsid w:val="719A1733"/>
    <w:rsid w:val="71DA6992"/>
    <w:rsid w:val="723658ED"/>
    <w:rsid w:val="72522655"/>
    <w:rsid w:val="725E233E"/>
    <w:rsid w:val="727B234E"/>
    <w:rsid w:val="728A58B0"/>
    <w:rsid w:val="72AD72C9"/>
    <w:rsid w:val="72B24B1E"/>
    <w:rsid w:val="72CE2903"/>
    <w:rsid w:val="72D068C7"/>
    <w:rsid w:val="72E42ED8"/>
    <w:rsid w:val="72FC34C3"/>
    <w:rsid w:val="735F4CB9"/>
    <w:rsid w:val="73607D61"/>
    <w:rsid w:val="73674C62"/>
    <w:rsid w:val="73845865"/>
    <w:rsid w:val="739B6D9E"/>
    <w:rsid w:val="73BC1D76"/>
    <w:rsid w:val="73FB6630"/>
    <w:rsid w:val="748D790E"/>
    <w:rsid w:val="749820CC"/>
    <w:rsid w:val="74CE04EC"/>
    <w:rsid w:val="74E34252"/>
    <w:rsid w:val="74E76DCD"/>
    <w:rsid w:val="74EC4B62"/>
    <w:rsid w:val="751D7C0A"/>
    <w:rsid w:val="75722D56"/>
    <w:rsid w:val="75DB5477"/>
    <w:rsid w:val="75FC6AC3"/>
    <w:rsid w:val="760955B7"/>
    <w:rsid w:val="7616619B"/>
    <w:rsid w:val="76660D7C"/>
    <w:rsid w:val="766C5968"/>
    <w:rsid w:val="76AB6CD7"/>
    <w:rsid w:val="76BE0C8F"/>
    <w:rsid w:val="76CD53B2"/>
    <w:rsid w:val="76E6594C"/>
    <w:rsid w:val="770719AC"/>
    <w:rsid w:val="772A140E"/>
    <w:rsid w:val="776526CC"/>
    <w:rsid w:val="77A02E51"/>
    <w:rsid w:val="77A262E1"/>
    <w:rsid w:val="77B13C33"/>
    <w:rsid w:val="77DC095A"/>
    <w:rsid w:val="77ED6F44"/>
    <w:rsid w:val="77F45548"/>
    <w:rsid w:val="77F847C1"/>
    <w:rsid w:val="77FC440B"/>
    <w:rsid w:val="77FD7967"/>
    <w:rsid w:val="78212603"/>
    <w:rsid w:val="784E7CA6"/>
    <w:rsid w:val="78574801"/>
    <w:rsid w:val="7873527F"/>
    <w:rsid w:val="788D708F"/>
    <w:rsid w:val="790A6425"/>
    <w:rsid w:val="790E2D96"/>
    <w:rsid w:val="791B54B2"/>
    <w:rsid w:val="79396A7C"/>
    <w:rsid w:val="793C0F89"/>
    <w:rsid w:val="795A0A34"/>
    <w:rsid w:val="797339C3"/>
    <w:rsid w:val="797846B3"/>
    <w:rsid w:val="798B16F8"/>
    <w:rsid w:val="79D57D57"/>
    <w:rsid w:val="79F00650"/>
    <w:rsid w:val="7A111F26"/>
    <w:rsid w:val="7A6242BF"/>
    <w:rsid w:val="7A794513"/>
    <w:rsid w:val="7A9B3811"/>
    <w:rsid w:val="7AB467DA"/>
    <w:rsid w:val="7AB9318D"/>
    <w:rsid w:val="7AE952D2"/>
    <w:rsid w:val="7AF16E13"/>
    <w:rsid w:val="7AFE2976"/>
    <w:rsid w:val="7B276F1B"/>
    <w:rsid w:val="7B9F26AF"/>
    <w:rsid w:val="7BB607FE"/>
    <w:rsid w:val="7BFB0475"/>
    <w:rsid w:val="7C047802"/>
    <w:rsid w:val="7C296B25"/>
    <w:rsid w:val="7C7248A0"/>
    <w:rsid w:val="7C7F29CF"/>
    <w:rsid w:val="7C976D69"/>
    <w:rsid w:val="7CD752DA"/>
    <w:rsid w:val="7CDE40AB"/>
    <w:rsid w:val="7CF057E2"/>
    <w:rsid w:val="7D1548B5"/>
    <w:rsid w:val="7D3D4087"/>
    <w:rsid w:val="7D8E7309"/>
    <w:rsid w:val="7DC822C2"/>
    <w:rsid w:val="7DE20400"/>
    <w:rsid w:val="7DE2155E"/>
    <w:rsid w:val="7DF84014"/>
    <w:rsid w:val="7E207949"/>
    <w:rsid w:val="7E5C0A47"/>
    <w:rsid w:val="7E670C75"/>
    <w:rsid w:val="7EBD19A5"/>
    <w:rsid w:val="7EE24272"/>
    <w:rsid w:val="7EEA6053"/>
    <w:rsid w:val="7F2D3532"/>
    <w:rsid w:val="7F487C04"/>
    <w:rsid w:val="7F611CBA"/>
    <w:rsid w:val="7FB45F21"/>
    <w:rsid w:val="7FE57088"/>
    <w:rsid w:val="7FEE13F2"/>
    <w:rsid w:val="7FF37FA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character" w:styleId="12">
    <w:name w:val="Hyperlink"/>
    <w:basedOn w:val="10"/>
    <w:qFormat/>
    <w:uiPriority w:val="0"/>
    <w:rPr>
      <w:color w:val="0000FF" w:themeColor="hyperlink"/>
      <w:u w:val="single"/>
    </w:rPr>
  </w:style>
  <w:style w:type="paragraph" w:customStyle="1" w:styleId="13">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4">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5">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19</Pages>
  <Words>6768</Words>
  <Characters>7573</Characters>
  <Lines>61</Lines>
  <Paragraphs>17</Paragraphs>
  <TotalTime>0</TotalTime>
  <ScaleCrop>false</ScaleCrop>
  <LinksUpToDate>false</LinksUpToDate>
  <CharactersWithSpaces>7587</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2025-04-09T08:27:12Z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y fmtid="{D5CDD505-2E9C-101B-9397-08002B2CF9AE}" pid="4" name="KSOTemplateDocerSaveRecord">
    <vt:lpwstr>eyJoZGlkIjoiZDU4MmQ2ZWMyMDZlYzhmM2M0MmMwNGNmYmFiY2Q3YTQiLCJ1c2VySWQiOiI1Mzk1NTEzNjcifQ==</vt:lpwstr>
  </property>
</Properties>
</file>