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沙湾市总工会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 w:name="_Toc30738"/>
      <w:bookmarkStart w:id="3" w:name="_Toc30567"/>
      <w:r>
        <w:rPr>
          <w:rFonts w:hint="eastAsia" w:ascii="仿宋_GB2312" w:eastAsia="仿宋_GB2312"/>
          <w:color w:val="auto"/>
          <w:sz w:val="32"/>
          <w:szCs w:val="32"/>
          <w:highlight w:val="none"/>
          <w:lang w:val="en-US" w:eastAsia="zh-CN"/>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（1）贯彻落实党的路线、方针、政策和国家的法律、法规，根据市委、市政府和上级工会的要求，制定工会工作任务、计划及发展规划，并组织实施。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依照法律和工会章程，组织和指导各级工会贯彻落实党的全心全意依靠工人阶级的根本方针；贯彻执行上级工会的决议；履行工会的“维护、建设、参与、教育”等社会职能，保护、调动和发挥广大职工的积极性、创造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（3）围绕职工合法权益的重大问题进行调查研究，向市委、市政府及上级工会反映职工群众的思想、愿望和要求，并提出意见和建议；参与涉及职工切身利益的有关政策、措施和制度的制定。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（4）推进劳动关系协调机制的建立和完善，研究和推动基层工会建立平等协商、集体合同制度和监督保证机制，建立协调稳定的劳动关系。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依法调解劳动争议，参与劳动争议仲裁，为职工提供法律咨询、法律援助，对侵犯职工合法权益的重大事件进行调查，并提出处理意见；提高女职工的自身素质，维护女职工的权益和特殊利益；开展“送温暖”活动，做好困难职工解困济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（6）协助做好安全生产和劳动保护工作，参与职工重大伤亡事故和其他严重危害职工健康问题的调查处理。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7）加强工会组建工作，发展基层工会，管好工会会员；研究制定和完善工会的各项组织制度和民主制度，监察检查《中华人民共和国工会法》、《中华人民共和国劳动合同法》等法律法规的贯彻执行；研究制定和完善工会的各项组织制度和民主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（8）指导基层工会依法组织职工开展以职工代表大会为基本制度的民主选举、民主决策、民主管理和民主监督工作，推动劳动关系三方协调机制的建立和完善。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（9）协助各级党委和政府做好职工思想政治工作；指导基层工会开展职业道德教育和群众性文体活动，提高职工思想道德、技术业务和科学文化素质，建设有理想、有道德、有文化、有纪律的职工队伍。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（10）协助党委培养、考察和管理工会干部；研究制定工会干部的管理制度，规划组织全市工会干部的培训工作；加强工会党建工作，监督、检查党员干部的党风廉政建设。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（11）组织指导各级工会开展劳动竞赛、白领交友、技能大比武、职工书屋、自学成才和合理化建议等活动，实施群众性经济技术创新工程。组织管理劳动模范、先进生产（工作）者及先进集体的评选等工作。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（12）负责工会经费和工会资产的管理、审查和审计工作，负责全区工会事业发展的规划、指导和协调工作。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hAnsi="宋体" w:eastAsia="仿宋_GB2312" w:cs="宋体"/>
          <w:bCs/>
          <w:kern w:val="0"/>
          <w:sz w:val="32"/>
          <w:szCs w:val="32"/>
        </w:rPr>
      </w:pPr>
      <w:r>
        <w:rPr>
          <w:rFonts w:hint="eastAsia" w:ascii="仿宋_GB2312" w:eastAsia="仿宋_GB2312"/>
          <w:color w:val="auto"/>
          <w:sz w:val="32"/>
          <w:szCs w:val="32"/>
          <w:highlight w:val="none"/>
          <w:lang w:val="en-US" w:eastAsia="zh-CN"/>
        </w:rPr>
        <w:t>（13）承办市委、市政府和上级工会交办</w:t>
      </w:r>
      <w:r>
        <w:rPr>
          <w:rFonts w:hint="eastAsia" w:ascii="仿宋_GB2312" w:hAnsi="黑体" w:eastAsia="仿宋_GB2312" w:cs="宋体"/>
          <w:bCs/>
          <w:kern w:val="0"/>
          <w:sz w:val="32"/>
          <w:szCs w:val="32"/>
        </w:rPr>
        <w:t>的其他事项。</w:t>
      </w:r>
      <w:r>
        <w:rPr>
          <w:rFonts w:hint="eastAsia" w:ascii="仿宋_GB2312" w:hAnsi="宋体" w:eastAsia="仿宋_GB2312" w:cs="宋体"/>
          <w:bCs/>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沙湾市总工会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下设5个处室，分别是：综合办公室、行政办公室、企业办公室、财务室、帮扶中心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124.51万元，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124.51万元，使用非财政拨款结余0.00万元，年初结转和结余0.00万元。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124.51万元，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124.51万元，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减少15.49万元</w:t>
      </w:r>
      <w:r>
        <w:rPr>
          <w:rFonts w:hint="eastAsia" w:ascii="仿宋_GB2312" w:eastAsia="仿宋_GB2312"/>
          <w:color w:val="auto"/>
          <w:spacing w:val="0"/>
          <w:sz w:val="32"/>
          <w:szCs w:val="32"/>
          <w:highlight w:val="none"/>
          <w:lang w:eastAsia="zh-CN"/>
        </w:rPr>
        <w:t>，下降11.06%，主要原因是：</w:t>
      </w:r>
      <w:r>
        <w:rPr>
          <w:rFonts w:hint="eastAsia" w:ascii="仿宋_GB2312" w:eastAsia="仿宋_GB2312"/>
          <w:color w:val="auto"/>
          <w:spacing w:val="0"/>
          <w:sz w:val="32"/>
          <w:szCs w:val="32"/>
          <w:highlight w:val="none"/>
          <w:lang w:val="en-US" w:eastAsia="zh-CN"/>
        </w:rPr>
        <w:t>原因一：2023年存在退休人员9人基本医保缴费和公务员医疗缴费1-11月退库变动，人员经费存在差异；原因二：2023年公用经费存在变动，压减办公费指标11%的因素，公用经费存在差异；原因三：2023年三公经费较上一年度相比无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124.51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124.51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本年支出124.51万元，其中：基本支出124.51万元，占100.00%；项目支出0.00万元，占0.00%；上缴上级支出0.00万元，占0.00%；经营支出0.00万元，占0.00%；对附属单位补助支出0.00万元，占0.00%。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2023年度财政拨款收入</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124.51万元，</w:t>
      </w:r>
      <w:r>
        <w:rPr>
          <w:rFonts w:hint="eastAsia" w:ascii="仿宋_GB2312" w:hAnsi="仿宋_GB2312" w:eastAsia="仿宋_GB2312" w:cs="仿宋_GB2312"/>
          <w:color w:val="auto"/>
          <w:sz w:val="32"/>
          <w:szCs w:val="32"/>
          <w:highlight w:val="none"/>
          <w:lang w:val="en-US" w:eastAsia="zh-CN"/>
        </w:rPr>
        <w:t>其中：年初财政拨款结转和结余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本年财政拨款收入</w:t>
      </w:r>
      <w:r>
        <w:rPr>
          <w:rFonts w:hint="eastAsia" w:ascii="仿宋_GB2312" w:hAnsi="仿宋_GB2312" w:eastAsia="仿宋_GB2312" w:cs="仿宋_GB2312"/>
          <w:color w:val="auto"/>
          <w:sz w:val="32"/>
          <w:szCs w:val="32"/>
          <w:highlight w:val="none"/>
          <w:lang w:val="zh-CN" w:eastAsia="zh-CN"/>
        </w:rPr>
        <w:t>124.51万元。财政拨款支出</w:t>
      </w:r>
      <w:r>
        <w:rPr>
          <w:rFonts w:hint="eastAsia" w:ascii="仿宋_GB2312" w:hAnsi="仿宋_GB2312" w:eastAsia="仿宋_GB2312" w:cs="仿宋_GB2312"/>
          <w:color w:val="auto"/>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124.51万元，</w:t>
      </w:r>
      <w:r>
        <w:rPr>
          <w:rFonts w:hint="eastAsia" w:ascii="仿宋_GB2312" w:hAnsi="仿宋_GB2312" w:eastAsia="仿宋_GB2312" w:cs="仿宋_GB2312"/>
          <w:color w:val="auto"/>
          <w:sz w:val="32"/>
          <w:szCs w:val="32"/>
          <w:highlight w:val="none"/>
          <w:lang w:val="en-US" w:eastAsia="zh-CN"/>
        </w:rPr>
        <w:t>其中：年末财政拨款结转和结余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本年财政拨款支出</w:t>
      </w:r>
      <w:r>
        <w:rPr>
          <w:rFonts w:hint="eastAsia" w:ascii="仿宋_GB2312" w:hAnsi="仿宋_GB2312" w:eastAsia="仿宋_GB2312" w:cs="仿宋_GB2312"/>
          <w:color w:val="auto"/>
          <w:sz w:val="32"/>
          <w:szCs w:val="32"/>
          <w:highlight w:val="none"/>
          <w:lang w:val="zh-CN" w:eastAsia="zh-CN"/>
        </w:rPr>
        <w:t>124.51万元。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财政拨款收入支出总体与上年相比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减少15.49万元，</w:t>
      </w:r>
      <w:r>
        <w:rPr>
          <w:rFonts w:hint="eastAsia" w:ascii="仿宋_GB2312" w:hAnsi="仿宋_GB2312" w:eastAsia="仿宋_GB2312" w:cs="仿宋_GB2312"/>
          <w:color w:val="auto"/>
          <w:sz w:val="32"/>
          <w:szCs w:val="32"/>
          <w:highlight w:val="none"/>
          <w:lang w:val="en-US" w:eastAsia="zh-CN"/>
        </w:rPr>
        <w:t>下降11.06%,</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原因一：2023年存在退休人员9人基本医保缴费和公务员医疗缴费1-11月退库变动，人员经费存在差异；原因二：2023年公用经费存在变动，压减办公费指标11%的因素，公用经费存在差异；原因三：2023年三公经费较上一年度相比无支出。</w:t>
      </w:r>
      <w:r>
        <w:rPr>
          <w:rFonts w:hint="eastAsia" w:ascii="仿宋_GB2312" w:hAnsi="仿宋_GB2312" w:eastAsia="仿宋_GB2312" w:cs="仿宋_GB2312"/>
          <w:color w:val="auto"/>
          <w:sz w:val="32"/>
          <w:szCs w:val="32"/>
          <w:highlight w:val="none"/>
          <w:lang w:val="zh-CN" w:eastAsia="zh-CN"/>
        </w:rPr>
        <w:t>与年初预算相比，年初预算数121.37万元，决算数124.51万元，预决算差异率2.59%，主要原因是：</w:t>
      </w:r>
      <w:r>
        <w:rPr>
          <w:rFonts w:hint="eastAsia" w:ascii="仿宋_GB2312" w:hAnsi="仿宋_GB2312" w:eastAsia="仿宋_GB2312" w:cs="仿宋_GB2312"/>
          <w:color w:val="auto"/>
          <w:sz w:val="32"/>
          <w:szCs w:val="32"/>
          <w:highlight w:val="none"/>
          <w:lang w:val="en-US" w:eastAsia="zh-CN"/>
        </w:rPr>
        <w:t>原因一：2023年度在职人员职级晋升；原因二：2023年度工会经费按照年初预算下拨到位。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2023年度一般公共预算财政拨款支出124.51万元，占本年支出合计的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减少15.49万元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下降11.06%,</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原因一：2023年存在退休人员9人基本医保缴费和公务员医疗缴费1-11月退库变动，人员经费存在差异；原因二：2023年公用经费存在变动，压减办公费指标11%的因素，公用经费存在差异；原因三：2023年三公经费较上一年度相比无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121.37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124.51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2.59%</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原因一：2023年因调资因素人员工资存在变动；原因二：2023年度工会经费按照年初预算下拨到位。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93.95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75.46%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6.82%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1.一般公共服务支出（类）群众团体事务（款）行政运行（项）:支出决算数为67.20万元，比上年决算减少34.22万元，下降33.74%，主要原因是：</w:t>
      </w:r>
      <w:r>
        <w:rPr>
          <w:rFonts w:hint="eastAsia" w:ascii="仿宋_GB2312" w:hAnsi="仿宋_GB2312" w:eastAsia="仿宋_GB2312" w:cs="仿宋_GB2312"/>
          <w:color w:val="auto"/>
          <w:sz w:val="32"/>
          <w:szCs w:val="32"/>
          <w:highlight w:val="none"/>
          <w:lang w:val="en-US" w:eastAsia="zh-CN"/>
        </w:rPr>
        <w:t>2023年存在退休人员基本医保缴费单位不再缴费，</w:t>
      </w:r>
      <w:r>
        <w:rPr>
          <w:rFonts w:hint="eastAsia" w:ascii="仿宋_GB2312" w:hAnsi="仿宋_GB2312" w:eastAsia="仿宋_GB2312" w:cs="仿宋_GB2312"/>
          <w:color w:val="auto"/>
          <w:kern w:val="2"/>
          <w:sz w:val="32"/>
          <w:szCs w:val="32"/>
          <w:highlight w:val="none"/>
          <w:lang w:val="en-US" w:eastAsia="zh-CN" w:bidi="ar-SA"/>
        </w:rPr>
        <w:t>行政运行支出减少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2.卫生健康支出（类）行政事业单位医疗（款）行政单位医疗（项）:支出决算数为3.91万元，比上年决算减少3.93万元，下降50.13%，主要原因是：一是</w:t>
      </w:r>
      <w:r>
        <w:rPr>
          <w:rFonts w:hint="eastAsia" w:ascii="仿宋_GB2312" w:hAnsi="仿宋_GB2312" w:eastAsia="仿宋_GB2312" w:cs="仿宋_GB2312"/>
          <w:color w:val="auto"/>
          <w:sz w:val="32"/>
          <w:szCs w:val="32"/>
          <w:highlight w:val="none"/>
          <w:lang w:val="en-US" w:eastAsia="zh-CN"/>
        </w:rPr>
        <w:t>2023年存在退休人员基本医保缴费单位不再缴费，</w:t>
      </w:r>
      <w:r>
        <w:rPr>
          <w:rFonts w:hint="eastAsia" w:ascii="仿宋_GB2312" w:hAnsi="仿宋_GB2312" w:eastAsia="仿宋_GB2312" w:cs="仿宋_GB2312"/>
          <w:color w:val="auto"/>
          <w:kern w:val="2"/>
          <w:sz w:val="32"/>
          <w:szCs w:val="32"/>
          <w:highlight w:val="none"/>
          <w:lang w:val="en-US" w:eastAsia="zh-CN" w:bidi="ar-SA"/>
        </w:rPr>
        <w:t>行政单位医疗</w:t>
      </w:r>
      <w:r>
        <w:rPr>
          <w:rFonts w:hint="eastAsia" w:ascii="仿宋_GB2312" w:hAnsi="仿宋_GB2312" w:eastAsia="仿宋_GB2312" w:cs="仿宋_GB2312"/>
          <w:color w:val="auto"/>
          <w:sz w:val="32"/>
          <w:szCs w:val="32"/>
          <w:highlight w:val="none"/>
          <w:lang w:val="en-US" w:eastAsia="zh-CN"/>
        </w:rPr>
        <w:t>减少；二是</w:t>
      </w:r>
      <w:r>
        <w:rPr>
          <w:rFonts w:hint="eastAsia" w:ascii="仿宋_GB2312" w:hAnsi="仿宋_GB2312" w:eastAsia="仿宋_GB2312" w:cs="仿宋_GB2312"/>
          <w:color w:val="auto"/>
          <w:kern w:val="2"/>
          <w:sz w:val="32"/>
          <w:szCs w:val="32"/>
          <w:highlight w:val="none"/>
          <w:lang w:val="en-US" w:eastAsia="zh-CN" w:bidi="ar-SA"/>
        </w:rPr>
        <w:t>行政单位医疗单位缴费比例下降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3.卫生健康支出（类）行政事业单位医疗（款）事业单位医疗（项）:支出决算数为0.67万元，比上年决算减少0.86万元，下降56.21%，主要原因是：2023年因事业单位医疗缴费比例下降，事业单位医疗减少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4.卫生健康支出（类）行政事业单位医疗（款）公务员医疗补助（项）:支出决算数为1.18万元，比上年决算减少1.94万元，下降62.18%，主要原因是：</w:t>
      </w:r>
      <w:r>
        <w:rPr>
          <w:rFonts w:hint="eastAsia" w:ascii="仿宋_GB2312" w:hAnsi="仿宋_GB2312" w:eastAsia="仿宋_GB2312" w:cs="仿宋_GB2312"/>
          <w:color w:val="auto"/>
          <w:sz w:val="32"/>
          <w:szCs w:val="32"/>
          <w:highlight w:val="none"/>
          <w:lang w:val="en-US" w:eastAsia="zh-CN"/>
        </w:rPr>
        <w:t>2023年存在退休人员公务员医疗缴费单位不再缴费，</w:t>
      </w:r>
      <w:r>
        <w:rPr>
          <w:rFonts w:hint="eastAsia" w:ascii="仿宋_GB2312" w:hAnsi="仿宋_GB2312" w:eastAsia="仿宋_GB2312" w:cs="仿宋_GB2312"/>
          <w:color w:val="auto"/>
          <w:kern w:val="2"/>
          <w:sz w:val="32"/>
          <w:szCs w:val="32"/>
          <w:highlight w:val="none"/>
          <w:lang w:val="en-US" w:eastAsia="zh-CN" w:bidi="ar-SA"/>
        </w:rPr>
        <w:t>公务员医疗补助减少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5.住房保障支出（类）住房改革支出（款）住房公积金（项）:支出决算数为8.49万元，比上年决算增加0.71万元，增长9.13%，主要原因是：2023年</w:t>
      </w:r>
      <w:r>
        <w:rPr>
          <w:rFonts w:hint="eastAsia" w:ascii="仿宋_GB2312" w:hAnsi="仿宋_GB2312" w:eastAsia="仿宋_GB2312" w:cs="仿宋_GB2312"/>
          <w:color w:val="auto"/>
          <w:sz w:val="32"/>
          <w:szCs w:val="32"/>
          <w:highlight w:val="none"/>
          <w:lang w:val="en-US" w:eastAsia="zh-CN"/>
        </w:rPr>
        <w:t>因人员工资调整，</w:t>
      </w:r>
      <w:r>
        <w:rPr>
          <w:rFonts w:hint="eastAsia" w:ascii="仿宋_GB2312" w:hAnsi="仿宋_GB2312" w:eastAsia="仿宋_GB2312" w:cs="仿宋_GB2312"/>
          <w:color w:val="auto"/>
          <w:kern w:val="2"/>
          <w:sz w:val="32"/>
          <w:szCs w:val="32"/>
          <w:highlight w:val="none"/>
          <w:lang w:val="en-US" w:eastAsia="zh-CN" w:bidi="ar-SA"/>
        </w:rPr>
        <w:t>住房公积金</w:t>
      </w:r>
      <w:r>
        <w:rPr>
          <w:rFonts w:hint="eastAsia" w:ascii="仿宋_GB2312" w:hAnsi="仿宋_GB2312" w:eastAsia="仿宋_GB2312" w:cs="仿宋_GB2312"/>
          <w:color w:val="auto"/>
          <w:sz w:val="32"/>
          <w:szCs w:val="32"/>
          <w:highlight w:val="none"/>
          <w:lang w:val="en-US" w:eastAsia="zh-CN"/>
        </w:rPr>
        <w:t>缴费基数增长</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6.社会保障和就业支出（类）行政事业单位养老支出（款）行政单位离退休（项）:支出决算数为5.56万元，比上年决算增加3.43万元，增长161.03%，主要原因是：2023年退休人员9人绩效标准增加，行政事业单位养老</w:t>
      </w:r>
      <w:r>
        <w:rPr>
          <w:rFonts w:hint="eastAsia" w:ascii="仿宋_GB2312" w:hAnsi="仿宋_GB2312" w:eastAsia="仿宋_GB2312" w:cs="仿宋_GB2312"/>
          <w:color w:val="auto"/>
          <w:sz w:val="32"/>
          <w:szCs w:val="32"/>
          <w:highlight w:val="none"/>
          <w:lang w:val="en-US" w:eastAsia="zh-CN"/>
        </w:rPr>
        <w:t>人员经费增加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7.一般公共服务支出（类）群众团体事务（款）事业运行（项）:支出决算数为26.76万元，比上年决算增加26.76万元，增长100%，主要原因是：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上年度单位事业人员合并在行政运行反应，</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事业人员支出调整到事业运行科目，所以事业运行科目支出增长100%</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10.74万元，比上年决算增加1.81万元，增长20.27%，主要原因是：2023年机关事业单位基本养老保险缴费支出人员数较上一年相比增加2个月的支出数，</w:t>
      </w:r>
      <w:r>
        <w:rPr>
          <w:rFonts w:hint="eastAsia" w:ascii="仿宋_GB2312" w:hAnsi="仿宋_GB2312" w:eastAsia="仿宋_GB2312" w:cs="仿宋_GB2312"/>
          <w:color w:val="auto"/>
          <w:sz w:val="32"/>
          <w:szCs w:val="32"/>
          <w:highlight w:val="none"/>
          <w:lang w:val="en-US" w:eastAsia="zh-CN"/>
        </w:rPr>
        <w:t>人员经费增长</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9.一般公共服务支出（类）群众团体事务（款）工会事务（项）:支出决算数为0.00万元，比上年决算减少5.81万元，下降100%，主要原因是：针对上年安排，今年未安排工会事务支出，</w:t>
      </w:r>
      <w:r>
        <w:rPr>
          <w:rFonts w:hint="eastAsia" w:ascii="仿宋_GB2312" w:hAnsi="仿宋_GB2312" w:eastAsia="仿宋_GB2312" w:cs="仿宋_GB2312"/>
          <w:color w:val="auto"/>
          <w:sz w:val="32"/>
          <w:szCs w:val="32"/>
          <w:highlight w:val="none"/>
          <w:lang w:val="en-US" w:eastAsia="zh-CN"/>
        </w:rPr>
        <w:t>人员经费减少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10.社会保障和就业支出（类）行政事业单位养老支出（款）事业单位离退休（项）:支出决算数为0.00万元，比上年决算减少1.44万元，下降100%，主要原因是：针对上年安排，今年未安排事业单位离退休支出，</w:t>
      </w:r>
      <w:r>
        <w:rPr>
          <w:rFonts w:hint="eastAsia" w:ascii="仿宋_GB2312" w:hAnsi="仿宋_GB2312" w:eastAsia="仿宋_GB2312" w:cs="仿宋_GB2312"/>
          <w:color w:val="auto"/>
          <w:sz w:val="32"/>
          <w:szCs w:val="32"/>
          <w:highlight w:val="none"/>
          <w:lang w:val="en-US" w:eastAsia="zh-CN"/>
        </w:rPr>
        <w:t>人员经费减少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124.51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118.01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基本工资、津贴补贴、奖金、绩效工资、机关事业单位基本养老保险缴费、职工基本医保保险缴费、公务员医疗补助缴费、其他社会保障缴费、住房公积金、退休费。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办公费、印刷费、电费、邮电费、取暖费、差旅费、工会经费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减少0.39万元，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color w:val="auto"/>
          <w:kern w:val="10"/>
          <w:sz w:val="32"/>
          <w:szCs w:val="32"/>
          <w:highlight w:val="none"/>
          <w:lang w:val="en-US" w:eastAsia="zh-CN"/>
        </w:rPr>
        <w:t>2023年单位未发生</w:t>
      </w:r>
      <w:r>
        <w:rPr>
          <w:rFonts w:hint="eastAsia" w:ascii="仿宋_GB2312" w:eastAsia="仿宋_GB2312"/>
          <w:color w:val="auto"/>
          <w:sz w:val="32"/>
          <w:szCs w:val="32"/>
          <w:highlight w:val="none"/>
          <w:lang w:val="zh-CN" w:eastAsia="zh-CN"/>
        </w:rPr>
        <w:t>“三公”经费</w:t>
      </w:r>
      <w:r>
        <w:rPr>
          <w:rFonts w:hint="eastAsia" w:ascii="仿宋_GB2312" w:hAnsi="仿宋_GB2312" w:eastAsia="仿宋_GB2312" w:cs="仿宋_GB2312"/>
          <w:color w:val="auto"/>
          <w:kern w:val="10"/>
          <w:sz w:val="32"/>
          <w:szCs w:val="32"/>
          <w:highlight w:val="none"/>
          <w:lang w:val="en-US" w:eastAsia="zh-CN"/>
        </w:rPr>
        <w:t>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w:t>
      </w:r>
      <w:r>
        <w:rPr>
          <w:rFonts w:hint="eastAsia" w:ascii="仿宋_GB2312" w:hAnsi="仿宋_GB2312" w:eastAsia="仿宋_GB2312" w:cs="仿宋_GB2312"/>
          <w:color w:val="auto"/>
          <w:kern w:val="10"/>
          <w:sz w:val="32"/>
          <w:szCs w:val="32"/>
          <w:highlight w:val="none"/>
          <w:lang w:val="en-US" w:eastAsia="zh-CN"/>
        </w:rPr>
        <w:t>与上年度一致</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公务用车购置及运行维护费支出，</w:t>
      </w:r>
      <w:r>
        <w:rPr>
          <w:rFonts w:hint="eastAsia" w:ascii="仿宋_GB2312" w:hAnsi="仿宋_GB2312" w:eastAsia="仿宋_GB2312" w:cs="仿宋_GB2312"/>
          <w:color w:val="auto"/>
          <w:kern w:val="10"/>
          <w:sz w:val="32"/>
          <w:szCs w:val="32"/>
          <w:highlight w:val="none"/>
          <w:lang w:val="en-US" w:eastAsia="zh-CN"/>
        </w:rPr>
        <w:t>与上年度一致</w:t>
      </w:r>
      <w:r>
        <w:rPr>
          <w:rFonts w:hint="eastAsia" w:ascii="仿宋_GB2312" w:eastAsia="仿宋_GB2312"/>
          <w:color w:val="auto"/>
          <w:sz w:val="32"/>
          <w:szCs w:val="32"/>
          <w:highlight w:val="none"/>
          <w:lang w:val="zh-CN" w:eastAsia="zh-CN"/>
        </w:rPr>
        <w:t>；公务接待费支出0.00万元，占0.00%，比上年减少0.39万元，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color w:val="auto"/>
          <w:kern w:val="10"/>
          <w:sz w:val="32"/>
          <w:szCs w:val="32"/>
          <w:highlight w:val="none"/>
          <w:lang w:val="en-US" w:eastAsia="zh-CN"/>
        </w:rPr>
        <w:t>2023年单位未发生公务接待费支出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因公出国（境）费支出0.00万元，开支内容包括因公出国（境）费支出，</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单位公车因公事加油和维修费支出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公务用车购置及运行维护费支出，</w:t>
      </w:r>
      <w:r>
        <w:rPr>
          <w:rFonts w:hint="eastAsia" w:ascii="仿宋_GB2312" w:hAnsi="仿宋_GB2312" w:eastAsia="仿宋_GB2312" w:cs="仿宋_GB2312"/>
          <w:color w:val="auto"/>
          <w:kern w:val="10"/>
          <w:sz w:val="32"/>
          <w:szCs w:val="32"/>
          <w:highlight w:val="none"/>
          <w:lang w:val="en-US" w:eastAsia="zh-CN"/>
        </w:rPr>
        <w:t>与上年度一致</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因公接待产生的餐费等</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color w:val="auto"/>
          <w:kern w:val="10"/>
          <w:sz w:val="32"/>
          <w:szCs w:val="32"/>
          <w:highlight w:val="none"/>
          <w:lang w:val="en-US" w:eastAsia="zh-CN"/>
        </w:rPr>
        <w:t>2023年单位未发生公务接待费支出以及</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公务用车购置及运行维护费支出。其中：因公出国（境）费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w:t>
      </w:r>
      <w:r>
        <w:rPr>
          <w:rFonts w:hint="eastAsia" w:ascii="仿宋_GB2312" w:hAnsi="仿宋_GB2312" w:eastAsia="仿宋_GB2312" w:cs="仿宋_GB2312"/>
          <w:color w:val="auto"/>
          <w:kern w:val="10"/>
          <w:sz w:val="32"/>
          <w:szCs w:val="32"/>
          <w:highlight w:val="none"/>
          <w:lang w:val="en-US" w:eastAsia="zh-CN"/>
        </w:rPr>
        <w:t>与上年度一致</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公务用车购置费支出，</w:t>
      </w:r>
      <w:r>
        <w:rPr>
          <w:rFonts w:hint="eastAsia" w:ascii="仿宋_GB2312" w:hAnsi="仿宋_GB2312" w:eastAsia="仿宋_GB2312" w:cs="仿宋_GB2312"/>
          <w:color w:val="auto"/>
          <w:kern w:val="10"/>
          <w:sz w:val="32"/>
          <w:szCs w:val="32"/>
          <w:highlight w:val="none"/>
          <w:lang w:val="en-US" w:eastAsia="zh-CN"/>
        </w:rPr>
        <w:t>与上年度一致</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公务用车运行费支出，</w:t>
      </w:r>
      <w:r>
        <w:rPr>
          <w:rFonts w:hint="eastAsia" w:ascii="仿宋_GB2312" w:hAnsi="仿宋_GB2312" w:eastAsia="仿宋_GB2312" w:cs="仿宋_GB2312"/>
          <w:color w:val="auto"/>
          <w:kern w:val="10"/>
          <w:sz w:val="32"/>
          <w:szCs w:val="32"/>
          <w:highlight w:val="none"/>
          <w:lang w:val="en-US" w:eastAsia="zh-CN"/>
        </w:rPr>
        <w:t>与上年度一致</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w:t>
      </w:r>
      <w:r>
        <w:rPr>
          <w:rFonts w:hint="eastAsia" w:ascii="仿宋_GB2312" w:eastAsia="仿宋_GB2312"/>
          <w:color w:val="auto"/>
          <w:sz w:val="32"/>
          <w:szCs w:val="32"/>
          <w:highlight w:val="none"/>
          <w:lang w:val="en-US" w:eastAsia="zh-CN"/>
        </w:rPr>
        <w:t>00</w:t>
      </w:r>
      <w:r>
        <w:rPr>
          <w:rFonts w:hint="eastAsia" w:ascii="仿宋_GB2312" w:eastAsia="仿宋_GB2312"/>
          <w:color w:val="auto"/>
          <w:sz w:val="32"/>
          <w:szCs w:val="32"/>
          <w:highlight w:val="none"/>
          <w:lang w:val="zh-CN" w:eastAsia="zh-CN"/>
        </w:rPr>
        <w:t>万元，决算数0.00万元，预决算差异率</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%，主要原因是：</w:t>
      </w:r>
      <w:r>
        <w:rPr>
          <w:rFonts w:hint="eastAsia" w:ascii="仿宋_GB2312" w:hAnsi="仿宋_GB2312" w:eastAsia="仿宋_GB2312" w:cs="仿宋_GB2312"/>
          <w:color w:val="auto"/>
          <w:kern w:val="10"/>
          <w:sz w:val="32"/>
          <w:szCs w:val="32"/>
          <w:highlight w:val="none"/>
          <w:lang w:val="en-US" w:eastAsia="zh-CN"/>
        </w:rPr>
        <w:t>2023年单位未发生公务接待费支出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沙湾市总工会（行政单位和参照公务员法管理事业单位）机关运行经费支出6.50万元，</w:t>
      </w:r>
      <w:r>
        <w:rPr>
          <w:rFonts w:hint="eastAsia" w:ascii="仿宋_GB2312" w:hAnsi="仿宋_GB2312" w:eastAsia="仿宋_GB2312" w:cs="仿宋_GB2312"/>
          <w:color w:val="auto"/>
          <w:sz w:val="32"/>
          <w:szCs w:val="32"/>
          <w:highlight w:val="none"/>
          <w:lang w:val="zh-CN" w:eastAsia="zh-CN"/>
        </w:rPr>
        <w:t>比上年增加0.56万元，增长9.43%，主要原因是：</w:t>
      </w:r>
      <w:r>
        <w:rPr>
          <w:rFonts w:hint="eastAsia" w:ascii="仿宋_GB2312" w:hAnsi="仿宋_GB2312" w:eastAsia="仿宋_GB2312" w:cs="仿宋_GB2312"/>
          <w:color w:val="auto"/>
          <w:sz w:val="32"/>
          <w:szCs w:val="32"/>
          <w:highlight w:val="none"/>
          <w:lang w:val="en-US" w:eastAsia="zh-CN"/>
        </w:rPr>
        <w:t>原因一：2023年度工会经费按照年初预算下拨到位；原因二：公用经费支出较上一年相比下拨到位。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39.28万元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其中：政府采购货物支出34.14万元、政府采购工程支出0.00万元、政府采购服务支出5.14万元。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授予中小企业合同金额39.28万元，占政府采购支出总额的100.00%，其中：授予小微企业合同金额39.28万元，占政府采购支出总额的100.00%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kern w:val="10"/>
          <w:sz w:val="32"/>
          <w:szCs w:val="32"/>
          <w:lang w:val="en-US"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color w:val="auto"/>
          <w:kern w:val="0"/>
          <w:sz w:val="32"/>
          <w:szCs w:val="32"/>
          <w:highlight w:val="none"/>
          <w:lang w:val="en-US" w:eastAsia="zh-Hans"/>
        </w:rPr>
      </w:pPr>
      <w:bookmarkStart w:id="28" w:name="_Toc435"/>
      <w:bookmarkStart w:id="29" w:name="_Toc11283"/>
      <w:r>
        <w:rPr>
          <w:rFonts w:hint="eastAsia" w:ascii="黑体" w:hAnsi="黑体" w:eastAsia="黑体" w:cs="宋体"/>
          <w:bCs/>
          <w:color w:val="auto"/>
          <w:kern w:val="0"/>
          <w:sz w:val="32"/>
          <w:szCs w:val="32"/>
          <w:highlight w:val="none"/>
          <w:lang w:eastAsia="zh-CN"/>
        </w:rPr>
        <w:t>预算绩效的情况说明</w:t>
      </w:r>
      <w:bookmarkEnd w:id="28"/>
      <w:bookmarkEnd w:id="29"/>
      <w:r>
        <w:rPr>
          <w:rFonts w:hint="eastAsia" w:ascii="黑体" w:hAnsi="黑体" w:eastAsia="黑体" w:cs="宋体"/>
          <w:bCs/>
          <w:color w:val="auto"/>
          <w:kern w:val="0"/>
          <w:sz w:val="32"/>
          <w:szCs w:val="32"/>
          <w:highlight w:val="none"/>
          <w:lang w:eastAsia="zh-CN"/>
        </w:rPr>
        <w:br w:type="textWrapping"/>
      </w:r>
      <w:r>
        <w:rPr>
          <w:rFonts w:hint="eastAsia" w:ascii="黑体" w:hAnsi="黑体" w:eastAsia="黑体" w:cs="宋体"/>
          <w:bCs/>
          <w:color w:val="auto"/>
          <w:kern w:val="0"/>
          <w:sz w:val="32"/>
          <w:szCs w:val="32"/>
          <w:highlight w:val="none"/>
          <w:lang w:val="en-US" w:eastAsia="zh-CN"/>
        </w:rPr>
        <w:t xml:space="preserve">    </w:t>
      </w: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预算总额124.51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实际执行总额124.51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仿宋_GB2312" w:eastAsia="仿宋_GB2312" w:cs="仿宋_GB2312"/>
          <w:color w:val="auto"/>
          <w:kern w:val="0"/>
          <w:sz w:val="32"/>
          <w:szCs w:val="32"/>
          <w:highlight w:val="none"/>
        </w:rPr>
        <w:t>一是统筹执行部门整体跟踪管理，包括对部门整体预算金额执行进度、业务开展进度进行跟踪监控，对发现的问题及时责成相关办公室整改，并形成规范的制度流程，逐步建立起行之有效的部门整体绩效跟踪管理系统</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二是部门整体支出绩效管理，各办公室应由被动管理向自觉管理转变，积极主动培养工作的自觉性和严格预算绩效管理</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三是将进一步加强绩效管理工作人员的培训和学习工作</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四是通过对每笔资金的细致化管理来保障资金使用的合规、合法性，并据此分析各类资金支出产生的效益，使本单位的绩效监控工作上一个新台阶</w:t>
      </w:r>
      <w:r>
        <w:rPr>
          <w:rFonts w:hint="eastAsia" w:ascii="仿宋_GB2312" w:hAnsi="仿宋_GB2312" w:eastAsia="仿宋_GB2312" w:cs="仿宋_GB2312"/>
          <w:color w:val="auto"/>
          <w:kern w:val="0"/>
          <w:sz w:val="32"/>
          <w:szCs w:val="32"/>
          <w:highlight w:val="none"/>
          <w:lang w:eastAsia="zh-CN"/>
        </w:rPr>
        <w:t>。</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一是预算绩效管理工作时间紧、任务重、专业性强，我单位的预算绩效存在一些不足之处需要完善；二是预算绩效管理缺乏系统的培训，造成预算绩效管理指导不到位、认识不到位，理解不充分，对预算绩效管理工作重点把握不到位</w:t>
      </w:r>
      <w:r>
        <w:rPr>
          <w:rFonts w:hint="eastAsia" w:ascii="仿宋_GB2312" w:eastAsia="仿宋_GB2312"/>
          <w:b w:val="0"/>
          <w:bCs/>
          <w:color w:val="auto"/>
          <w:sz w:val="32"/>
          <w:szCs w:val="32"/>
          <w:highlight w:val="none"/>
          <w:lang w:val="en-US" w:eastAsia="zh-CN"/>
        </w:rPr>
        <w:t>。</w:t>
      </w:r>
      <w:r>
        <w:rPr>
          <w:rFonts w:hint="eastAsia" w:ascii="仿宋_GB2312" w:eastAsia="仿宋_GB2312"/>
          <w:color w:val="auto"/>
          <w:sz w:val="32"/>
          <w:szCs w:val="32"/>
          <w:highlight w:val="none"/>
          <w:lang w:eastAsia="zh-CN"/>
        </w:rPr>
        <w:t>下一步改进措施：一是</w:t>
      </w:r>
      <w:r>
        <w:rPr>
          <w:rStyle w:val="12"/>
          <w:rFonts w:hint="eastAsia" w:ascii="仿宋_GB2312" w:hAnsi="仿宋_GB2312" w:eastAsia="仿宋_GB2312" w:cs="仿宋_GB2312"/>
          <w:b w:val="0"/>
          <w:bCs w:val="0"/>
          <w:color w:val="auto"/>
          <w:spacing w:val="-4"/>
          <w:sz w:val="32"/>
          <w:szCs w:val="32"/>
          <w:highlight w:val="none"/>
        </w:rPr>
        <w:t>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lang w:val="en-US" w:eastAsia="zh-CN"/>
        </w:rPr>
        <w:t>二是</w:t>
      </w:r>
      <w:r>
        <w:rPr>
          <w:rStyle w:val="12"/>
          <w:rFonts w:hint="eastAsia" w:ascii="仿宋_GB2312" w:hAnsi="仿宋_GB2312" w:eastAsia="仿宋_GB2312" w:cs="仿宋_GB2312"/>
          <w:b w:val="0"/>
          <w:bCs w:val="0"/>
          <w:color w:val="auto"/>
          <w:spacing w:val="-4"/>
          <w:sz w:val="32"/>
          <w:szCs w:val="32"/>
          <w:highlight w:val="none"/>
        </w:rPr>
        <w:t>强化责任意识。通过绩效评价，考核各处室绩效目标实际完成情况和取得的成效，并与下年度预算安排挂钩，用财要问效，无效要问责，在一定程度上强化了单位整体和各部门的自我约束意识和责任意识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226876"/>
    <w:multiLevelType w:val="singleLevel"/>
    <w:tmpl w:val="81226876"/>
    <w:lvl w:ilvl="0" w:tentative="0">
      <w:start w:val="1"/>
      <w:numFmt w:val="decimal"/>
      <w:lvlText w:val="%1."/>
      <w:lvlJc w:val="left"/>
      <w:pPr>
        <w:tabs>
          <w:tab w:val="left" w:pos="312"/>
        </w:tabs>
      </w:pPr>
    </w:lvl>
  </w:abstractNum>
  <w:abstractNum w:abstractNumId="1">
    <w:nsid w:val="ED76B5F8"/>
    <w:multiLevelType w:val="singleLevel"/>
    <w:tmpl w:val="ED76B5F8"/>
    <w:lvl w:ilvl="0" w:tentative="0">
      <w:start w:val="11"/>
      <w:numFmt w:val="chineseCounting"/>
      <w:suff w:val="nothing"/>
      <w:lvlText w:val="%1、"/>
      <w:lvlJc w:val="left"/>
      <w:rPr>
        <w:rFonts w:hint="eastAsia"/>
      </w:rPr>
    </w:lvl>
  </w:abstractNum>
  <w:abstractNum w:abstractNumId="2">
    <w:nsid w:val="103F031D"/>
    <w:multiLevelType w:val="singleLevel"/>
    <w:tmpl w:val="103F031D"/>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MDQwMzcwZGUwMDE2OGMzZmFmNzZmNTQ5MjliMmE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3FC3EB2"/>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BF4D7F"/>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875C91"/>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906264"/>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24318E"/>
    <w:rsid w:val="1F2845FC"/>
    <w:rsid w:val="1F3F37CF"/>
    <w:rsid w:val="1FA15E62"/>
    <w:rsid w:val="1FED69B6"/>
    <w:rsid w:val="2064678E"/>
    <w:rsid w:val="209732EF"/>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A5195D"/>
    <w:rsid w:val="2AF5378F"/>
    <w:rsid w:val="2BB94DBF"/>
    <w:rsid w:val="2BF37410"/>
    <w:rsid w:val="2C6F314E"/>
    <w:rsid w:val="2CC206BE"/>
    <w:rsid w:val="2D1136DF"/>
    <w:rsid w:val="2D20606D"/>
    <w:rsid w:val="2D6729FE"/>
    <w:rsid w:val="2DB87198"/>
    <w:rsid w:val="2DB93C54"/>
    <w:rsid w:val="2DC43BAC"/>
    <w:rsid w:val="2E3D144C"/>
    <w:rsid w:val="2E8452CD"/>
    <w:rsid w:val="2E891204"/>
    <w:rsid w:val="2F3F0A28"/>
    <w:rsid w:val="2F700196"/>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11990"/>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44116"/>
    <w:rsid w:val="444A7D08"/>
    <w:rsid w:val="44D37E83"/>
    <w:rsid w:val="452F5B3A"/>
    <w:rsid w:val="454E7FD2"/>
    <w:rsid w:val="46061BDC"/>
    <w:rsid w:val="461404F8"/>
    <w:rsid w:val="46413018"/>
    <w:rsid w:val="464B7E04"/>
    <w:rsid w:val="468041AA"/>
    <w:rsid w:val="468123C6"/>
    <w:rsid w:val="46901EEE"/>
    <w:rsid w:val="469C74D2"/>
    <w:rsid w:val="4709564B"/>
    <w:rsid w:val="47445515"/>
    <w:rsid w:val="474B4782"/>
    <w:rsid w:val="47D90D14"/>
    <w:rsid w:val="47DE1152"/>
    <w:rsid w:val="48387FB0"/>
    <w:rsid w:val="483A6114"/>
    <w:rsid w:val="48607D50"/>
    <w:rsid w:val="488727DB"/>
    <w:rsid w:val="48B82268"/>
    <w:rsid w:val="48C354B3"/>
    <w:rsid w:val="493D58B5"/>
    <w:rsid w:val="494A7A04"/>
    <w:rsid w:val="49605EF7"/>
    <w:rsid w:val="4A0A26D2"/>
    <w:rsid w:val="4A2019A5"/>
    <w:rsid w:val="4A241A0B"/>
    <w:rsid w:val="4A4B0A70"/>
    <w:rsid w:val="4A5C2BD7"/>
    <w:rsid w:val="4A7B2875"/>
    <w:rsid w:val="4A934476"/>
    <w:rsid w:val="4AAA220A"/>
    <w:rsid w:val="4AE12E67"/>
    <w:rsid w:val="4B4C0111"/>
    <w:rsid w:val="4B8553A9"/>
    <w:rsid w:val="4BDB3730"/>
    <w:rsid w:val="4C200F7A"/>
    <w:rsid w:val="4CEE3180"/>
    <w:rsid w:val="4D0F4AF6"/>
    <w:rsid w:val="4D46584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EC506B"/>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A8142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B2D32"/>
    <w:rsid w:val="603D5080"/>
    <w:rsid w:val="606842D0"/>
    <w:rsid w:val="60D0261B"/>
    <w:rsid w:val="613A1697"/>
    <w:rsid w:val="618E3791"/>
    <w:rsid w:val="61947DCA"/>
    <w:rsid w:val="61A46A97"/>
    <w:rsid w:val="61D1382F"/>
    <w:rsid w:val="61F114A2"/>
    <w:rsid w:val="622B0ABA"/>
    <w:rsid w:val="62512BB4"/>
    <w:rsid w:val="625D7D1A"/>
    <w:rsid w:val="62660469"/>
    <w:rsid w:val="62DD7D21"/>
    <w:rsid w:val="637D586B"/>
    <w:rsid w:val="63A5560B"/>
    <w:rsid w:val="63AC199D"/>
    <w:rsid w:val="63E9091F"/>
    <w:rsid w:val="64322AF9"/>
    <w:rsid w:val="64D6010D"/>
    <w:rsid w:val="64D82665"/>
    <w:rsid w:val="64E47C96"/>
    <w:rsid w:val="651E5741"/>
    <w:rsid w:val="655D7702"/>
    <w:rsid w:val="658A4877"/>
    <w:rsid w:val="65A00902"/>
    <w:rsid w:val="65AC6EDD"/>
    <w:rsid w:val="65BE367E"/>
    <w:rsid w:val="65D97752"/>
    <w:rsid w:val="66085536"/>
    <w:rsid w:val="66105BF7"/>
    <w:rsid w:val="66150023"/>
    <w:rsid w:val="6628010D"/>
    <w:rsid w:val="669B4528"/>
    <w:rsid w:val="66CC12D7"/>
    <w:rsid w:val="67134CEF"/>
    <w:rsid w:val="671F1ABD"/>
    <w:rsid w:val="67521A59"/>
    <w:rsid w:val="67C304AB"/>
    <w:rsid w:val="67EC5F0A"/>
    <w:rsid w:val="680C7057"/>
    <w:rsid w:val="683501F2"/>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05378"/>
    <w:rsid w:val="751D7C0A"/>
    <w:rsid w:val="75722D56"/>
    <w:rsid w:val="75DB5477"/>
    <w:rsid w:val="75FC6AC3"/>
    <w:rsid w:val="7616619B"/>
    <w:rsid w:val="76660D7C"/>
    <w:rsid w:val="766C5968"/>
    <w:rsid w:val="76B04BE1"/>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683228"/>
    <w:rsid w:val="7DF84014"/>
    <w:rsid w:val="7DFC7782"/>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6938</Words>
  <Characters>7674</Characters>
  <Lines>0</Lines>
  <Paragraphs>0</Paragraphs>
  <TotalTime>0</TotalTime>
  <ScaleCrop>false</ScaleCrop>
  <LinksUpToDate>false</LinksUpToDate>
  <CharactersWithSpaces>7686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2025-04-11T02:58:22Z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9E1DF3DEF52C4BEC8C951653D1356899</vt:lpwstr>
  </property>
</Properties>
</file>