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沙湾市应急管理局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11"/>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snapToGrid w:val="0"/>
        <w:spacing w:line="520" w:lineRule="exact"/>
        <w:ind w:firstLine="640" w:firstLineChars="200"/>
        <w:rPr>
          <w:rFonts w:hint="eastAsia" w:ascii="仿宋_GB2312" w:eastAsia="仿宋_GB2312"/>
          <w:color w:val="auto"/>
          <w:sz w:val="32"/>
          <w:szCs w:val="32"/>
          <w:highlight w:val="none"/>
        </w:rPr>
      </w:pPr>
      <w:r>
        <w:rPr>
          <w:rStyle w:val="16"/>
          <w:rFonts w:hint="eastAsia" w:ascii="仿宋_GB2312" w:hAnsi="仿宋_GB2312" w:eastAsia="仿宋_GB2312" w:cs="仿宋_GB2312"/>
          <w:b w:val="0"/>
          <w:color w:val="auto"/>
          <w:sz w:val="32"/>
          <w:szCs w:val="32"/>
          <w:highlight w:val="none"/>
          <w:lang w:eastAsia="zh-CN" w:bidi="ar"/>
        </w:rPr>
        <w:t>沙湾市应急管理局</w:t>
      </w:r>
      <w:r>
        <w:rPr>
          <w:rStyle w:val="16"/>
          <w:rFonts w:hint="eastAsia" w:ascii="仿宋_GB2312" w:hAnsi="仿宋_GB2312" w:eastAsia="仿宋_GB2312" w:cs="仿宋_GB2312"/>
          <w:b w:val="0"/>
          <w:color w:val="auto"/>
          <w:sz w:val="32"/>
          <w:szCs w:val="32"/>
          <w:highlight w:val="none"/>
          <w:lang w:eastAsia="zh-Hans" w:bidi="ar"/>
        </w:rPr>
        <w:t>的主要职能是：</w:t>
      </w:r>
      <w:r>
        <w:rPr>
          <w:rFonts w:hint="eastAsia" w:ascii="仿宋_GB2312" w:hAnsi="仿宋" w:eastAsia="仿宋_GB2312"/>
          <w:color w:val="auto"/>
          <w:sz w:val="32"/>
          <w:szCs w:val="32"/>
          <w:highlight w:val="none"/>
        </w:rPr>
        <w:t>（一）负责应急管理工作</w:t>
      </w:r>
      <w:r>
        <w:rPr>
          <w:rFonts w:hint="eastAsia" w:ascii="仿宋_GB2312" w:hAnsi="仿宋" w:eastAsia="仿宋_GB2312"/>
          <w:color w:val="auto"/>
          <w:sz w:val="32"/>
          <w:szCs w:val="32"/>
          <w:highlight w:val="none"/>
          <w:lang w:val="en-US" w:eastAsia="zh-CN"/>
        </w:rPr>
        <w:t>;(二）</w:t>
      </w:r>
      <w:r>
        <w:rPr>
          <w:rFonts w:hint="eastAsia" w:ascii="仿宋_GB2312" w:hAnsi="仿宋" w:eastAsia="仿宋_GB2312"/>
          <w:color w:val="auto"/>
          <w:sz w:val="32"/>
          <w:szCs w:val="32"/>
          <w:highlight w:val="none"/>
        </w:rPr>
        <w:t>组织编制应急体系建设、安全生产和综合防灾减灾规划</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（三）负责安全生产类、自然灾害类应急预案体系建设</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（四）负责编制和落实信息传输渠道规划和布局</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（五）组织指导协调安全生产类、自然灾害类突发事件应急救援</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（六）统一协调指挥各类应急专业队伍，建立应急协调联动机制</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（七）统筹应急救援力量建设，负责消防、森林和草原火灾扑救、抗洪抢险、地震和地质灾害救援、生产安全事故救援专业应急救援力量建设</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（八）负责沙湾</w:t>
      </w:r>
      <w:r>
        <w:rPr>
          <w:rFonts w:hint="eastAsia" w:ascii="仿宋_GB2312" w:hAnsi="仿宋" w:eastAsia="仿宋_GB2312"/>
          <w:color w:val="auto"/>
          <w:sz w:val="32"/>
          <w:szCs w:val="32"/>
          <w:highlight w:val="none"/>
          <w:lang w:eastAsia="zh-CN"/>
        </w:rPr>
        <w:t>市</w:t>
      </w:r>
      <w:r>
        <w:rPr>
          <w:rFonts w:hint="eastAsia" w:ascii="仿宋_GB2312" w:hAnsi="仿宋" w:eastAsia="仿宋_GB2312"/>
          <w:color w:val="auto"/>
          <w:sz w:val="32"/>
          <w:szCs w:val="32"/>
          <w:highlight w:val="none"/>
        </w:rPr>
        <w:t>消防管理工作，指导消防监督、火灾预防、火灾扑救等工作</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（九）指导协调森林和草原火灾、水旱灾害、地震和地质灾害防治工作，负责自然灾害综合监测预警工作，指导开展自然灾害综合风险评估工作</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（十）组织协调灾害救助工作</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（十一）依法行使安全生产综合监督管理职权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（十二）按照分级、属地原则，依法监督检查工矿商贸（煤矿除外）生产经营单位贯彻执行安全生产法律法规情况及其安全生产条件和有关设备（特种设备除外）、材料、劳动防护用品的安全生产管理工作</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（十三）依法组织指导生产安全事故调查处理，监督事故查处和责任追究落实情况</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（十四）制定应急物资储备和应急救援装备规划并组织实施，会同</w:t>
      </w:r>
      <w:r>
        <w:rPr>
          <w:rFonts w:hint="eastAsia" w:ascii="仿宋_GB2312" w:hAnsi="仿宋" w:eastAsia="仿宋_GB2312"/>
          <w:color w:val="auto"/>
          <w:sz w:val="32"/>
          <w:szCs w:val="32"/>
          <w:highlight w:val="none"/>
          <w:lang w:eastAsia="zh-CN"/>
        </w:rPr>
        <w:t>市</w:t>
      </w:r>
      <w:r>
        <w:rPr>
          <w:rFonts w:hint="eastAsia" w:ascii="仿宋_GB2312" w:hAnsi="仿宋" w:eastAsia="仿宋_GB2312"/>
          <w:color w:val="auto"/>
          <w:sz w:val="32"/>
          <w:szCs w:val="32"/>
          <w:highlight w:val="none"/>
        </w:rPr>
        <w:t>发展和改革委员会（</w:t>
      </w:r>
      <w:r>
        <w:rPr>
          <w:rFonts w:hint="eastAsia" w:ascii="仿宋_GB2312" w:hAnsi="仿宋" w:eastAsia="仿宋_GB2312"/>
          <w:color w:val="auto"/>
          <w:sz w:val="32"/>
          <w:szCs w:val="32"/>
          <w:highlight w:val="none"/>
          <w:lang w:eastAsia="zh-CN"/>
        </w:rPr>
        <w:t>市</w:t>
      </w:r>
      <w:r>
        <w:rPr>
          <w:rFonts w:hint="eastAsia" w:ascii="仿宋_GB2312" w:hAnsi="仿宋" w:eastAsia="仿宋_GB2312"/>
          <w:color w:val="auto"/>
          <w:sz w:val="32"/>
          <w:szCs w:val="32"/>
          <w:highlight w:val="none"/>
        </w:rPr>
        <w:t>粮食和物资储备局）等部门建立健全应急物资信息平台和调拨制度，在救灾时统一调度</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（十五）负责应急管理、安全生产宣传教育和培训工作</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（十六）完成</w:t>
      </w:r>
      <w:r>
        <w:rPr>
          <w:rFonts w:hint="eastAsia" w:ascii="仿宋_GB2312" w:hAnsi="仿宋" w:eastAsia="仿宋_GB2312"/>
          <w:color w:val="auto"/>
          <w:sz w:val="32"/>
          <w:szCs w:val="32"/>
          <w:highlight w:val="none"/>
          <w:lang w:val="en-US" w:eastAsia="zh-CN"/>
        </w:rPr>
        <w:t>上级</w:t>
      </w:r>
      <w:r>
        <w:rPr>
          <w:rFonts w:hint="eastAsia" w:ascii="仿宋_GB2312" w:hAnsi="仿宋" w:eastAsia="仿宋_GB2312"/>
          <w:color w:val="auto"/>
          <w:sz w:val="32"/>
          <w:szCs w:val="32"/>
          <w:highlight w:val="none"/>
        </w:rPr>
        <w:t>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沙湾市应急管理局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p>
    <w:p>
      <w:pPr>
        <w:snapToGrid w:val="0"/>
        <w:spacing w:line="520" w:lineRule="exact"/>
        <w:ind w:firstLine="640" w:firstLineChars="200"/>
        <w:rPr>
          <w:rFonts w:hint="eastAsia" w:ascii="仿宋_GB2312" w:hAnsi="仿宋" w:eastAsia="仿宋_GB2312"/>
          <w:color w:val="auto"/>
          <w:sz w:val="32"/>
          <w:szCs w:val="32"/>
          <w:highlight w:val="none"/>
        </w:rPr>
      </w:pPr>
      <w:r>
        <w:rPr>
          <w:rFonts w:hint="eastAsia" w:ascii="仿宋_GB2312" w:eastAsia="仿宋_GB2312"/>
          <w:color w:val="auto"/>
          <w:sz w:val="32"/>
          <w:szCs w:val="32"/>
          <w:highlight w:val="none"/>
          <w:lang w:val="en-US" w:eastAsia="zh-CN"/>
        </w:rPr>
        <w:t>沙湾市应急管理局</w:t>
      </w:r>
      <w:r>
        <w:rPr>
          <w:rFonts w:hint="eastAsia" w:ascii="仿宋_GB2312" w:hAnsi="黑体" w:eastAsia="仿宋_GB2312" w:cs="宋体"/>
          <w:bCs/>
          <w:color w:val="auto"/>
          <w:kern w:val="0"/>
          <w:sz w:val="32"/>
          <w:szCs w:val="32"/>
          <w:highlight w:val="none"/>
        </w:rPr>
        <w:t>无下属预算单位，下设</w:t>
      </w:r>
      <w:r>
        <w:rPr>
          <w:rFonts w:hint="eastAsia" w:ascii="仿宋_GB2312" w:eastAsia="仿宋_GB2312"/>
          <w:color w:val="auto"/>
          <w:sz w:val="32"/>
          <w:szCs w:val="32"/>
          <w:highlight w:val="none"/>
          <w:lang w:val="en-US" w:eastAsia="zh-CN"/>
        </w:rPr>
        <w:t>6</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val="en-US" w:eastAsia="zh-CN"/>
        </w:rPr>
        <w:t>科室</w:t>
      </w:r>
      <w:r>
        <w:rPr>
          <w:rFonts w:hint="eastAsia" w:ascii="仿宋_GB2312" w:hAnsi="黑体" w:eastAsia="仿宋_GB2312" w:cs="宋体"/>
          <w:bCs/>
          <w:color w:val="auto"/>
          <w:kern w:val="0"/>
          <w:sz w:val="32"/>
          <w:szCs w:val="32"/>
          <w:highlight w:val="none"/>
        </w:rPr>
        <w:t>，分别是</w:t>
      </w:r>
      <w:r>
        <w:rPr>
          <w:rFonts w:hint="eastAsia" w:ascii="仿宋_GB2312" w:hAnsi="仿宋" w:eastAsia="仿宋_GB2312"/>
          <w:color w:val="auto"/>
          <w:sz w:val="32"/>
          <w:szCs w:val="32"/>
          <w:highlight w:val="none"/>
          <w:lang w:eastAsia="zh-CN"/>
        </w:rPr>
        <w:t>办公室、综合减灾救援科、督查考核综合科、危化工贸科、矿山安全监督管理科、</w:t>
      </w:r>
      <w:r>
        <w:rPr>
          <w:rFonts w:hint="eastAsia" w:ascii="仿宋_GB2312" w:eastAsia="仿宋_GB2312"/>
          <w:color w:val="auto"/>
          <w:sz w:val="32"/>
          <w:szCs w:val="32"/>
          <w:highlight w:val="none"/>
          <w:lang w:eastAsia="zh-CN"/>
        </w:rPr>
        <w:t>救护队</w:t>
      </w:r>
      <w:r>
        <w:rPr>
          <w:rFonts w:hint="eastAsia" w:ascii="仿宋_GB2312" w:hAnsi="仿宋"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895.82万元，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895.82万元，使用非财政拨款结余0.00万元，年初结转和结余0.00万元。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895.82万元，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895.82万元，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增加227.92万元</w:t>
      </w:r>
      <w:r>
        <w:rPr>
          <w:rFonts w:hint="eastAsia" w:ascii="仿宋_GB2312" w:eastAsia="仿宋_GB2312"/>
          <w:color w:val="auto"/>
          <w:spacing w:val="0"/>
          <w:sz w:val="32"/>
          <w:szCs w:val="32"/>
          <w:highlight w:val="none"/>
          <w:lang w:eastAsia="zh-CN"/>
        </w:rPr>
        <w:t>，增长34.12%，主要原因是：</w:t>
      </w:r>
      <w:r>
        <w:rPr>
          <w:rFonts w:hint="eastAsia" w:ascii="仿宋_GB2312" w:hAnsi="仿宋" w:eastAsia="仿宋_GB2312"/>
          <w:sz w:val="32"/>
          <w:szCs w:val="32"/>
        </w:rPr>
        <w:t>2023年发放以前年度绩效奖及增加基本工资调标</w:t>
      </w:r>
      <w:r>
        <w:rPr>
          <w:rFonts w:hint="eastAsia" w:ascii="仿宋_GB2312" w:hAnsi="仿宋" w:eastAsia="仿宋_GB2312"/>
          <w:sz w:val="32"/>
          <w:szCs w:val="32"/>
          <w:lang w:eastAsia="zh-CN"/>
        </w:rPr>
        <w:t>，</w:t>
      </w:r>
      <w:r>
        <w:rPr>
          <w:rFonts w:hint="eastAsia" w:ascii="仿宋_GB2312" w:hAnsi="仿宋" w:eastAsia="仿宋_GB2312"/>
          <w:sz w:val="32"/>
          <w:szCs w:val="32"/>
        </w:rPr>
        <w:t>人员晋升</w:t>
      </w:r>
      <w:r>
        <w:rPr>
          <w:rFonts w:hint="eastAsia" w:ascii="仿宋_GB2312" w:hAnsi="仿宋" w:eastAsia="仿宋_GB2312"/>
          <w:sz w:val="32"/>
          <w:szCs w:val="32"/>
          <w:lang w:eastAsia="zh-CN"/>
        </w:rPr>
        <w:t>，</w:t>
      </w:r>
      <w:r>
        <w:rPr>
          <w:rFonts w:hint="eastAsia" w:ascii="仿宋_GB2312" w:hAnsi="仿宋" w:eastAsia="仿宋_GB2312"/>
          <w:sz w:val="32"/>
          <w:szCs w:val="32"/>
        </w:rPr>
        <w:t>考核增资</w:t>
      </w:r>
      <w:r>
        <w:rPr>
          <w:rFonts w:hint="eastAsia" w:ascii="仿宋_GB2312" w:hAnsi="仿宋" w:eastAsia="仿宋_GB2312"/>
          <w:sz w:val="32"/>
          <w:szCs w:val="32"/>
          <w:lang w:eastAsia="zh-CN"/>
        </w:rPr>
        <w:t>，</w:t>
      </w:r>
      <w:r>
        <w:rPr>
          <w:rFonts w:hint="eastAsia" w:ascii="仿宋_GB2312" w:hAnsi="仿宋" w:eastAsia="仿宋_GB2312"/>
          <w:sz w:val="32"/>
          <w:szCs w:val="32"/>
        </w:rPr>
        <w:t>增加本年支出项目资金预算</w:t>
      </w:r>
      <w:r>
        <w:rPr>
          <w:rFonts w:hint="eastAsia" w:ascii="仿宋_GB2312" w:hAnsi="仿宋" w:eastAsia="仿宋_GB2312"/>
          <w:sz w:val="32"/>
          <w:szCs w:val="32"/>
          <w:lang w:eastAsia="zh-CN"/>
        </w:rPr>
        <w:t>，</w:t>
      </w:r>
      <w:r>
        <w:rPr>
          <w:rFonts w:hint="eastAsia" w:ascii="仿宋_GB2312" w:hAnsi="仿宋" w:eastAsia="仿宋_GB2312"/>
          <w:sz w:val="32"/>
          <w:szCs w:val="32"/>
        </w:rPr>
        <w:t>所以收入支出增大。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895.82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895.82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本年支出895.82万元，其中：基本支出767.35万元，占85.66%；项目支出128.47万元，占14.34%；上缴上级支出0.00万元，占0.00%；经营支出0.00万元，占0.00%；对附属单位补助支出0.00万元，占0.00%。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895.82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895.82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895.82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895.82</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增加227.92万元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增长34.12%,</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rPr>
        <w:t>2023年发放以前年度绩效奖及增加基本工资调标</w:t>
      </w:r>
      <w:r>
        <w:rPr>
          <w:rFonts w:hint="eastAsia" w:ascii="仿宋_GB2312" w:hAnsi="仿宋" w:eastAsia="仿宋_GB2312"/>
          <w:sz w:val="32"/>
          <w:szCs w:val="32"/>
          <w:lang w:val="en-US" w:eastAsia="zh-CN"/>
        </w:rPr>
        <w:t>、</w:t>
      </w:r>
      <w:r>
        <w:rPr>
          <w:rFonts w:hint="eastAsia" w:ascii="仿宋_GB2312" w:hAnsi="仿宋" w:eastAsia="仿宋_GB2312"/>
          <w:sz w:val="32"/>
          <w:szCs w:val="32"/>
        </w:rPr>
        <w:t>人员晋升</w:t>
      </w:r>
      <w:r>
        <w:rPr>
          <w:rFonts w:hint="eastAsia" w:ascii="仿宋_GB2312" w:hAnsi="仿宋" w:eastAsia="仿宋_GB2312"/>
          <w:sz w:val="32"/>
          <w:szCs w:val="32"/>
          <w:lang w:eastAsia="zh-CN"/>
        </w:rPr>
        <w:t>、</w:t>
      </w:r>
      <w:r>
        <w:rPr>
          <w:rFonts w:hint="eastAsia" w:ascii="仿宋_GB2312" w:hAnsi="仿宋" w:eastAsia="仿宋_GB2312"/>
          <w:sz w:val="32"/>
          <w:szCs w:val="32"/>
        </w:rPr>
        <w:t>考核增资</w:t>
      </w:r>
      <w:r>
        <w:rPr>
          <w:rFonts w:hint="eastAsia" w:ascii="仿宋_GB2312" w:hAnsi="仿宋" w:eastAsia="仿宋_GB2312"/>
          <w:sz w:val="32"/>
          <w:szCs w:val="32"/>
          <w:lang w:eastAsia="zh-CN"/>
        </w:rPr>
        <w:t>、</w:t>
      </w:r>
      <w:r>
        <w:rPr>
          <w:rFonts w:hint="eastAsia" w:ascii="仿宋_GB2312" w:hAnsi="仿宋" w:eastAsia="仿宋_GB2312"/>
          <w:sz w:val="32"/>
          <w:szCs w:val="32"/>
        </w:rPr>
        <w:t>增加本年支出项目资金追加预算</w:t>
      </w:r>
      <w:r>
        <w:rPr>
          <w:rFonts w:hint="eastAsia" w:ascii="仿宋_GB2312" w:hAnsi="仿宋" w:eastAsia="仿宋_GB2312"/>
          <w:sz w:val="32"/>
          <w:szCs w:val="32"/>
          <w:lang w:eastAsia="zh-CN"/>
        </w:rPr>
        <w:t>，</w:t>
      </w:r>
      <w:r>
        <w:rPr>
          <w:rFonts w:hint="eastAsia" w:ascii="仿宋_GB2312" w:hAnsi="仿宋" w:eastAsia="仿宋_GB2312"/>
          <w:sz w:val="32"/>
          <w:szCs w:val="32"/>
        </w:rPr>
        <w:t>所以收入支出增大。</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812.28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895.82</w:t>
      </w:r>
      <w:r>
        <w:rPr>
          <w:rFonts w:hint="eastAsia" w:ascii="仿宋_GB2312" w:eastAsia="仿宋_GB2312"/>
          <w:color w:val="auto"/>
          <w:spacing w:val="0"/>
          <w:sz w:val="32"/>
          <w:szCs w:val="32"/>
          <w:highlight w:val="none"/>
          <w:lang w:eastAsia="zh-CN"/>
        </w:rPr>
        <w:t>万元，预决算差异率10.28%，主要原因是：</w:t>
      </w:r>
      <w:r>
        <w:rPr>
          <w:rFonts w:hint="eastAsia" w:ascii="仿宋_GB2312" w:hAnsi="仿宋" w:eastAsia="仿宋_GB2312"/>
          <w:sz w:val="32"/>
          <w:szCs w:val="32"/>
        </w:rPr>
        <w:t>2023年发放以前年度绩效奖及增加基本工资调标</w:t>
      </w:r>
      <w:r>
        <w:rPr>
          <w:rFonts w:hint="eastAsia" w:ascii="仿宋_GB2312" w:hAnsi="仿宋" w:eastAsia="仿宋_GB2312"/>
          <w:sz w:val="32"/>
          <w:szCs w:val="32"/>
          <w:lang w:eastAsia="zh-CN"/>
        </w:rPr>
        <w:t>、</w:t>
      </w:r>
      <w:r>
        <w:rPr>
          <w:rFonts w:hint="eastAsia" w:ascii="仿宋_GB2312" w:hAnsi="仿宋" w:eastAsia="仿宋_GB2312"/>
          <w:sz w:val="32"/>
          <w:szCs w:val="32"/>
        </w:rPr>
        <w:t>人员晋升</w:t>
      </w:r>
      <w:r>
        <w:rPr>
          <w:rFonts w:hint="eastAsia" w:ascii="仿宋_GB2312" w:hAnsi="仿宋" w:eastAsia="仿宋_GB2312"/>
          <w:sz w:val="32"/>
          <w:szCs w:val="32"/>
          <w:lang w:eastAsia="zh-CN"/>
        </w:rPr>
        <w:t>、</w:t>
      </w:r>
      <w:r>
        <w:rPr>
          <w:rFonts w:hint="eastAsia" w:ascii="仿宋_GB2312" w:hAnsi="仿宋" w:eastAsia="仿宋_GB2312"/>
          <w:sz w:val="32"/>
          <w:szCs w:val="32"/>
        </w:rPr>
        <w:t>考核增</w:t>
      </w:r>
      <w:r>
        <w:rPr>
          <w:rFonts w:hint="eastAsia" w:ascii="仿宋_GB2312" w:hAnsi="仿宋" w:eastAsia="仿宋_GB2312"/>
          <w:sz w:val="32"/>
          <w:szCs w:val="32"/>
          <w:lang w:eastAsia="zh-CN"/>
        </w:rPr>
        <w:t>、</w:t>
      </w:r>
      <w:r>
        <w:rPr>
          <w:rFonts w:hint="eastAsia" w:ascii="仿宋_GB2312" w:hAnsi="仿宋" w:eastAsia="仿宋_GB2312"/>
          <w:sz w:val="32"/>
          <w:szCs w:val="32"/>
        </w:rPr>
        <w:t>增加本年支出项目资金追加预算</w:t>
      </w:r>
      <w:r>
        <w:rPr>
          <w:rFonts w:hint="eastAsia" w:ascii="仿宋_GB2312" w:hAnsi="仿宋" w:eastAsia="仿宋_GB2312"/>
          <w:sz w:val="32"/>
          <w:szCs w:val="32"/>
          <w:lang w:eastAsia="zh-CN"/>
        </w:rPr>
        <w:t>，</w:t>
      </w:r>
      <w:r>
        <w:rPr>
          <w:rFonts w:hint="eastAsia" w:ascii="仿宋_GB2312" w:hAnsi="仿宋" w:eastAsia="仿宋_GB2312"/>
          <w:sz w:val="32"/>
          <w:szCs w:val="32"/>
        </w:rPr>
        <w:t>所以收入支出增大。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FF0000"/>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2023年度一般公共预算财政拨款支出895.82万元，占本年支出合计的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增加227.92万元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增长34.12%,</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rPr>
        <w:t>2023年发放以前年度绩效奖及增加基本工资调标</w:t>
      </w:r>
      <w:r>
        <w:rPr>
          <w:rFonts w:hint="eastAsia" w:ascii="仿宋_GB2312" w:hAnsi="仿宋" w:eastAsia="仿宋_GB2312"/>
          <w:sz w:val="32"/>
          <w:szCs w:val="32"/>
          <w:lang w:eastAsia="zh-CN"/>
        </w:rPr>
        <w:t>、</w:t>
      </w:r>
      <w:r>
        <w:rPr>
          <w:rFonts w:hint="eastAsia" w:ascii="仿宋_GB2312" w:hAnsi="仿宋" w:eastAsia="仿宋_GB2312"/>
          <w:sz w:val="32"/>
          <w:szCs w:val="32"/>
        </w:rPr>
        <w:t>人员晋升</w:t>
      </w:r>
      <w:r>
        <w:rPr>
          <w:rFonts w:hint="eastAsia" w:ascii="仿宋_GB2312" w:hAnsi="仿宋" w:eastAsia="仿宋_GB2312"/>
          <w:sz w:val="32"/>
          <w:szCs w:val="32"/>
          <w:lang w:eastAsia="zh-CN"/>
        </w:rPr>
        <w:t>、</w:t>
      </w:r>
      <w:r>
        <w:rPr>
          <w:rFonts w:hint="eastAsia" w:ascii="仿宋_GB2312" w:hAnsi="仿宋" w:eastAsia="仿宋_GB2312"/>
          <w:sz w:val="32"/>
          <w:szCs w:val="32"/>
        </w:rPr>
        <w:t>考核增资</w:t>
      </w:r>
      <w:r>
        <w:rPr>
          <w:rFonts w:hint="eastAsia" w:ascii="仿宋_GB2312" w:hAnsi="仿宋" w:eastAsia="仿宋_GB2312"/>
          <w:sz w:val="32"/>
          <w:szCs w:val="32"/>
          <w:lang w:eastAsia="zh-CN"/>
        </w:rPr>
        <w:t>、</w:t>
      </w:r>
      <w:r>
        <w:rPr>
          <w:rFonts w:hint="eastAsia" w:ascii="仿宋_GB2312" w:hAnsi="仿宋" w:eastAsia="仿宋_GB2312"/>
          <w:sz w:val="32"/>
          <w:szCs w:val="32"/>
        </w:rPr>
        <w:t>增加本年支出项目资金追加预算</w:t>
      </w:r>
      <w:r>
        <w:rPr>
          <w:rFonts w:hint="eastAsia" w:ascii="仿宋_GB2312" w:hAnsi="仿宋" w:eastAsia="仿宋_GB2312"/>
          <w:sz w:val="32"/>
          <w:szCs w:val="32"/>
          <w:lang w:eastAsia="zh-CN"/>
        </w:rPr>
        <w:t>，</w:t>
      </w:r>
      <w:r>
        <w:rPr>
          <w:rFonts w:hint="eastAsia" w:ascii="仿宋_GB2312" w:hAnsi="仿宋" w:eastAsia="仿宋_GB2312"/>
          <w:sz w:val="32"/>
          <w:szCs w:val="32"/>
        </w:rPr>
        <w:t>所以收入支出增大。</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812.28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895.82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10.28%</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rPr>
        <w:t>2023年发放以前年度绩效奖及增加基本工资调标</w:t>
      </w:r>
      <w:r>
        <w:rPr>
          <w:rFonts w:hint="eastAsia" w:ascii="仿宋_GB2312" w:hAnsi="仿宋" w:eastAsia="仿宋_GB2312"/>
          <w:sz w:val="32"/>
          <w:szCs w:val="32"/>
          <w:lang w:eastAsia="zh-CN"/>
        </w:rPr>
        <w:t>、</w:t>
      </w:r>
      <w:r>
        <w:rPr>
          <w:rFonts w:hint="eastAsia" w:ascii="仿宋_GB2312" w:hAnsi="仿宋" w:eastAsia="仿宋_GB2312"/>
          <w:sz w:val="32"/>
          <w:szCs w:val="32"/>
        </w:rPr>
        <w:t>人员晋升</w:t>
      </w:r>
      <w:r>
        <w:rPr>
          <w:rFonts w:hint="eastAsia" w:ascii="仿宋_GB2312" w:hAnsi="仿宋" w:eastAsia="仿宋_GB2312"/>
          <w:sz w:val="32"/>
          <w:szCs w:val="32"/>
          <w:lang w:eastAsia="zh-CN"/>
        </w:rPr>
        <w:t>、</w:t>
      </w:r>
      <w:r>
        <w:rPr>
          <w:rFonts w:hint="eastAsia" w:ascii="仿宋_GB2312" w:hAnsi="仿宋" w:eastAsia="仿宋_GB2312"/>
          <w:sz w:val="32"/>
          <w:szCs w:val="32"/>
        </w:rPr>
        <w:t>考核增资</w:t>
      </w:r>
      <w:r>
        <w:rPr>
          <w:rFonts w:hint="eastAsia" w:ascii="仿宋_GB2312" w:hAnsi="仿宋" w:eastAsia="仿宋_GB2312"/>
          <w:sz w:val="32"/>
          <w:szCs w:val="32"/>
          <w:lang w:eastAsia="zh-CN"/>
        </w:rPr>
        <w:t>、</w:t>
      </w:r>
      <w:r>
        <w:rPr>
          <w:rFonts w:hint="eastAsia" w:ascii="仿宋_GB2312" w:hAnsi="仿宋" w:eastAsia="仿宋_GB2312"/>
          <w:sz w:val="32"/>
          <w:szCs w:val="32"/>
        </w:rPr>
        <w:t>增加本年支出项目资金追加预算</w:t>
      </w:r>
      <w:r>
        <w:rPr>
          <w:rFonts w:hint="eastAsia" w:ascii="仿宋_GB2312" w:hAnsi="仿宋" w:eastAsia="仿宋_GB2312"/>
          <w:sz w:val="32"/>
          <w:szCs w:val="32"/>
          <w:lang w:eastAsia="zh-CN"/>
        </w:rPr>
        <w:t>，</w:t>
      </w:r>
      <w:r>
        <w:rPr>
          <w:rFonts w:hint="eastAsia" w:ascii="仿宋_GB2312" w:hAnsi="仿宋" w:eastAsia="仿宋_GB2312"/>
          <w:sz w:val="32"/>
          <w:szCs w:val="32"/>
        </w:rPr>
        <w:t>所以收入支出增大。</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93.59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10.45%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32.82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3.66%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51.88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5.79%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灾</w:t>
      </w:r>
      <w:r>
        <w:rPr>
          <w:rFonts w:hint="default" w:ascii="仿宋_GB2312" w:hAnsi="Times New Roman" w:eastAsia="仿宋_GB2312" w:cs="Times New Roman"/>
          <w:color w:val="auto"/>
          <w:spacing w:val="0"/>
          <w:kern w:val="2"/>
          <w:sz w:val="32"/>
          <w:szCs w:val="32"/>
          <w:highlight w:val="none"/>
          <w:lang w:val="zh-CN" w:eastAsia="zh-CN" w:bidi="ar-SA"/>
        </w:rPr>
        <w:t>害防治及应急管理支出（类）</w:t>
      </w:r>
      <w:r>
        <w:rPr>
          <w:rFonts w:hint="eastAsia" w:ascii="仿宋_GB2312" w:hAnsi="Times New Roman" w:eastAsia="仿宋_GB2312" w:cs="Times New Roman"/>
          <w:color w:val="auto"/>
          <w:spacing w:val="0"/>
          <w:kern w:val="2"/>
          <w:sz w:val="32"/>
          <w:szCs w:val="32"/>
          <w:highlight w:val="none"/>
          <w:lang w:val="zh-CN" w:eastAsia="zh-CN" w:bidi="ar-SA"/>
        </w:rPr>
        <w:t>698.26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77.95%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19.27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1.卫生健康支出（类）行政事业单位医疗（款）行政单位医疗（项）:支出决算数为9.65万元，比上年决算减少0.99万元，下降9.30%，主要原因是：</w:t>
      </w:r>
      <w:r>
        <w:rPr>
          <w:rFonts w:hint="eastAsia" w:ascii="仿宋_GB2312" w:hAnsi="仿宋_GB2312" w:eastAsia="仿宋_GB2312" w:cs="仿宋_GB2312"/>
          <w:sz w:val="32"/>
          <w:szCs w:val="32"/>
          <w:lang w:val="zh-CN"/>
        </w:rPr>
        <w:t>单位退休人员已终止医疗缴费，故基本医疗相应缴费减少。</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2.卫生健康支出（类）行政事业单位医疗（款）事业单位医疗（项）:支出决算数为19.54万元，比上年决算增加4.74万元，增长32.03%，主要原因是：</w:t>
      </w:r>
      <w:r>
        <w:rPr>
          <w:rFonts w:hint="eastAsia" w:ascii="仿宋_GB2312" w:hAnsi="仿宋" w:eastAsia="仿宋_GB2312"/>
          <w:sz w:val="32"/>
          <w:szCs w:val="32"/>
        </w:rPr>
        <w:t>2023年增加绩效考核奖及基本工资调标、工资基数增加，所以</w:t>
      </w:r>
      <w:r>
        <w:rPr>
          <w:rFonts w:hint="eastAsia" w:ascii="仿宋_GB2312" w:hAnsi="仿宋_GB2312" w:eastAsia="仿宋_GB2312" w:cs="仿宋_GB2312"/>
          <w:color w:val="auto"/>
          <w:kern w:val="2"/>
          <w:sz w:val="32"/>
          <w:szCs w:val="32"/>
          <w:highlight w:val="none"/>
          <w:lang w:val="en-US" w:eastAsia="zh-CN" w:bidi="ar-SA"/>
        </w:rPr>
        <w:t>事业单位医疗</w:t>
      </w:r>
      <w:r>
        <w:rPr>
          <w:rFonts w:hint="eastAsia" w:ascii="仿宋_GB2312" w:hAnsi="仿宋" w:eastAsia="仿宋_GB2312"/>
          <w:sz w:val="32"/>
          <w:szCs w:val="32"/>
        </w:rPr>
        <w:t>支出增加</w:t>
      </w:r>
      <w:r>
        <w:rPr>
          <w:rFonts w:hint="eastAsia" w:ascii="仿宋_GB2312" w:hAnsi="仿宋_GB2312" w:eastAsia="仿宋_GB2312" w:cs="仿宋_GB2312"/>
          <w:sz w:val="32"/>
          <w:szCs w:val="32"/>
          <w:lang w:val="zh-CN"/>
        </w:rPr>
        <w:t>。</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3.卫生健康支出（类）行政事业单位医疗（款）公务员医疗补助（项）:支出决算数为3.63万元，比上年决算减少0.30万元，下降7.63%，主要原因是：</w:t>
      </w:r>
      <w:r>
        <w:rPr>
          <w:rFonts w:hint="eastAsia" w:ascii="仿宋_GB2312" w:hAnsi="仿宋_GB2312" w:eastAsia="仿宋_GB2312" w:cs="仿宋_GB2312"/>
          <w:sz w:val="32"/>
          <w:szCs w:val="32"/>
          <w:lang w:val="zh-CN"/>
        </w:rPr>
        <w:t>单位退休人员已终止医疗缴费，故</w:t>
      </w:r>
      <w:r>
        <w:rPr>
          <w:rFonts w:hint="eastAsia" w:ascii="仿宋_GB2312" w:hAnsi="仿宋_GB2312" w:eastAsia="仿宋_GB2312" w:cs="仿宋_GB2312"/>
          <w:color w:val="auto"/>
          <w:kern w:val="2"/>
          <w:sz w:val="32"/>
          <w:szCs w:val="32"/>
          <w:highlight w:val="none"/>
          <w:lang w:val="en-US" w:eastAsia="zh-CN" w:bidi="ar-SA"/>
        </w:rPr>
        <w:t>公务员</w:t>
      </w:r>
      <w:r>
        <w:rPr>
          <w:rFonts w:hint="eastAsia" w:ascii="仿宋_GB2312" w:hAnsi="仿宋_GB2312" w:eastAsia="仿宋_GB2312" w:cs="仿宋_GB2312"/>
          <w:sz w:val="32"/>
          <w:szCs w:val="32"/>
          <w:lang w:val="zh-CN"/>
        </w:rPr>
        <w:t>医疗</w:t>
      </w:r>
      <w:r>
        <w:rPr>
          <w:rFonts w:hint="eastAsia" w:ascii="仿宋_GB2312" w:hAnsi="仿宋_GB2312" w:eastAsia="仿宋_GB2312" w:cs="仿宋_GB2312"/>
          <w:color w:val="auto"/>
          <w:kern w:val="2"/>
          <w:sz w:val="32"/>
          <w:szCs w:val="32"/>
          <w:highlight w:val="none"/>
          <w:lang w:val="en-US" w:eastAsia="zh-CN" w:bidi="ar-SA"/>
        </w:rPr>
        <w:t>补助</w:t>
      </w:r>
      <w:r>
        <w:rPr>
          <w:rFonts w:hint="eastAsia" w:ascii="仿宋_GB2312" w:hAnsi="仿宋_GB2312" w:eastAsia="仿宋_GB2312" w:cs="仿宋_GB2312"/>
          <w:sz w:val="32"/>
          <w:szCs w:val="32"/>
          <w:lang w:val="zh-CN"/>
        </w:rPr>
        <w:t>相应缴费减少。</w:t>
      </w:r>
    </w:p>
    <w:p>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4.住房保障支出（类）住房改革支出（款）住房公积金（项）:支出决算数为51.88万元，比上年决算增加9.03万元，增长21.07%，主要原因是：</w:t>
      </w:r>
      <w:r>
        <w:rPr>
          <w:rFonts w:hint="eastAsia" w:ascii="仿宋_GB2312" w:hAnsi="仿宋" w:eastAsia="仿宋_GB2312"/>
          <w:sz w:val="32"/>
          <w:szCs w:val="32"/>
        </w:rPr>
        <w:t>2023年增加绩效考核奖及基本工资调标、工资基数增加，所以</w:t>
      </w:r>
      <w:r>
        <w:rPr>
          <w:rFonts w:hint="eastAsia" w:ascii="仿宋_GB2312" w:hAnsi="仿宋_GB2312" w:eastAsia="仿宋_GB2312" w:cs="仿宋_GB2312"/>
          <w:color w:val="auto"/>
          <w:kern w:val="2"/>
          <w:sz w:val="32"/>
          <w:szCs w:val="32"/>
          <w:highlight w:val="none"/>
          <w:lang w:val="en-US" w:eastAsia="zh-CN" w:bidi="ar-SA"/>
        </w:rPr>
        <w:t>住房公积金</w:t>
      </w:r>
      <w:r>
        <w:rPr>
          <w:rFonts w:hint="eastAsia" w:ascii="仿宋_GB2312" w:hAnsi="仿宋" w:eastAsia="仿宋_GB2312"/>
          <w:sz w:val="32"/>
          <w:szCs w:val="32"/>
        </w:rPr>
        <w:t>支出增加</w:t>
      </w:r>
      <w:r>
        <w:rPr>
          <w:rFonts w:hint="eastAsia" w:ascii="仿宋_GB2312" w:hAnsi="仿宋_GB2312"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FF0000"/>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灾害防治及应急管理支出（类）自然灾害防治（款）其他自然灾害防治支出（项）:支出决算数为49.54万元，比上年决算增加49.54万元，增长100%，主要原因是：2023年预算追加项目资金防汛物资专项款，故其他自然灾害防治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6.灾害防治及应急管理支出（类）应急管理事务（款）其他应急管理支出（项）:支出决算数为59.65万元，比上年决算增加33.65万元，增长129.42%，主要原因是：支付上年其他应急管理项目资金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7.社会保障和就业支出（类）行政事业单位养老支出（款）行政单位离退休（项）:支出决算数为2.80万元，比上年决算增加2.13万元，增长317.91%，主要原因是：本年度新增</w:t>
      </w:r>
      <w:r>
        <w:rPr>
          <w:rFonts w:hint="eastAsia" w:ascii="仿宋_GB2312" w:hAnsi="仿宋_GB2312" w:eastAsia="仿宋_GB2312" w:cs="仿宋_GB2312"/>
          <w:sz w:val="32"/>
          <w:szCs w:val="32"/>
        </w:rPr>
        <w:t>退休</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，导致</w:t>
      </w:r>
      <w:r>
        <w:rPr>
          <w:rFonts w:hint="eastAsia" w:ascii="仿宋_GB2312" w:hAnsi="仿宋_GB2312" w:eastAsia="仿宋_GB2312" w:cs="仿宋_GB2312"/>
          <w:color w:val="auto"/>
          <w:kern w:val="2"/>
          <w:sz w:val="32"/>
          <w:szCs w:val="32"/>
          <w:highlight w:val="none"/>
          <w:lang w:val="en-US" w:eastAsia="zh-CN" w:bidi="ar-SA"/>
        </w:rPr>
        <w:t>行政单位离退休支出增加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8.灾害防治及应急管理支出（类）应急管理事务（款）行政运行（项）:支出决算数为233.13万元，比上年决算减少258.14万元，下降52.55%，主要原因是：2023年度退休4人，所以行政运行决算比上年减少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auto"/>
          <w:kern w:val="2"/>
          <w:sz w:val="32"/>
          <w:szCs w:val="32"/>
          <w:highlight w:val="none"/>
          <w:lang w:val="en-US" w:eastAsia="zh-CN" w:bidi="ar-SA"/>
        </w:rPr>
        <w:t>9.灾害防治及应急管理支出（类）应急管理事务（款）事业运行（项）:支出决算数为355.93万元，比上年决算增加355.93万元，增长100%，主要原因是：</w:t>
      </w:r>
      <w:r>
        <w:rPr>
          <w:rFonts w:hint="eastAsia" w:ascii="仿宋_GB2312" w:hAnsi="仿宋" w:eastAsia="仿宋_GB2312"/>
          <w:sz w:val="32"/>
          <w:szCs w:val="32"/>
        </w:rPr>
        <w:t>2023年增加绩效考核奖及基本工资调标、工资基数增加，所以支出增加</w:t>
      </w:r>
      <w:r>
        <w:rPr>
          <w:rFonts w:hint="eastAsia" w:ascii="仿宋_GB2312" w:hAnsi="仿宋_GB2312"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FF0000"/>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10.社会保障和就业支出（类）行政事业单位养老支出（款）机关事业单位职业年金缴费支出（项）:支出决算数为25.55万元，比上年决算增加19.39万元，增长314.77%，主要原因是：本年度新增</w:t>
      </w:r>
      <w:r>
        <w:rPr>
          <w:rFonts w:hint="eastAsia" w:ascii="仿宋_GB2312" w:hAnsi="仿宋_GB2312" w:eastAsia="仿宋_GB2312" w:cs="仿宋_GB2312"/>
          <w:sz w:val="32"/>
          <w:szCs w:val="32"/>
          <w:highlight w:val="none"/>
        </w:rPr>
        <w:t>退休</w:t>
      </w:r>
      <w:r>
        <w:rPr>
          <w:rFonts w:hint="eastAsia" w:ascii="仿宋_GB2312" w:hAnsi="仿宋_GB2312" w:eastAsia="仿宋_GB2312" w:cs="仿宋_GB2312"/>
          <w:sz w:val="32"/>
          <w:szCs w:val="32"/>
          <w:highlight w:val="none"/>
          <w:lang w:eastAsia="zh-CN"/>
        </w:rPr>
        <w:t>人员</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val="en-US" w:eastAsia="zh-CN"/>
        </w:rPr>
        <w:t>,导致</w:t>
      </w:r>
      <w:r>
        <w:rPr>
          <w:rFonts w:hint="eastAsia" w:ascii="仿宋_GB2312" w:hAnsi="仿宋_GB2312" w:eastAsia="仿宋_GB2312" w:cs="仿宋_GB2312"/>
          <w:color w:val="auto"/>
          <w:kern w:val="2"/>
          <w:sz w:val="32"/>
          <w:szCs w:val="32"/>
          <w:highlight w:val="none"/>
          <w:lang w:val="en-US" w:eastAsia="zh-CN" w:bidi="ar-SA"/>
        </w:rPr>
        <w:t>职业年金缴费支出增加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11.社会保障和就业支出（类）行政事业单位养老支出（款）机关事业单位基本养老保险缴费支出（项）:支出决算数为65.24万元，比上年决算增加17.29万元，增长36.06%，主要原因是：</w:t>
      </w:r>
      <w:r>
        <w:rPr>
          <w:rFonts w:hint="eastAsia" w:ascii="仿宋_GB2312" w:hAnsi="仿宋_GB2312" w:eastAsia="仿宋_GB2312" w:cs="仿宋_GB2312"/>
          <w:sz w:val="32"/>
          <w:szCs w:val="32"/>
          <w:lang w:val="zh-CN"/>
        </w:rPr>
        <w:t>因本年度人员工资增加原因，</w:t>
      </w:r>
      <w:r>
        <w:rPr>
          <w:rFonts w:hint="eastAsia" w:ascii="仿宋_GB2312" w:hAnsi="仿宋_GB2312" w:eastAsia="仿宋_GB2312" w:cs="仿宋_GB2312"/>
          <w:sz w:val="32"/>
          <w:szCs w:val="32"/>
        </w:rPr>
        <w:t>机关事业单位基本养老保险缴费支出也增加</w:t>
      </w:r>
      <w:r>
        <w:rPr>
          <w:rFonts w:hint="eastAsia" w:ascii="仿宋_GB2312" w:hAnsi="仿宋_GB2312"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12.其他支出（类）其他支出（款）其他支出（项）:支出决算数为19.27万元，比上年决算增加15.58万元，增长422.22%，主要原因是：</w:t>
      </w:r>
      <w:r>
        <w:rPr>
          <w:rFonts w:hint="eastAsia" w:ascii="仿宋_GB2312" w:hAnsi="仿宋_GB2312" w:eastAsia="仿宋_GB2312" w:cs="仿宋_GB2312"/>
          <w:color w:val="auto"/>
          <w:kern w:val="2"/>
          <w:sz w:val="32"/>
          <w:szCs w:val="32"/>
          <w:highlight w:val="none"/>
          <w:lang w:val="zh-CN" w:eastAsia="zh-CN" w:bidi="ar-SA"/>
        </w:rPr>
        <w:t>本年度新增为民办实事专项经费项目。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13.灾害防治及应急管理支出（类）应急管理事务（款）灾害风险防治（项）:支出决算数为0.00万元，比上年决算减少19.94万元，下降100%，主要原因是：2023年无灾害风险防治支出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767.35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710.84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56.51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办公费、水费、电费、邮电费、取暖费、物业管理费、差旅费、维修（护）费、劳务费、工会经费、公务用车运行维护费。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“三公”经费支出6.65万元，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减少0.83万元，</w:t>
      </w:r>
      <w:r>
        <w:rPr>
          <w:rFonts w:hint="eastAsia" w:ascii="仿宋_GB2312" w:eastAsia="仿宋_GB2312"/>
          <w:color w:val="auto"/>
          <w:spacing w:val="0"/>
          <w:sz w:val="32"/>
          <w:szCs w:val="32"/>
          <w:highlight w:val="none"/>
          <w:lang w:val="en-US" w:eastAsia="zh-CN"/>
        </w:rPr>
        <w:t>下降11.10%,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压缩经费，节约资金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因公出国（境）费支出；公务用车购置及运行维护费支出6.65万元，占100.00%，比上年减少0.35万元，</w:t>
      </w:r>
      <w:r>
        <w:rPr>
          <w:rFonts w:hint="eastAsia" w:ascii="仿宋_GB2312" w:eastAsia="仿宋_GB2312"/>
          <w:color w:val="auto"/>
          <w:spacing w:val="0"/>
          <w:sz w:val="32"/>
          <w:szCs w:val="32"/>
          <w:highlight w:val="none"/>
          <w:lang w:val="en-US" w:eastAsia="zh-CN"/>
        </w:rPr>
        <w:t>下降5.00%,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压缩经费，节约资金</w:t>
      </w:r>
      <w:r>
        <w:rPr>
          <w:rFonts w:hint="eastAsia" w:ascii="仿宋_GB2312" w:eastAsia="仿宋_GB2312"/>
          <w:color w:val="auto"/>
          <w:sz w:val="32"/>
          <w:szCs w:val="32"/>
          <w:highlight w:val="none"/>
          <w:lang w:val="zh-CN" w:eastAsia="zh-CN"/>
        </w:rPr>
        <w:t>；公务接待费支出0.00万元，占0.00%，比上年减少0.48万元，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因公出国（境）费支出0.00万元。开支内容包括因公出国（境）费支出，</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公务用车购置及运行维护费6.65万元，其中：公务用车购置费0.00万元，公务用车运行维护费6.65万元。公务用车运行维护费开支内容包括</w:t>
      </w:r>
      <w:r>
        <w:rPr>
          <w:rFonts w:hint="eastAsia" w:ascii="仿宋_GB2312" w:eastAsia="仿宋_GB2312"/>
          <w:color w:val="auto"/>
          <w:sz w:val="32"/>
          <w:szCs w:val="32"/>
          <w:highlight w:val="none"/>
          <w:lang w:val="en-US" w:eastAsia="zh-CN"/>
        </w:rPr>
        <w:t>车辆加油，维修及过路费等支出</w:t>
      </w:r>
      <w:r>
        <w:rPr>
          <w:rFonts w:hint="eastAsia" w:ascii="仿宋_GB2312" w:eastAsia="仿宋_GB2312"/>
          <w:color w:val="auto"/>
          <w:sz w:val="32"/>
          <w:szCs w:val="32"/>
          <w:highlight w:val="none"/>
          <w:lang w:val="zh-CN" w:eastAsia="zh-CN"/>
        </w:rPr>
        <w:t>。公务用车购置数0辆，公务用车保有量7辆。国有资产占用情况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w:t>
      </w:r>
      <w:r>
        <w:rPr>
          <w:rFonts w:hint="eastAsia" w:ascii="仿宋_GB2312" w:eastAsia="仿宋_GB2312"/>
          <w:color w:val="auto"/>
          <w:sz w:val="32"/>
          <w:szCs w:val="32"/>
          <w:highlight w:val="none"/>
          <w:lang w:val="en-US" w:eastAsia="zh-CN"/>
        </w:rPr>
        <w:t>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预算数6.65万元，决算数6.65万元，预决算差异率0.00%，主要原因是：三公”经费支出</w:t>
      </w:r>
      <w:r>
        <w:rPr>
          <w:rFonts w:hint="eastAsia" w:ascii="仿宋_GB2312" w:eastAsia="仿宋_GB2312"/>
          <w:color w:val="auto"/>
          <w:sz w:val="32"/>
          <w:szCs w:val="32"/>
          <w:highlight w:val="none"/>
          <w:lang w:val="en-US" w:eastAsia="zh-CN"/>
        </w:rPr>
        <w:t>预决算无变化，预决算无差异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w:t>
      </w:r>
      <w:r>
        <w:rPr>
          <w:rFonts w:hint="eastAsia" w:ascii="仿宋_GB2312" w:eastAsia="仿宋_GB2312"/>
          <w:color w:val="auto"/>
          <w:sz w:val="32"/>
          <w:szCs w:val="32"/>
          <w:highlight w:val="none"/>
          <w:lang w:val="en-US" w:eastAsia="zh-CN"/>
        </w:rPr>
        <w:t>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预算数6.65万元，决算数6.65万元，预决算差异率0.00%，主要原因是：三公”经费支出</w:t>
      </w:r>
      <w:r>
        <w:rPr>
          <w:rFonts w:hint="eastAsia" w:ascii="仿宋_GB2312" w:eastAsia="仿宋_GB2312"/>
          <w:color w:val="auto"/>
          <w:sz w:val="32"/>
          <w:szCs w:val="32"/>
          <w:highlight w:val="none"/>
          <w:lang w:val="en-US" w:eastAsia="zh-CN"/>
        </w:rPr>
        <w:t>预决算无变化，预决算无差异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沙湾市应急管理局（行政单位和参照公务员法管理事业单位）机关运行经费支出56.51万元，</w:t>
      </w:r>
      <w:r>
        <w:rPr>
          <w:rFonts w:hint="eastAsia" w:ascii="仿宋_GB2312" w:hAnsi="仿宋_GB2312" w:eastAsia="仿宋_GB2312" w:cs="仿宋_GB2312"/>
          <w:color w:val="auto"/>
          <w:sz w:val="32"/>
          <w:szCs w:val="32"/>
          <w:highlight w:val="none"/>
          <w:lang w:val="zh-CN" w:eastAsia="zh-CN"/>
        </w:rPr>
        <w:t>比上年增加29.77万元，增长111.33%，</w:t>
      </w:r>
      <w:r>
        <w:rPr>
          <w:rFonts w:hint="eastAsia" w:ascii="仿宋_GB2312" w:hAnsi="仿宋_GB2312" w:eastAsia="仿宋_GB2312" w:cs="仿宋_GB2312"/>
          <w:color w:val="auto"/>
          <w:kern w:val="2"/>
          <w:sz w:val="32"/>
          <w:szCs w:val="32"/>
          <w:highlight w:val="none"/>
          <w:lang w:val="en-US" w:eastAsia="zh-CN" w:bidi="ar-SA"/>
        </w:rPr>
        <w:t>主要原因是：</w:t>
      </w:r>
      <w:r>
        <w:rPr>
          <w:rFonts w:hint="eastAsia" w:ascii="仿宋_GB2312" w:hAnsi="仿宋_GB2312" w:eastAsia="仿宋_GB2312" w:cs="仿宋_GB2312"/>
          <w:color w:val="auto"/>
          <w:sz w:val="32"/>
          <w:szCs w:val="32"/>
          <w:highlight w:val="none"/>
          <w:lang w:val="en-US" w:eastAsia="zh-CN"/>
        </w:rPr>
        <w:t>2022年救护队办公经费为自筹款，2023年全额拨款2023年办公费增加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24.32万元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其中：政府采购货物支出19.43万元、政府采购工程支出0.00万元、政府采购服务支出4.89万元。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授予中小企业合同金额24.32万元，占政府采购支出总额的100.00%，其中：授予小微企业合同金额24.32万元，占政府采购支出总额的100.00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416.36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屋0.00平方米，价值0.00万元。车辆7辆，价值137.12万元，其中：副部（省）级及以上领导用车0辆、主要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用车0辆、机要通信用车0辆、应急保障用车0辆、执法执勤用车4辆、特种专业技术用车0辆、离退休干部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用车0辆、其他用车3辆，其他用车主要是：</w:t>
      </w:r>
      <w:r>
        <w:rPr>
          <w:rFonts w:hint="eastAsia" w:ascii="仿宋_GB2312" w:hAnsi="仿宋_GB2312" w:eastAsia="仿宋_GB2312" w:cs="仿宋_GB2312"/>
          <w:color w:val="auto"/>
          <w:sz w:val="32"/>
          <w:szCs w:val="32"/>
          <w:highlight w:val="none"/>
          <w:lang w:val="en-US" w:eastAsia="zh-CN"/>
        </w:rPr>
        <w:t>一般公务用车</w:t>
      </w:r>
      <w:r>
        <w:rPr>
          <w:rFonts w:hint="eastAsia" w:ascii="仿宋_GB2312" w:hAnsi="仿宋_GB2312" w:eastAsia="仿宋_GB2312" w:cs="仿宋_GB2312"/>
          <w:color w:val="auto"/>
          <w:sz w:val="32"/>
          <w:szCs w:val="32"/>
          <w:highlight w:val="none"/>
          <w:lang w:val="zh-CN" w:eastAsia="zh-CN"/>
        </w:rPr>
        <w:t>；单价100万元（含）以上设备（不含车辆）1</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预算总额910.59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实际执行总额895.81</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全年预算数128.93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全年执行数128.47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其中：本单位sm项目2个,全年预算数19.28万元，全年执行数19.28万元，不予以公开</w:t>
      </w:r>
      <w:r>
        <w:rPr>
          <w:rFonts w:hint="eastAsia" w:ascii="仿宋_GB2312" w:hAnsi="仿宋_GB2312" w:eastAsia="仿宋_GB2312" w:cs="仿宋_GB2312"/>
          <w:color w:val="auto"/>
          <w:sz w:val="32"/>
          <w:szCs w:val="32"/>
          <w:highlight w:val="none"/>
          <w:lang w:val="zh-CN" w:eastAsia="zh-CN"/>
        </w:rPr>
        <w:t>。</w:t>
      </w:r>
      <w:r>
        <w:rPr>
          <w:rFonts w:hint="eastAsia" w:ascii="仿宋_GB2312" w:eastAsia="仿宋_GB2312"/>
          <w:color w:val="auto"/>
          <w:sz w:val="32"/>
          <w:szCs w:val="32"/>
          <w:highlight w:val="none"/>
          <w:lang w:eastAsia="zh-CN"/>
        </w:rPr>
        <w:t>预算绩效管理取得的成效：一是本项目通过绩效目标评价管理，总结了工作中的较好的经验。项目实施过程中，我单位根据相关</w:t>
      </w:r>
      <w:bookmarkStart w:id="48" w:name="_GoBack"/>
      <w:bookmarkEnd w:id="48"/>
      <w:r>
        <w:rPr>
          <w:rFonts w:hint="eastAsia" w:ascii="仿宋_GB2312" w:eastAsia="仿宋_GB2312"/>
          <w:color w:val="auto"/>
          <w:sz w:val="32"/>
          <w:szCs w:val="32"/>
          <w:highlight w:val="none"/>
          <w:lang w:eastAsia="zh-CN"/>
        </w:rPr>
        <w:t>实施方案等要求保障了项目的顺利实施。项目的实施遵守相关法律法规和业务管理规定，不定期对项目进度情况进行督导检查，对检查过程中发现的问题及时督促整改，确保了项目按时保质完成；二是资金使用更合理、更优化、更科学。</w:t>
      </w:r>
      <w:r>
        <w:rPr>
          <w:rFonts w:hint="eastAsia" w:ascii="仿宋_GB2312" w:eastAsia="仿宋_GB2312"/>
          <w:sz w:val="32"/>
          <w:szCs w:val="32"/>
        </w:rPr>
        <w:t>发现的问题及原因：</w:t>
      </w:r>
      <w:r>
        <w:rPr>
          <w:rFonts w:hint="eastAsia" w:ascii="仿宋_GB2312" w:eastAsia="仿宋_GB2312"/>
          <w:color w:val="auto"/>
          <w:sz w:val="32"/>
          <w:szCs w:val="32"/>
          <w:highlight w:val="none"/>
          <w:lang w:eastAsia="zh-CN"/>
        </w:rPr>
        <w:t>一是预算编制的周期短，准备不充分,编制质量不高，预算涉及部门多，时间跨度长，并且编制财务预算通常只有财务人员负责，预算和决算工作几乎同时，单位会计工作量大，时间长，质量不高；二是单位内部缺乏对预算管理的有效监督及完善的绩效评价机制，在日常工作中,由于缺乏有效的预算管理监督，预算绩效评估机制不完善,缺乏操作规则导致预算管理效率低下，弱化了预算的约束力。下一步改进措施：一是高度重视财政预决算工作，加强预算的约束力。更加合理地编制预算，将上年的开支做分析对比，将未支付应支付的合理安排进预算，不再出现经费不足情况；二是加强内部管理，严格执行预算，坚持厉行节约，进一步降低财政支出。尤其对“三公”经费严格按照中央八项规定及厉行节约条例执行，节约财政资金；严格财务管理，提高工作效率。加强对各项资金的支出，对项目资金执行绩效管理，坚持专款专用原则。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仿宋_GB2312" w:eastAsia="仿宋_GB2312"/>
          <w:color w:val="auto"/>
          <w:sz w:val="32"/>
          <w:szCs w:val="32"/>
          <w:highlight w:val="none"/>
          <w:lang w:val="en-US" w:eastAsia="zh-CN"/>
        </w:rPr>
        <w:t>本单位sm项目2个,全年预算数19.28万元，全年执行数19.28万元，</w:t>
      </w:r>
      <w:r>
        <w:rPr>
          <w:rFonts w:hint="eastAsia" w:ascii="仿宋_GB2312" w:eastAsia="仿宋_GB2312"/>
          <w:color w:val="auto"/>
          <w:sz w:val="32"/>
          <w:szCs w:val="32"/>
          <w:highlight w:val="none"/>
          <w:lang w:eastAsia="zh-CN"/>
        </w:rPr>
        <w:t>不予以公开绩效自评表。</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000000"/>
    <w:rsid w:val="00213C59"/>
    <w:rsid w:val="003210CE"/>
    <w:rsid w:val="006B31C3"/>
    <w:rsid w:val="00B70D59"/>
    <w:rsid w:val="00F52A8D"/>
    <w:rsid w:val="019404F8"/>
    <w:rsid w:val="01C30B6B"/>
    <w:rsid w:val="01ED22F2"/>
    <w:rsid w:val="023846A6"/>
    <w:rsid w:val="02BD3108"/>
    <w:rsid w:val="02F73D26"/>
    <w:rsid w:val="033B6E7D"/>
    <w:rsid w:val="034D4FEF"/>
    <w:rsid w:val="035D1785"/>
    <w:rsid w:val="039F47CE"/>
    <w:rsid w:val="03BD5310"/>
    <w:rsid w:val="03E05CE8"/>
    <w:rsid w:val="03F973EE"/>
    <w:rsid w:val="041B0A5C"/>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416C3"/>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D47E6F"/>
    <w:rsid w:val="0BE97AC1"/>
    <w:rsid w:val="0C1C4780"/>
    <w:rsid w:val="0C3613A3"/>
    <w:rsid w:val="0C5E519C"/>
    <w:rsid w:val="0C7227A7"/>
    <w:rsid w:val="0CA52EE8"/>
    <w:rsid w:val="0CBD6988"/>
    <w:rsid w:val="0CD208AC"/>
    <w:rsid w:val="0D172DAA"/>
    <w:rsid w:val="0D4903E8"/>
    <w:rsid w:val="0D5F19BA"/>
    <w:rsid w:val="0D7A4A46"/>
    <w:rsid w:val="0E640559"/>
    <w:rsid w:val="0F1113DA"/>
    <w:rsid w:val="0F78534A"/>
    <w:rsid w:val="0F89358A"/>
    <w:rsid w:val="0F8C6D51"/>
    <w:rsid w:val="105B0B5E"/>
    <w:rsid w:val="112E58D0"/>
    <w:rsid w:val="11731CAC"/>
    <w:rsid w:val="119500A0"/>
    <w:rsid w:val="11C0733B"/>
    <w:rsid w:val="11D50D17"/>
    <w:rsid w:val="120E0809"/>
    <w:rsid w:val="12184E1A"/>
    <w:rsid w:val="127F665A"/>
    <w:rsid w:val="12F7068C"/>
    <w:rsid w:val="13DF038B"/>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750A6F"/>
    <w:rsid w:val="1AD807E5"/>
    <w:rsid w:val="1B39345B"/>
    <w:rsid w:val="1BEA3EC6"/>
    <w:rsid w:val="1BFB2A1F"/>
    <w:rsid w:val="1C015D4A"/>
    <w:rsid w:val="1C290ED5"/>
    <w:rsid w:val="1C317E4F"/>
    <w:rsid w:val="1C472464"/>
    <w:rsid w:val="1D22799A"/>
    <w:rsid w:val="1D5C1A72"/>
    <w:rsid w:val="1D734AFA"/>
    <w:rsid w:val="1DAF458D"/>
    <w:rsid w:val="1E086ACE"/>
    <w:rsid w:val="1E280CC1"/>
    <w:rsid w:val="1E62130A"/>
    <w:rsid w:val="1E6B0CAD"/>
    <w:rsid w:val="1E97358B"/>
    <w:rsid w:val="1EAA4A5F"/>
    <w:rsid w:val="1EE869A7"/>
    <w:rsid w:val="1F075EB0"/>
    <w:rsid w:val="1F3F37CF"/>
    <w:rsid w:val="1FA15E62"/>
    <w:rsid w:val="1FED69B6"/>
    <w:rsid w:val="2064678E"/>
    <w:rsid w:val="20DC1AB9"/>
    <w:rsid w:val="20DD6197"/>
    <w:rsid w:val="21046921"/>
    <w:rsid w:val="212631E0"/>
    <w:rsid w:val="2132141A"/>
    <w:rsid w:val="2138666F"/>
    <w:rsid w:val="21742080"/>
    <w:rsid w:val="219A2170"/>
    <w:rsid w:val="21A53757"/>
    <w:rsid w:val="21D122B8"/>
    <w:rsid w:val="21F879E1"/>
    <w:rsid w:val="221236C6"/>
    <w:rsid w:val="22D7662C"/>
    <w:rsid w:val="23326B7F"/>
    <w:rsid w:val="2380045B"/>
    <w:rsid w:val="23B76EC5"/>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AA0009"/>
    <w:rsid w:val="29CB58F0"/>
    <w:rsid w:val="2A053397"/>
    <w:rsid w:val="2A145E96"/>
    <w:rsid w:val="2A2131BB"/>
    <w:rsid w:val="2AF5378F"/>
    <w:rsid w:val="2BB94DBF"/>
    <w:rsid w:val="2BF37410"/>
    <w:rsid w:val="2C6F314E"/>
    <w:rsid w:val="2C932FD6"/>
    <w:rsid w:val="2CB80BCB"/>
    <w:rsid w:val="2CC206BE"/>
    <w:rsid w:val="2D1136DF"/>
    <w:rsid w:val="2D20606D"/>
    <w:rsid w:val="2D6729FE"/>
    <w:rsid w:val="2DB87198"/>
    <w:rsid w:val="2DB93C54"/>
    <w:rsid w:val="2E3D144C"/>
    <w:rsid w:val="2E456552"/>
    <w:rsid w:val="2E891204"/>
    <w:rsid w:val="2F3F0A28"/>
    <w:rsid w:val="2FBF7029"/>
    <w:rsid w:val="2FD0187F"/>
    <w:rsid w:val="2FD27414"/>
    <w:rsid w:val="2FFE4BB0"/>
    <w:rsid w:val="300E7B60"/>
    <w:rsid w:val="300F6E18"/>
    <w:rsid w:val="30862F5F"/>
    <w:rsid w:val="30A4775A"/>
    <w:rsid w:val="314029C9"/>
    <w:rsid w:val="31930E27"/>
    <w:rsid w:val="31C63837"/>
    <w:rsid w:val="31C82E39"/>
    <w:rsid w:val="32601BAD"/>
    <w:rsid w:val="326E34B9"/>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1621F"/>
    <w:rsid w:val="385E3AC3"/>
    <w:rsid w:val="387D6B9E"/>
    <w:rsid w:val="38B75FF0"/>
    <w:rsid w:val="38D45016"/>
    <w:rsid w:val="38D90432"/>
    <w:rsid w:val="3914510A"/>
    <w:rsid w:val="3926770B"/>
    <w:rsid w:val="39383B94"/>
    <w:rsid w:val="3982065B"/>
    <w:rsid w:val="398D3668"/>
    <w:rsid w:val="39D87233"/>
    <w:rsid w:val="39DA0497"/>
    <w:rsid w:val="3A893816"/>
    <w:rsid w:val="3A893B6D"/>
    <w:rsid w:val="3AD1763A"/>
    <w:rsid w:val="3B196883"/>
    <w:rsid w:val="3B225C51"/>
    <w:rsid w:val="3B6716E3"/>
    <w:rsid w:val="3B6C6B2D"/>
    <w:rsid w:val="3BBC2333"/>
    <w:rsid w:val="3C242659"/>
    <w:rsid w:val="3C3F1E96"/>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9251F8"/>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7F82F3D"/>
    <w:rsid w:val="48387FB0"/>
    <w:rsid w:val="483A6114"/>
    <w:rsid w:val="488727DB"/>
    <w:rsid w:val="48B82268"/>
    <w:rsid w:val="48C354B3"/>
    <w:rsid w:val="48C7608A"/>
    <w:rsid w:val="493D58B5"/>
    <w:rsid w:val="494A7A04"/>
    <w:rsid w:val="49605EF7"/>
    <w:rsid w:val="4A0A26D2"/>
    <w:rsid w:val="4A2019A5"/>
    <w:rsid w:val="4A241A0B"/>
    <w:rsid w:val="4A5C2BD7"/>
    <w:rsid w:val="4A7B2875"/>
    <w:rsid w:val="4A934476"/>
    <w:rsid w:val="4AAA220A"/>
    <w:rsid w:val="4AC46725"/>
    <w:rsid w:val="4AE12E67"/>
    <w:rsid w:val="4AEF0FEC"/>
    <w:rsid w:val="4B4C0111"/>
    <w:rsid w:val="4B8553A9"/>
    <w:rsid w:val="4BDB3730"/>
    <w:rsid w:val="4C200F7A"/>
    <w:rsid w:val="4CA7245A"/>
    <w:rsid w:val="4CEE3180"/>
    <w:rsid w:val="4D0F4AF6"/>
    <w:rsid w:val="4D4C38A6"/>
    <w:rsid w:val="4D5676E0"/>
    <w:rsid w:val="4DF94F37"/>
    <w:rsid w:val="4E0A1DD5"/>
    <w:rsid w:val="4E3160E5"/>
    <w:rsid w:val="4E4D37AF"/>
    <w:rsid w:val="4E8C6496"/>
    <w:rsid w:val="4EB8126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D90134"/>
    <w:rsid w:val="52F647F7"/>
    <w:rsid w:val="52F92565"/>
    <w:rsid w:val="53AE735E"/>
    <w:rsid w:val="53D03877"/>
    <w:rsid w:val="542F73CA"/>
    <w:rsid w:val="5430786D"/>
    <w:rsid w:val="545A1D2A"/>
    <w:rsid w:val="54C811C0"/>
    <w:rsid w:val="551124D4"/>
    <w:rsid w:val="556A442D"/>
    <w:rsid w:val="5591300D"/>
    <w:rsid w:val="55A35789"/>
    <w:rsid w:val="55DA564E"/>
    <w:rsid w:val="55E816A3"/>
    <w:rsid w:val="5604127D"/>
    <w:rsid w:val="56044E6C"/>
    <w:rsid w:val="56166703"/>
    <w:rsid w:val="56510474"/>
    <w:rsid w:val="56861525"/>
    <w:rsid w:val="56A93273"/>
    <w:rsid w:val="56BD550C"/>
    <w:rsid w:val="56E07045"/>
    <w:rsid w:val="56FF28AF"/>
    <w:rsid w:val="57540E7D"/>
    <w:rsid w:val="577B4878"/>
    <w:rsid w:val="578F4465"/>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DA03B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216A7D"/>
    <w:rsid w:val="603D5080"/>
    <w:rsid w:val="606842D0"/>
    <w:rsid w:val="60D0261B"/>
    <w:rsid w:val="618E3791"/>
    <w:rsid w:val="61947DCA"/>
    <w:rsid w:val="61A46A97"/>
    <w:rsid w:val="61D1382F"/>
    <w:rsid w:val="61F114A2"/>
    <w:rsid w:val="622B0ABA"/>
    <w:rsid w:val="624D4329"/>
    <w:rsid w:val="62512BB4"/>
    <w:rsid w:val="625D7D1A"/>
    <w:rsid w:val="62660469"/>
    <w:rsid w:val="62DD7D21"/>
    <w:rsid w:val="637D586B"/>
    <w:rsid w:val="63A5560B"/>
    <w:rsid w:val="63E9091F"/>
    <w:rsid w:val="63F73101"/>
    <w:rsid w:val="642E6D7C"/>
    <w:rsid w:val="64322AF9"/>
    <w:rsid w:val="64470E1A"/>
    <w:rsid w:val="648F3AA8"/>
    <w:rsid w:val="64CD780E"/>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A95157"/>
    <w:rsid w:val="68DB0208"/>
    <w:rsid w:val="68FB170C"/>
    <w:rsid w:val="691B3D98"/>
    <w:rsid w:val="693748F0"/>
    <w:rsid w:val="69846A0E"/>
    <w:rsid w:val="69AA1366"/>
    <w:rsid w:val="69AD798C"/>
    <w:rsid w:val="69D005C0"/>
    <w:rsid w:val="69D80B96"/>
    <w:rsid w:val="69F47AD7"/>
    <w:rsid w:val="6A2C39D4"/>
    <w:rsid w:val="6B68175F"/>
    <w:rsid w:val="6BF0116E"/>
    <w:rsid w:val="6BFD799F"/>
    <w:rsid w:val="6C4A2E5A"/>
    <w:rsid w:val="6C8138D0"/>
    <w:rsid w:val="6CD24E7A"/>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742031"/>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042628"/>
    <w:rsid w:val="751D7C0A"/>
    <w:rsid w:val="75722D56"/>
    <w:rsid w:val="75DB5477"/>
    <w:rsid w:val="75DB592C"/>
    <w:rsid w:val="75FC6AC3"/>
    <w:rsid w:val="7616619B"/>
    <w:rsid w:val="76660D7C"/>
    <w:rsid w:val="766C5968"/>
    <w:rsid w:val="76B63116"/>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001FF5"/>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jc w:val="left"/>
      <w:outlineLvl w:val="0"/>
    </w:pPr>
    <w:rPr>
      <w:rFonts w:ascii="宋体" w:hAnsi="宋体" w:eastAsia="黑体"/>
      <w:b/>
      <w:bCs/>
      <w:kern w:val="44"/>
      <w:szCs w:val="44"/>
    </w:rPr>
  </w:style>
  <w:style w:type="paragraph" w:styleId="5">
    <w:name w:val="heading 2"/>
    <w:basedOn w:val="1"/>
    <w:next w:val="1"/>
    <w:unhideWhenUsed/>
    <w:qFormat/>
    <w:uiPriority w:val="0"/>
    <w:pPr>
      <w:keepNext/>
      <w:keepLines/>
      <w:outlineLvl w:val="1"/>
    </w:pPr>
    <w:rPr>
      <w:rFonts w:ascii="Arial" w:hAnsi="Arial" w:eastAsia="楷体"/>
      <w:b/>
      <w:sz w:val="32"/>
    </w:rPr>
  </w:style>
  <w:style w:type="paragraph" w:styleId="6">
    <w:name w:val="heading 3"/>
    <w:basedOn w:val="1"/>
    <w:next w:val="1"/>
    <w:qFormat/>
    <w:uiPriority w:val="0"/>
    <w:pPr>
      <w:keepNext/>
      <w:keepLines/>
      <w:outlineLvl w:val="2"/>
    </w:pPr>
    <w:rPr>
      <w:rFonts w:ascii="仿宋_GB2312" w:hAnsi="仿宋_GB2312" w:eastAsia="仿宋_GB2312"/>
      <w:b/>
      <w:bCs/>
      <w:szCs w:val="32"/>
    </w:rPr>
  </w:style>
  <w:style w:type="character" w:default="1" w:styleId="15">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0"/>
    <w:pPr>
      <w:widowControl/>
      <w:ind w:firstLine="420" w:firstLineChars="200"/>
      <w:jc w:val="left"/>
    </w:pPr>
    <w:rPr>
      <w:rFonts w:ascii="宋体" w:hAnsi="宋体" w:cs="宋体"/>
      <w:kern w:val="0"/>
      <w:sz w:val="24"/>
    </w:rPr>
  </w:style>
  <w:style w:type="paragraph" w:styleId="3">
    <w:name w:val="Body Text Indent"/>
    <w:basedOn w:val="1"/>
    <w:next w:val="1"/>
    <w:qFormat/>
    <w:uiPriority w:val="0"/>
    <w:pPr>
      <w:spacing w:after="120" w:line="560" w:lineRule="exact"/>
      <w:ind w:left="420" w:leftChars="200"/>
    </w:pPr>
    <w:rPr>
      <w:spacing w:val="-4"/>
      <w:sz w:val="32"/>
    </w:rPr>
  </w:style>
  <w:style w:type="paragraph" w:styleId="7">
    <w:name w:val="annotation text"/>
    <w:basedOn w:val="1"/>
    <w:qFormat/>
    <w:uiPriority w:val="0"/>
    <w:pPr>
      <w:jc w:val="left"/>
    </w:p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Normal (Web)"/>
    <w:basedOn w:val="1"/>
    <w:next w:val="1"/>
    <w:qFormat/>
    <w:uiPriority w:val="0"/>
    <w:pPr>
      <w:spacing w:before="100" w:beforeAutospacing="1" w:after="100" w:afterAutospacing="1"/>
      <w:ind w:left="0" w:right="0"/>
      <w:jc w:val="left"/>
    </w:pPr>
    <w:rPr>
      <w:kern w:val="0"/>
      <w:sz w:val="24"/>
      <w:lang w:val="en-US" w:eastAsia="zh-CN" w:bidi="ar"/>
    </w:rPr>
  </w:style>
  <w:style w:type="character" w:styleId="16">
    <w:name w:val="Strong"/>
    <w:basedOn w:val="15"/>
    <w:qFormat/>
    <w:uiPriority w:val="0"/>
    <w:rPr>
      <w:b/>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6659</Words>
  <Characters>7442</Characters>
  <Lines>0</Lines>
  <Paragraphs>0</Paragraphs>
  <TotalTime>59</TotalTime>
  <ScaleCrop>false</ScaleCrop>
  <LinksUpToDate>false</LinksUpToDate>
  <CharactersWithSpaces>7453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2025-04-11T04:28:43Z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B4284AC96858466993E9B657FF130EC4</vt:lpwstr>
  </property>
</Properties>
</file>