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EC218F">
      <w:pPr>
        <w:keepNext w:val="0"/>
        <w:keepLines w:val="0"/>
        <w:pageBreakBefore w:val="0"/>
        <w:widowControl w:val="0"/>
        <w:kinsoku/>
        <w:wordWrap/>
        <w:overflowPunct/>
        <w:topLinePunct w:val="0"/>
        <w:bidi w:val="0"/>
        <w:adjustRightInd/>
        <w:snapToGrid/>
        <w:spacing w:line="240" w:lineRule="auto"/>
        <w:textAlignment w:val="auto"/>
        <w:rPr>
          <w:rFonts w:hint="eastAsia" w:ascii="黑体" w:hAnsi="黑体" w:eastAsia="黑体"/>
          <w:color w:val="auto"/>
          <w:sz w:val="32"/>
          <w:szCs w:val="32"/>
          <w:highlight w:val="none"/>
          <w:lang w:eastAsia="zh-CN"/>
        </w:rPr>
      </w:pPr>
    </w:p>
    <w:p w14:paraId="3CF88C26">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14:paraId="10D13654">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沙湾市园林绿化中心</w:t>
      </w:r>
    </w:p>
    <w:p w14:paraId="0700C649">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14:paraId="0776867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14:paraId="1DD0E17A">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14:paraId="4C09AED0">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14:paraId="31E7B3B3">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14:paraId="2943EFF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14:paraId="1A5EED2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14:paraId="2B1A723C">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14:paraId="2B8DF95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14:paraId="187DC66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14:paraId="6C4577E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14:paraId="74815EC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14:paraId="5F9C262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14:paraId="2A91D06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14:paraId="4D85D3C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2079F11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14:paraId="71FFD6D1">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14:paraId="5892488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10AA4D2D">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14:paraId="00E5C05D">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14:paraId="07BF5856">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14:paraId="5252CF2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14:paraId="595C519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14:paraId="78FD0813">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14:paraId="1C2A6184">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14:paraId="66A171A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14:paraId="0D19F90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14:paraId="28B674A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14:paraId="124A2A1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14:paraId="6F057BC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14:paraId="5FC7C34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14:paraId="4E1A470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14:paraId="70D10DD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14:paraId="2907D0A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14:paraId="3C976F80">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14:paraId="3AD46079">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14:paraId="07331F6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14:paraId="146E931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14:paraId="678CE1E4">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eastAsia" w:ascii="仿宋_GB2312" w:eastAsia="仿宋_GB2312"/>
          <w:sz w:val="32"/>
          <w:szCs w:val="32"/>
          <w:highlight w:val="none"/>
        </w:rPr>
      </w:pPr>
      <w:bookmarkStart w:id="4" w:name="_Toc31238"/>
      <w:bookmarkStart w:id="5" w:name="_Toc2151"/>
      <w:r>
        <w:rPr>
          <w:rFonts w:hint="eastAsia" w:ascii="仿宋_GB2312" w:eastAsia="仿宋_GB2312"/>
          <w:sz w:val="32"/>
          <w:szCs w:val="32"/>
          <w:highlight w:val="none"/>
        </w:rPr>
        <w:t>（1）城市绿地系统规划：根据城市总体规划参与编制城市绿地系统规划，确定城市绿化建设的目标和指标。</w:t>
      </w:r>
      <w:r>
        <w:rPr>
          <w:rFonts w:hint="eastAsia" w:ascii="仿宋_GB2312" w:eastAsia="仿宋_GB2312"/>
          <w:sz w:val="32"/>
          <w:szCs w:val="32"/>
          <w:highlight w:val="none"/>
        </w:rPr>
        <w:br w:type="textWrapping"/>
      </w:r>
      <w:r>
        <w:rPr>
          <w:rFonts w:hint="eastAsia" w:ascii="仿宋_GB2312" w:eastAsia="仿宋_GB2312"/>
          <w:sz w:val="32"/>
          <w:szCs w:val="32"/>
          <w:highlight w:val="none"/>
        </w:rPr>
        <w:t>　　（2）城市园林绿地建设：组织实施城市公共绿地、道路绿地、防护绿地、生产绿地的建设；组织实施全民义务植树；</w:t>
      </w:r>
      <w:r>
        <w:rPr>
          <w:rFonts w:hint="eastAsia" w:ascii="仿宋_GB2312" w:eastAsia="仿宋_GB2312"/>
          <w:sz w:val="32"/>
          <w:szCs w:val="32"/>
          <w:highlight w:val="none"/>
          <w:lang w:val="en-US" w:eastAsia="zh-CN"/>
        </w:rPr>
        <w:t>检查</w:t>
      </w:r>
      <w:r>
        <w:rPr>
          <w:rFonts w:hint="eastAsia" w:ascii="仿宋_GB2312" w:eastAsia="仿宋_GB2312"/>
          <w:sz w:val="32"/>
          <w:szCs w:val="32"/>
          <w:highlight w:val="none"/>
        </w:rPr>
        <w:t>、指导单位附属绿地、居住区绿地等庭院绿化的建设。</w:t>
      </w:r>
      <w:r>
        <w:rPr>
          <w:rFonts w:hint="eastAsia" w:ascii="仿宋_GB2312" w:eastAsia="仿宋_GB2312"/>
          <w:sz w:val="32"/>
          <w:szCs w:val="32"/>
          <w:highlight w:val="none"/>
        </w:rPr>
        <w:br w:type="textWrapping"/>
      </w:r>
      <w:r>
        <w:rPr>
          <w:rFonts w:hint="eastAsia" w:ascii="仿宋_GB2312" w:eastAsia="仿宋_GB2312"/>
          <w:sz w:val="32"/>
          <w:szCs w:val="32"/>
          <w:highlight w:val="none"/>
        </w:rPr>
        <w:t>　　（3）城市园林绿地管理与维护：对现有城市公共绿地、道路绿地、防护绿地、生产绿地以及城市绿化设施进行管理与维护。</w:t>
      </w:r>
      <w:r>
        <w:rPr>
          <w:rFonts w:hint="eastAsia" w:ascii="仿宋_GB2312" w:eastAsia="仿宋_GB2312"/>
          <w:sz w:val="32"/>
          <w:szCs w:val="32"/>
          <w:highlight w:val="none"/>
        </w:rPr>
        <w:br w:type="textWrapping"/>
      </w:r>
      <w:r>
        <w:rPr>
          <w:rFonts w:hint="eastAsia" w:ascii="仿宋_GB2312" w:eastAsia="仿宋_GB2312"/>
          <w:sz w:val="32"/>
          <w:szCs w:val="32"/>
          <w:highlight w:val="none"/>
        </w:rPr>
        <w:t>　　（4）负责城市绿化管理和执法工作。依据《城市绿化条例》及有关法律、法规和规章，对损坏城市绿地、花草、树木、园林绿化设施及乱砍树木等方面的违法、违章行为进行</w:t>
      </w:r>
      <w:r>
        <w:rPr>
          <w:rFonts w:hint="eastAsia" w:ascii="仿宋_GB2312" w:eastAsia="仿宋_GB2312"/>
          <w:sz w:val="32"/>
          <w:szCs w:val="32"/>
          <w:highlight w:val="none"/>
          <w:lang w:val="en-US" w:eastAsia="zh-CN"/>
        </w:rPr>
        <w:t>检查</w:t>
      </w:r>
      <w:r>
        <w:rPr>
          <w:rFonts w:hint="eastAsia" w:ascii="仿宋_GB2312" w:eastAsia="仿宋_GB2312"/>
          <w:sz w:val="32"/>
          <w:szCs w:val="32"/>
          <w:highlight w:val="none"/>
        </w:rPr>
        <w:t>。</w:t>
      </w:r>
      <w:r>
        <w:rPr>
          <w:rFonts w:hint="eastAsia" w:ascii="仿宋_GB2312" w:eastAsia="仿宋_GB2312"/>
          <w:sz w:val="32"/>
          <w:szCs w:val="32"/>
          <w:highlight w:val="none"/>
        </w:rPr>
        <w:br w:type="textWrapping"/>
      </w:r>
      <w:r>
        <w:rPr>
          <w:rFonts w:hint="eastAsia" w:ascii="仿宋_GB2312" w:eastAsia="仿宋_GB2312"/>
          <w:sz w:val="32"/>
          <w:szCs w:val="32"/>
          <w:highlight w:val="none"/>
        </w:rPr>
        <w:t>　　（</w:t>
      </w:r>
      <w:r>
        <w:rPr>
          <w:rFonts w:hint="eastAsia" w:ascii="仿宋_GB2312" w:eastAsia="仿宋_GB2312"/>
          <w:sz w:val="32"/>
          <w:szCs w:val="32"/>
          <w:highlight w:val="none"/>
          <w:lang w:val="en-US" w:eastAsia="zh-CN"/>
        </w:rPr>
        <w:t>5</w:t>
      </w:r>
      <w:r>
        <w:rPr>
          <w:rFonts w:hint="eastAsia" w:ascii="仿宋_GB2312" w:eastAsia="仿宋_GB2312"/>
          <w:sz w:val="32"/>
          <w:szCs w:val="32"/>
          <w:highlight w:val="none"/>
        </w:rPr>
        <w:t>）负责全市各大广场的环境卫生保洁与管理；</w:t>
      </w:r>
      <w:r>
        <w:rPr>
          <w:rFonts w:hint="eastAsia" w:ascii="仿宋_GB2312" w:eastAsia="仿宋_GB2312"/>
          <w:sz w:val="32"/>
          <w:szCs w:val="32"/>
          <w:highlight w:val="none"/>
        </w:rPr>
        <w:br w:type="textWrapping"/>
      </w:r>
      <w:r>
        <w:rPr>
          <w:rFonts w:hint="eastAsia" w:ascii="仿宋_GB2312" w:eastAsia="仿宋_GB2312"/>
          <w:sz w:val="32"/>
          <w:szCs w:val="32"/>
          <w:highlight w:val="none"/>
        </w:rPr>
        <w:t>　　（</w:t>
      </w:r>
      <w:r>
        <w:rPr>
          <w:rFonts w:hint="eastAsia" w:ascii="仿宋_GB2312" w:eastAsia="仿宋_GB2312"/>
          <w:sz w:val="32"/>
          <w:szCs w:val="32"/>
          <w:highlight w:val="none"/>
          <w:lang w:val="en-US" w:eastAsia="zh-CN"/>
        </w:rPr>
        <w:t>6</w:t>
      </w:r>
      <w:r>
        <w:rPr>
          <w:rFonts w:hint="eastAsia" w:ascii="仿宋_GB2312" w:eastAsia="仿宋_GB2312"/>
          <w:sz w:val="32"/>
          <w:szCs w:val="32"/>
          <w:highlight w:val="none"/>
        </w:rPr>
        <w:t>）负责广场的园林绿化管理；</w:t>
      </w:r>
      <w:r>
        <w:rPr>
          <w:rFonts w:hint="eastAsia" w:ascii="仿宋_GB2312" w:eastAsia="仿宋_GB2312"/>
          <w:sz w:val="32"/>
          <w:szCs w:val="32"/>
          <w:highlight w:val="none"/>
        </w:rPr>
        <w:br w:type="textWrapping"/>
      </w:r>
      <w:r>
        <w:rPr>
          <w:rFonts w:hint="eastAsia" w:ascii="仿宋_GB2312" w:eastAsia="仿宋_GB2312"/>
          <w:sz w:val="32"/>
          <w:szCs w:val="32"/>
          <w:highlight w:val="none"/>
        </w:rPr>
        <w:t>　　（</w:t>
      </w:r>
      <w:r>
        <w:rPr>
          <w:rFonts w:hint="eastAsia" w:ascii="仿宋_GB2312" w:eastAsia="仿宋_GB2312"/>
          <w:sz w:val="32"/>
          <w:szCs w:val="32"/>
          <w:highlight w:val="none"/>
          <w:lang w:val="en-US" w:eastAsia="zh-CN"/>
        </w:rPr>
        <w:t>7</w:t>
      </w:r>
      <w:r>
        <w:rPr>
          <w:rFonts w:hint="eastAsia" w:ascii="仿宋_GB2312" w:eastAsia="仿宋_GB2312"/>
          <w:sz w:val="32"/>
          <w:szCs w:val="32"/>
          <w:highlight w:val="none"/>
        </w:rPr>
        <w:t>）负责广场设备与设施的管理和维护；</w:t>
      </w:r>
      <w:r>
        <w:rPr>
          <w:rFonts w:hint="eastAsia" w:ascii="仿宋_GB2312" w:eastAsia="仿宋_GB2312"/>
          <w:sz w:val="32"/>
          <w:szCs w:val="32"/>
          <w:highlight w:val="none"/>
        </w:rPr>
        <w:br w:type="textWrapping"/>
      </w:r>
      <w:r>
        <w:rPr>
          <w:rFonts w:hint="eastAsia" w:ascii="仿宋_GB2312" w:eastAsia="仿宋_GB2312"/>
          <w:sz w:val="32"/>
          <w:szCs w:val="32"/>
          <w:highlight w:val="none"/>
        </w:rPr>
        <w:t>　　（</w:t>
      </w:r>
      <w:r>
        <w:rPr>
          <w:rFonts w:hint="eastAsia" w:ascii="仿宋_GB2312" w:eastAsia="仿宋_GB2312"/>
          <w:sz w:val="32"/>
          <w:szCs w:val="32"/>
          <w:highlight w:val="none"/>
          <w:lang w:val="en-US" w:eastAsia="zh-CN"/>
        </w:rPr>
        <w:t>8</w:t>
      </w:r>
      <w:r>
        <w:rPr>
          <w:rFonts w:hint="eastAsia" w:ascii="仿宋_GB2312" w:eastAsia="仿宋_GB2312"/>
          <w:sz w:val="32"/>
          <w:szCs w:val="32"/>
          <w:highlight w:val="none"/>
        </w:rPr>
        <w:t>）完成市住房和城乡建设局、园林处交办的其他工作。</w:t>
      </w:r>
    </w:p>
    <w:p w14:paraId="54049B36">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eastAsia" w:ascii="黑体" w:hAnsi="黑体" w:eastAsia="黑体" w:cs="宋体"/>
          <w:bCs/>
          <w:color w:val="auto"/>
          <w:kern w:val="0"/>
          <w:sz w:val="32"/>
          <w:szCs w:val="32"/>
          <w:highlight w:val="none"/>
        </w:rPr>
      </w:pP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9</w:t>
      </w:r>
      <w:r>
        <w:rPr>
          <w:rFonts w:hint="eastAsia" w:ascii="仿宋_GB2312" w:eastAsia="仿宋_GB2312"/>
          <w:sz w:val="32"/>
          <w:szCs w:val="32"/>
          <w:highlight w:val="none"/>
        </w:rPr>
        <w:t>）完成市委、</w:t>
      </w:r>
      <w:r>
        <w:rPr>
          <w:rFonts w:hint="eastAsia" w:ascii="仿宋_GB2312" w:eastAsia="仿宋_GB2312"/>
          <w:sz w:val="32"/>
          <w:szCs w:val="32"/>
          <w:highlight w:val="none"/>
          <w:lang w:val="en-US" w:eastAsia="zh-CN"/>
        </w:rPr>
        <w:t>市</w:t>
      </w:r>
      <w:r>
        <w:rPr>
          <w:rFonts w:hint="eastAsia" w:ascii="仿宋_GB2312" w:eastAsia="仿宋_GB2312"/>
          <w:sz w:val="32"/>
          <w:szCs w:val="32"/>
          <w:highlight w:val="none"/>
        </w:rPr>
        <w:t>政府、住房和城乡建设局交办的其他事项。</w:t>
      </w:r>
      <w:r>
        <w:rPr>
          <w:rFonts w:hint="eastAsia" w:ascii="仿宋_GB2312" w:eastAsia="仿宋_GB2312"/>
          <w:sz w:val="32"/>
          <w:szCs w:val="32"/>
          <w:highlight w:val="none"/>
        </w:rPr>
        <w:br w:type="textWrapping"/>
      </w:r>
      <w:r>
        <w:rPr>
          <w:rFonts w:hint="eastAsia" w:ascii="仿宋_GB2312" w:eastAsia="仿宋_GB2312"/>
          <w:sz w:val="32"/>
          <w:szCs w:val="32"/>
          <w:highlight w:val="none"/>
          <w:lang w:val="en-US" w:eastAsia="zh-CN"/>
        </w:rPr>
        <w:t xml:space="preserve">    </w:t>
      </w: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14:paraId="2B60D22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沙湾市园林绿化中心</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35</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19</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16</w:t>
      </w:r>
      <w:r>
        <w:rPr>
          <w:rFonts w:hint="eastAsia" w:ascii="仿宋_GB2312" w:eastAsia="仿宋_GB2312"/>
          <w:color w:val="auto"/>
          <w:sz w:val="32"/>
          <w:szCs w:val="32"/>
          <w:highlight w:val="none"/>
        </w:rPr>
        <w:t>人。</w:t>
      </w:r>
    </w:p>
    <w:p w14:paraId="27C52CEE">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eastAsia" w:ascii="仿宋_GB2312" w:eastAsia="仿宋_GB2312"/>
          <w:sz w:val="32"/>
          <w:szCs w:val="32"/>
          <w:highlight w:val="none"/>
          <w:lang w:eastAsia="zh-CN"/>
        </w:rPr>
      </w:pPr>
      <w:bookmarkStart w:id="6" w:name="_Toc29374"/>
      <w:bookmarkStart w:id="7" w:name="_Toc3092"/>
      <w:r>
        <w:rPr>
          <w:rFonts w:hint="eastAsia" w:ascii="仿宋_GB2312" w:eastAsia="仿宋_GB2312"/>
          <w:sz w:val="32"/>
          <w:szCs w:val="32"/>
          <w:highlight w:val="none"/>
          <w:lang w:eastAsia="zh-CN"/>
        </w:rPr>
        <w:t>单位无下属预算单位，下设6个处室，分别是：办公室、绿化队、广场管理所、花房、庭院绿化科、机械队。</w:t>
      </w:r>
    </w:p>
    <w:p w14:paraId="29A4D064">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eastAsia" w:ascii="仿宋_GB2312" w:eastAsia="仿宋_GB2312"/>
          <w:sz w:val="32"/>
          <w:szCs w:val="32"/>
          <w:highlight w:val="none"/>
          <w:lang w:eastAsia="zh-CN"/>
        </w:rPr>
      </w:pPr>
    </w:p>
    <w:p w14:paraId="6530275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14:paraId="6563200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14:paraId="12B17B5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397.51万元，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397.51万元，使用非财政拨款结余0.00万元，年初结转和结余0.00万元。</w:t>
      </w:r>
    </w:p>
    <w:p w14:paraId="2F98947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397.51万元，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397.51万元，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14:paraId="3FC8202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val="zh-CN" w:eastAsia="zh-CN"/>
        </w:rPr>
        <w:t>减少617.97万元</w:t>
      </w:r>
      <w:r>
        <w:rPr>
          <w:rFonts w:hint="eastAsia" w:ascii="仿宋_GB2312" w:eastAsia="仿宋_GB2312"/>
          <w:color w:val="auto"/>
          <w:spacing w:val="0"/>
          <w:sz w:val="32"/>
          <w:szCs w:val="32"/>
          <w:highlight w:val="none"/>
          <w:lang w:val="en-US" w:eastAsia="zh-CN"/>
        </w:rPr>
        <w:t>，下降60.85%，主要原因是：我单位财聘人员转入社会化服务公司，2023 年减少财聘人员工资、社保等，还有在职人员减少 1 人。</w:t>
      </w:r>
    </w:p>
    <w:p w14:paraId="33C2012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14:paraId="691DE1B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397.51</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397.51</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100.00%</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p>
    <w:p w14:paraId="00874CF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14:paraId="05F108B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本年支出397.51万元，其中：基本支出328.95万元，占82.75%；项目支出68.56万元，占17.25%；上缴上级支出0.00万元，占0.00%；经营支出0.00万元，占0.00%；对附属单位补助支出0.00万元，占0.00%。</w:t>
      </w:r>
    </w:p>
    <w:p w14:paraId="35B95F0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14:paraId="4952281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397.51</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397.51</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397.51</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397.51</w:t>
      </w:r>
      <w:r>
        <w:rPr>
          <w:rFonts w:hint="eastAsia" w:ascii="仿宋_GB2312" w:eastAsia="仿宋_GB2312"/>
          <w:color w:val="auto"/>
          <w:spacing w:val="0"/>
          <w:sz w:val="32"/>
          <w:szCs w:val="32"/>
          <w:highlight w:val="none"/>
          <w:lang w:eastAsia="zh-CN"/>
        </w:rPr>
        <w:t>万元。</w:t>
      </w:r>
    </w:p>
    <w:p w14:paraId="121F612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财政拨款收入支出总体与上年相比,</w:t>
      </w:r>
      <w:r>
        <w:rPr>
          <w:rFonts w:hint="eastAsia" w:ascii="仿宋_GB2312" w:eastAsia="仿宋_GB2312"/>
          <w:color w:val="auto"/>
          <w:spacing w:val="0"/>
          <w:sz w:val="32"/>
          <w:szCs w:val="32"/>
          <w:highlight w:val="none"/>
          <w:lang w:val="zh-CN" w:eastAsia="zh-CN"/>
        </w:rPr>
        <w:t>减少617.97万元</w:t>
      </w:r>
      <w:r>
        <w:rPr>
          <w:rFonts w:hint="eastAsia" w:ascii="仿宋_GB2312" w:eastAsia="仿宋_GB2312"/>
          <w:color w:val="auto"/>
          <w:spacing w:val="0"/>
          <w:sz w:val="32"/>
          <w:szCs w:val="32"/>
          <w:highlight w:val="none"/>
          <w:lang w:val="en-US" w:eastAsia="zh-CN"/>
        </w:rPr>
        <w:t>，下降60.85%,主要原因是：我单位财聘转入社会化服务公司，2023 年减少财聘人员工资、社保等，还有在职人员减少 1 人。</w:t>
      </w:r>
    </w:p>
    <w:p w14:paraId="7C7E10A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362.79</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397.51</w:t>
      </w:r>
      <w:r>
        <w:rPr>
          <w:rFonts w:hint="eastAsia" w:ascii="仿宋_GB2312" w:eastAsia="仿宋_GB2312"/>
          <w:color w:val="auto"/>
          <w:spacing w:val="0"/>
          <w:sz w:val="32"/>
          <w:szCs w:val="32"/>
          <w:highlight w:val="none"/>
          <w:lang w:eastAsia="zh-CN"/>
        </w:rPr>
        <w:t>万元，预决算差异率9.57%，主要原因是：</w:t>
      </w:r>
      <w:r>
        <w:rPr>
          <w:rFonts w:hint="eastAsia" w:ascii="仿宋_GB2312" w:hAnsi="仿宋" w:eastAsia="仿宋_GB2312" w:cs="Times New Roman"/>
          <w:sz w:val="32"/>
          <w:szCs w:val="32"/>
          <w:lang w:val="en-US" w:eastAsia="zh-CN"/>
        </w:rPr>
        <w:t>年中追加了2022-2023年在职及退休基础绩效奖，</w:t>
      </w:r>
      <w:r>
        <w:rPr>
          <w:rFonts w:hint="eastAsia" w:ascii="仿宋_GB2312" w:hAnsi="仿宋" w:eastAsia="仿宋_GB2312" w:cs="Times New Roman"/>
          <w:sz w:val="32"/>
          <w:szCs w:val="32"/>
          <w:highlight w:val="none"/>
          <w:lang w:val="en-US" w:eastAsia="zh-CN"/>
        </w:rPr>
        <w:t>为民办实事</w:t>
      </w:r>
      <w:r>
        <w:rPr>
          <w:rFonts w:hint="eastAsia" w:ascii="仿宋_GB2312" w:hAnsi="仿宋" w:eastAsia="仿宋_GB2312" w:cs="Times New Roman"/>
          <w:sz w:val="32"/>
          <w:szCs w:val="32"/>
          <w:lang w:val="en-US" w:eastAsia="zh-CN"/>
        </w:rPr>
        <w:t>工作经费，财聘人员工伤生活护理费、伤残津贴项目</w:t>
      </w:r>
      <w:r>
        <w:rPr>
          <w:rFonts w:hint="eastAsia" w:ascii="仿宋_GB2312" w:hAnsi="仿宋" w:eastAsia="仿宋_GB2312" w:cs="Times New Roman"/>
          <w:sz w:val="32"/>
          <w:szCs w:val="32"/>
        </w:rPr>
        <w:t>。</w:t>
      </w:r>
    </w:p>
    <w:p w14:paraId="0649EBB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14:paraId="72D8097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14:paraId="5DB8CA49">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2023年度一般公共预算财政拨款支出397.51万元，占本年支出合计的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减少617.97万元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下降60.85%,</w:t>
      </w:r>
      <w:r>
        <w:rPr>
          <w:rFonts w:hint="eastAsia" w:ascii="仿宋_GB2312" w:eastAsia="仿宋_GB2312"/>
          <w:color w:val="auto"/>
          <w:spacing w:val="0"/>
          <w:sz w:val="32"/>
          <w:szCs w:val="32"/>
          <w:highlight w:val="none"/>
          <w:lang w:eastAsia="zh-CN"/>
        </w:rPr>
        <w:t>主要原因是：我单位财聘转入社会化服务公司，2023 年减少财聘人员的工资、社保等，还有在职人员减少 1 人。</w:t>
      </w:r>
    </w:p>
    <w:p w14:paraId="5593BAB2">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362.79</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397.51</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9.57%</w:t>
      </w:r>
      <w:r>
        <w:rPr>
          <w:rFonts w:hint="eastAsia" w:ascii="仿宋_GB2312" w:eastAsia="仿宋_GB2312"/>
          <w:color w:val="auto"/>
          <w:spacing w:val="0"/>
          <w:sz w:val="32"/>
          <w:szCs w:val="32"/>
          <w:highlight w:val="none"/>
          <w:lang w:eastAsia="zh-CN"/>
        </w:rPr>
        <w:t>，主要原因是：</w:t>
      </w:r>
      <w:r>
        <w:rPr>
          <w:rFonts w:hint="eastAsia" w:ascii="仿宋_GB2312" w:hAnsi="仿宋" w:eastAsia="仿宋_GB2312" w:cs="Times New Roman"/>
          <w:sz w:val="32"/>
          <w:szCs w:val="32"/>
          <w:lang w:val="en-US" w:eastAsia="zh-CN"/>
        </w:rPr>
        <w:t>年中追加了2022-2023年在职及退休基础绩效奖，</w:t>
      </w:r>
      <w:r>
        <w:rPr>
          <w:rFonts w:hint="eastAsia" w:ascii="仿宋_GB2312" w:hAnsi="仿宋" w:eastAsia="仿宋_GB2312" w:cs="Times New Roman"/>
          <w:sz w:val="32"/>
          <w:szCs w:val="32"/>
          <w:highlight w:val="none"/>
          <w:lang w:val="en-US" w:eastAsia="zh-CN"/>
        </w:rPr>
        <w:t>为民办实事工</w:t>
      </w:r>
      <w:r>
        <w:rPr>
          <w:rFonts w:hint="eastAsia" w:ascii="仿宋_GB2312" w:hAnsi="仿宋" w:eastAsia="仿宋_GB2312" w:cs="Times New Roman"/>
          <w:sz w:val="32"/>
          <w:szCs w:val="32"/>
          <w:lang w:val="en-US" w:eastAsia="zh-CN"/>
        </w:rPr>
        <w:t>作经费，财聘人员工伤生活护理费、伤残津贴项目</w:t>
      </w:r>
      <w:r>
        <w:rPr>
          <w:rFonts w:hint="eastAsia" w:ascii="仿宋_GB2312" w:eastAsia="仿宋_GB2312"/>
          <w:color w:val="auto"/>
          <w:spacing w:val="0"/>
          <w:sz w:val="32"/>
          <w:szCs w:val="32"/>
          <w:highlight w:val="none"/>
          <w:lang w:eastAsia="zh-CN"/>
        </w:rPr>
        <w:t>。</w:t>
      </w:r>
    </w:p>
    <w:p w14:paraId="7620C2B4">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14:paraId="763C4881">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000000" w:themeColor="text1"/>
          <w:spacing w:val="0"/>
          <w:kern w:val="2"/>
          <w:sz w:val="32"/>
          <w:szCs w:val="32"/>
          <w:highlight w:val="none"/>
          <w:lang w:val="zh-CN" w:eastAsia="zh-CN" w:bidi="ar-SA"/>
          <w14:textFill>
            <w14:solidFill>
              <w14:schemeClr w14:val="tx1"/>
            </w14:solidFill>
          </w14:textFill>
        </w:rPr>
      </w:pPr>
      <w:r>
        <w:rPr>
          <w:rFonts w:hint="eastAsia" w:ascii="仿宋_GB2312" w:eastAsia="仿宋_GB2312" w:cs="Times New Roman"/>
          <w:color w:val="000000" w:themeColor="text1"/>
          <w:spacing w:val="0"/>
          <w:kern w:val="2"/>
          <w:sz w:val="32"/>
          <w:szCs w:val="32"/>
          <w:highlight w:val="none"/>
          <w:lang w:val="en-US" w:eastAsia="zh-CN" w:bidi="ar-SA"/>
          <w14:textFill>
            <w14:solidFill>
              <w14:schemeClr w14:val="tx1"/>
            </w14:solidFill>
          </w14:textFill>
        </w:rPr>
        <w:t>1</w:t>
      </w:r>
      <w:r>
        <w:rPr>
          <w:rFonts w:hint="default" w:ascii="仿宋_GB2312" w:hAnsi="Times New Roman" w:eastAsia="仿宋_GB2312" w:cs="Times New Roman"/>
          <w:color w:val="000000" w:themeColor="text1"/>
          <w:spacing w:val="0"/>
          <w:kern w:val="2"/>
          <w:sz w:val="32"/>
          <w:szCs w:val="32"/>
          <w:highlight w:val="none"/>
          <w:lang w:val="zh-CN" w:eastAsia="zh-CN" w:bidi="ar-SA"/>
          <w14:textFill>
            <w14:solidFill>
              <w14:schemeClr w14:val="tx1"/>
            </w14:solidFill>
          </w14:textFill>
        </w:rPr>
        <w:t>.社会保障和就业支出（类）</w:t>
      </w:r>
      <w:r>
        <w:rPr>
          <w:rFonts w:hint="eastAsia" w:ascii="仿宋_GB2312" w:hAnsi="Times New Roman" w:eastAsia="仿宋_GB2312" w:cs="Times New Roman"/>
          <w:color w:val="000000" w:themeColor="text1"/>
          <w:spacing w:val="0"/>
          <w:kern w:val="2"/>
          <w:sz w:val="32"/>
          <w:szCs w:val="32"/>
          <w:highlight w:val="none"/>
          <w:lang w:val="zh-CN" w:eastAsia="zh-CN" w:bidi="ar-SA"/>
          <w14:textFill>
            <w14:solidFill>
              <w14:schemeClr w14:val="tx1"/>
            </w14:solidFill>
          </w14:textFill>
        </w:rPr>
        <w:t>42.45</w:t>
      </w:r>
      <w:r>
        <w:rPr>
          <w:rFonts w:hint="default" w:ascii="仿宋_GB2312" w:hAnsi="Times New Roman" w:eastAsia="仿宋_GB2312" w:cs="Times New Roman"/>
          <w:color w:val="000000" w:themeColor="text1"/>
          <w:spacing w:val="0"/>
          <w:kern w:val="2"/>
          <w:sz w:val="32"/>
          <w:szCs w:val="32"/>
          <w:highlight w:val="none"/>
          <w:lang w:val="zh-CN" w:eastAsia="zh-CN" w:bidi="ar-SA"/>
          <w14:textFill>
            <w14:solidFill>
              <w14:schemeClr w14:val="tx1"/>
            </w14:solidFill>
          </w14:textFill>
        </w:rPr>
        <w:t>万元，占</w:t>
      </w:r>
      <w:r>
        <w:rPr>
          <w:rFonts w:hint="eastAsia" w:ascii="仿宋_GB2312" w:eastAsia="仿宋_GB2312" w:cs="Times New Roman"/>
          <w:color w:val="000000" w:themeColor="text1"/>
          <w:spacing w:val="0"/>
          <w:kern w:val="2"/>
          <w:sz w:val="32"/>
          <w:szCs w:val="32"/>
          <w:highlight w:val="none"/>
          <w:lang w:val="zh-CN" w:eastAsia="zh-CN" w:bidi="ar-SA"/>
          <w14:textFill>
            <w14:solidFill>
              <w14:schemeClr w14:val="tx1"/>
            </w14:solidFill>
          </w14:textFill>
        </w:rPr>
        <w:t>10.68%</w:t>
      </w:r>
      <w:r>
        <w:rPr>
          <w:rFonts w:hint="default" w:ascii="仿宋_GB2312" w:hAnsi="Times New Roman" w:eastAsia="仿宋_GB2312" w:cs="Times New Roman"/>
          <w:color w:val="000000" w:themeColor="text1"/>
          <w:spacing w:val="0"/>
          <w:kern w:val="2"/>
          <w:sz w:val="32"/>
          <w:szCs w:val="32"/>
          <w:highlight w:val="none"/>
          <w:lang w:val="zh-CN" w:eastAsia="zh-CN" w:bidi="ar-SA"/>
          <w14:textFill>
            <w14:solidFill>
              <w14:schemeClr w14:val="tx1"/>
            </w14:solidFill>
          </w14:textFill>
        </w:rPr>
        <w:t>；</w:t>
      </w:r>
    </w:p>
    <w:p w14:paraId="1898BCC9">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000000" w:themeColor="text1"/>
          <w:spacing w:val="0"/>
          <w:kern w:val="2"/>
          <w:sz w:val="32"/>
          <w:szCs w:val="32"/>
          <w:highlight w:val="none"/>
          <w:lang w:val="zh-CN" w:eastAsia="zh-CN" w:bidi="ar-SA"/>
          <w14:textFill>
            <w14:solidFill>
              <w14:schemeClr w14:val="tx1"/>
            </w14:solidFill>
          </w14:textFill>
        </w:rPr>
      </w:pPr>
      <w:r>
        <w:rPr>
          <w:rFonts w:hint="eastAsia" w:ascii="仿宋_GB2312" w:eastAsia="仿宋_GB2312" w:cs="Times New Roman"/>
          <w:color w:val="000000" w:themeColor="text1"/>
          <w:spacing w:val="0"/>
          <w:kern w:val="2"/>
          <w:sz w:val="32"/>
          <w:szCs w:val="32"/>
          <w:highlight w:val="none"/>
          <w:lang w:val="en-US" w:eastAsia="zh-CN" w:bidi="ar-SA"/>
          <w14:textFill>
            <w14:solidFill>
              <w14:schemeClr w14:val="tx1"/>
            </w14:solidFill>
          </w14:textFill>
        </w:rPr>
        <w:t>2</w:t>
      </w:r>
      <w:r>
        <w:rPr>
          <w:rFonts w:hint="default" w:ascii="仿宋_GB2312" w:hAnsi="Times New Roman" w:eastAsia="仿宋_GB2312" w:cs="Times New Roman"/>
          <w:color w:val="000000" w:themeColor="text1"/>
          <w:spacing w:val="0"/>
          <w:kern w:val="2"/>
          <w:sz w:val="32"/>
          <w:szCs w:val="32"/>
          <w:highlight w:val="none"/>
          <w:lang w:val="zh-CN" w:eastAsia="zh-CN" w:bidi="ar-SA"/>
          <w14:textFill>
            <w14:solidFill>
              <w14:schemeClr w14:val="tx1"/>
            </w14:solidFill>
          </w14:textFill>
        </w:rPr>
        <w:t>.卫生健康支出（类）</w:t>
      </w:r>
      <w:r>
        <w:rPr>
          <w:rFonts w:hint="eastAsia" w:ascii="仿宋_GB2312" w:hAnsi="Times New Roman" w:eastAsia="仿宋_GB2312" w:cs="Times New Roman"/>
          <w:color w:val="000000" w:themeColor="text1"/>
          <w:spacing w:val="0"/>
          <w:kern w:val="2"/>
          <w:sz w:val="32"/>
          <w:szCs w:val="32"/>
          <w:highlight w:val="none"/>
          <w:lang w:val="zh-CN" w:eastAsia="zh-CN" w:bidi="ar-SA"/>
          <w14:textFill>
            <w14:solidFill>
              <w14:schemeClr w14:val="tx1"/>
            </w14:solidFill>
          </w14:textFill>
        </w:rPr>
        <w:t>12.93</w:t>
      </w:r>
      <w:r>
        <w:rPr>
          <w:rFonts w:hint="default" w:ascii="仿宋_GB2312" w:hAnsi="Times New Roman" w:eastAsia="仿宋_GB2312" w:cs="Times New Roman"/>
          <w:color w:val="000000" w:themeColor="text1"/>
          <w:spacing w:val="0"/>
          <w:kern w:val="2"/>
          <w:sz w:val="32"/>
          <w:szCs w:val="32"/>
          <w:highlight w:val="none"/>
          <w:lang w:val="zh-CN" w:eastAsia="zh-CN" w:bidi="ar-SA"/>
          <w14:textFill>
            <w14:solidFill>
              <w14:schemeClr w14:val="tx1"/>
            </w14:solidFill>
          </w14:textFill>
        </w:rPr>
        <w:t>万元，占</w:t>
      </w:r>
      <w:r>
        <w:rPr>
          <w:rFonts w:hint="eastAsia" w:ascii="仿宋_GB2312" w:eastAsia="仿宋_GB2312" w:cs="Times New Roman"/>
          <w:color w:val="000000" w:themeColor="text1"/>
          <w:spacing w:val="0"/>
          <w:kern w:val="2"/>
          <w:sz w:val="32"/>
          <w:szCs w:val="32"/>
          <w:highlight w:val="none"/>
          <w:lang w:val="zh-CN" w:eastAsia="zh-CN" w:bidi="ar-SA"/>
          <w14:textFill>
            <w14:solidFill>
              <w14:schemeClr w14:val="tx1"/>
            </w14:solidFill>
          </w14:textFill>
        </w:rPr>
        <w:t>3.25%</w:t>
      </w:r>
      <w:r>
        <w:rPr>
          <w:rFonts w:hint="default" w:ascii="仿宋_GB2312" w:hAnsi="Times New Roman" w:eastAsia="仿宋_GB2312" w:cs="Times New Roman"/>
          <w:color w:val="000000" w:themeColor="text1"/>
          <w:spacing w:val="0"/>
          <w:kern w:val="2"/>
          <w:sz w:val="32"/>
          <w:szCs w:val="32"/>
          <w:highlight w:val="none"/>
          <w:lang w:val="zh-CN" w:eastAsia="zh-CN" w:bidi="ar-SA"/>
          <w14:textFill>
            <w14:solidFill>
              <w14:schemeClr w14:val="tx1"/>
            </w14:solidFill>
          </w14:textFill>
        </w:rPr>
        <w:t>；</w:t>
      </w:r>
    </w:p>
    <w:p w14:paraId="694867BB">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eastAsia" w:ascii="仿宋_GB2312" w:hAnsi="仿宋_GB2312" w:eastAsia="仿宋_GB2312" w:cs="仿宋_GB2312"/>
          <w:color w:val="000000" w:themeColor="text1"/>
          <w:spacing w:val="0"/>
          <w:kern w:val="2"/>
          <w:sz w:val="32"/>
          <w:szCs w:val="32"/>
          <w:highlight w:val="none"/>
          <w:lang w:val="zh-CN" w:eastAsia="zh-CN" w:bidi="ar-SA"/>
          <w14:textFill>
            <w14:solidFill>
              <w14:schemeClr w14:val="tx1"/>
            </w14:solidFill>
          </w14:textFill>
        </w:rPr>
      </w:pPr>
      <w:r>
        <w:rPr>
          <w:rFonts w:hint="eastAsia" w:ascii="仿宋_GB2312" w:hAnsi="仿宋_GB2312" w:eastAsia="仿宋_GB2312" w:cs="仿宋_GB2312"/>
          <w:color w:val="000000" w:themeColor="text1"/>
          <w:spacing w:val="0"/>
          <w:kern w:val="2"/>
          <w:sz w:val="32"/>
          <w:szCs w:val="32"/>
          <w:highlight w:val="none"/>
          <w:lang w:val="en-US" w:eastAsia="zh-CN" w:bidi="ar-SA"/>
          <w14:textFill>
            <w14:solidFill>
              <w14:schemeClr w14:val="tx1"/>
            </w14:solidFill>
          </w14:textFill>
        </w:rPr>
        <w:t>3</w:t>
      </w:r>
      <w:r>
        <w:rPr>
          <w:rFonts w:hint="eastAsia" w:ascii="仿宋_GB2312" w:hAnsi="仿宋_GB2312" w:eastAsia="仿宋_GB2312" w:cs="仿宋_GB2312"/>
          <w:color w:val="000000" w:themeColor="text1"/>
          <w:spacing w:val="0"/>
          <w:kern w:val="2"/>
          <w:sz w:val="32"/>
          <w:szCs w:val="32"/>
          <w:highlight w:val="none"/>
          <w:lang w:val="zh-CN" w:eastAsia="zh-CN" w:bidi="ar-SA"/>
          <w14:textFill>
            <w14:solidFill>
              <w14:schemeClr w14:val="tx1"/>
            </w14:solidFill>
          </w14:textFill>
        </w:rPr>
        <w:t>.</w:t>
      </w:r>
      <w:r>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t>城乡社区支出（类）314.33万元，占 79.07%；</w:t>
      </w:r>
    </w:p>
    <w:p w14:paraId="7D8780F8">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000000" w:themeColor="text1"/>
          <w:spacing w:val="0"/>
          <w:kern w:val="2"/>
          <w:sz w:val="32"/>
          <w:szCs w:val="32"/>
          <w:highlight w:val="none"/>
          <w:lang w:val="zh-CN" w:eastAsia="zh-CN" w:bidi="ar-SA"/>
          <w14:textFill>
            <w14:solidFill>
              <w14:schemeClr w14:val="tx1"/>
            </w14:solidFill>
          </w14:textFill>
        </w:rPr>
      </w:pPr>
      <w:r>
        <w:rPr>
          <w:rFonts w:hint="eastAsia" w:ascii="仿宋_GB2312" w:eastAsia="仿宋_GB2312" w:cs="Times New Roman"/>
          <w:color w:val="000000" w:themeColor="text1"/>
          <w:spacing w:val="0"/>
          <w:kern w:val="2"/>
          <w:sz w:val="32"/>
          <w:szCs w:val="32"/>
          <w:highlight w:val="none"/>
          <w:lang w:val="en-US" w:eastAsia="zh-CN" w:bidi="ar-SA"/>
          <w14:textFill>
            <w14:solidFill>
              <w14:schemeClr w14:val="tx1"/>
            </w14:solidFill>
          </w14:textFill>
        </w:rPr>
        <w:t>4</w:t>
      </w:r>
      <w:r>
        <w:rPr>
          <w:rFonts w:hint="default" w:ascii="仿宋_GB2312" w:hAnsi="Times New Roman" w:eastAsia="仿宋_GB2312" w:cs="Times New Roman"/>
          <w:color w:val="000000" w:themeColor="text1"/>
          <w:spacing w:val="0"/>
          <w:kern w:val="2"/>
          <w:sz w:val="32"/>
          <w:szCs w:val="32"/>
          <w:highlight w:val="none"/>
          <w:lang w:val="zh-CN" w:eastAsia="zh-CN" w:bidi="ar-SA"/>
          <w14:textFill>
            <w14:solidFill>
              <w14:schemeClr w14:val="tx1"/>
            </w14:solidFill>
          </w14:textFill>
        </w:rPr>
        <w:t>.住房保障支出（类）</w:t>
      </w:r>
      <w:r>
        <w:rPr>
          <w:rFonts w:hint="eastAsia" w:ascii="仿宋_GB2312" w:hAnsi="Times New Roman" w:eastAsia="仿宋_GB2312" w:cs="Times New Roman"/>
          <w:color w:val="000000" w:themeColor="text1"/>
          <w:spacing w:val="0"/>
          <w:kern w:val="2"/>
          <w:sz w:val="32"/>
          <w:szCs w:val="32"/>
          <w:highlight w:val="none"/>
          <w:lang w:val="zh-CN" w:eastAsia="zh-CN" w:bidi="ar-SA"/>
          <w14:textFill>
            <w14:solidFill>
              <w14:schemeClr w14:val="tx1"/>
            </w14:solidFill>
          </w14:textFill>
        </w:rPr>
        <w:t>22.</w:t>
      </w:r>
      <w:r>
        <w:rPr>
          <w:rFonts w:hint="eastAsia" w:ascii="仿宋_GB2312" w:eastAsia="仿宋_GB2312" w:cs="Times New Roman"/>
          <w:color w:val="000000" w:themeColor="text1"/>
          <w:spacing w:val="0"/>
          <w:kern w:val="2"/>
          <w:sz w:val="32"/>
          <w:szCs w:val="32"/>
          <w:highlight w:val="none"/>
          <w:lang w:val="en-US" w:eastAsia="zh-CN" w:bidi="ar-SA"/>
          <w14:textFill>
            <w14:solidFill>
              <w14:schemeClr w14:val="tx1"/>
            </w14:solidFill>
          </w14:textFill>
        </w:rPr>
        <w:t>79</w:t>
      </w:r>
      <w:r>
        <w:rPr>
          <w:rFonts w:hint="default" w:ascii="仿宋_GB2312" w:hAnsi="Times New Roman" w:eastAsia="仿宋_GB2312" w:cs="Times New Roman"/>
          <w:color w:val="000000" w:themeColor="text1"/>
          <w:spacing w:val="0"/>
          <w:kern w:val="2"/>
          <w:sz w:val="32"/>
          <w:szCs w:val="32"/>
          <w:highlight w:val="none"/>
          <w:lang w:val="zh-CN" w:eastAsia="zh-CN" w:bidi="ar-SA"/>
          <w14:textFill>
            <w14:solidFill>
              <w14:schemeClr w14:val="tx1"/>
            </w14:solidFill>
          </w14:textFill>
        </w:rPr>
        <w:t>万元，占</w:t>
      </w:r>
      <w:r>
        <w:rPr>
          <w:rFonts w:hint="eastAsia" w:ascii="仿宋_GB2312" w:eastAsia="仿宋_GB2312" w:cs="Times New Roman"/>
          <w:color w:val="000000" w:themeColor="text1"/>
          <w:spacing w:val="0"/>
          <w:kern w:val="2"/>
          <w:sz w:val="32"/>
          <w:szCs w:val="32"/>
          <w:highlight w:val="none"/>
          <w:lang w:val="zh-CN" w:eastAsia="zh-CN" w:bidi="ar-SA"/>
          <w14:textFill>
            <w14:solidFill>
              <w14:schemeClr w14:val="tx1"/>
            </w14:solidFill>
          </w14:textFill>
        </w:rPr>
        <w:t>5.7</w:t>
      </w:r>
      <w:r>
        <w:rPr>
          <w:rFonts w:hint="eastAsia" w:ascii="仿宋_GB2312" w:eastAsia="仿宋_GB2312" w:cs="Times New Roman"/>
          <w:color w:val="000000" w:themeColor="text1"/>
          <w:spacing w:val="0"/>
          <w:kern w:val="2"/>
          <w:sz w:val="32"/>
          <w:szCs w:val="32"/>
          <w:highlight w:val="none"/>
          <w:lang w:val="en-US" w:eastAsia="zh-CN" w:bidi="ar-SA"/>
          <w14:textFill>
            <w14:solidFill>
              <w14:schemeClr w14:val="tx1"/>
            </w14:solidFill>
          </w14:textFill>
        </w:rPr>
        <w:t>3</w:t>
      </w:r>
      <w:bookmarkStart w:id="48" w:name="_GoBack"/>
      <w:bookmarkEnd w:id="48"/>
      <w:r>
        <w:rPr>
          <w:rFonts w:hint="eastAsia" w:ascii="仿宋_GB2312" w:eastAsia="仿宋_GB2312" w:cs="Times New Roman"/>
          <w:color w:val="000000" w:themeColor="text1"/>
          <w:spacing w:val="0"/>
          <w:kern w:val="2"/>
          <w:sz w:val="32"/>
          <w:szCs w:val="32"/>
          <w:highlight w:val="none"/>
          <w:lang w:val="zh-CN" w:eastAsia="zh-CN" w:bidi="ar-SA"/>
          <w14:textFill>
            <w14:solidFill>
              <w14:schemeClr w14:val="tx1"/>
            </w14:solidFill>
          </w14:textFill>
        </w:rPr>
        <w:t>%</w:t>
      </w:r>
      <w:r>
        <w:rPr>
          <w:rFonts w:hint="default" w:ascii="仿宋_GB2312" w:hAnsi="Times New Roman" w:eastAsia="仿宋_GB2312" w:cs="Times New Roman"/>
          <w:color w:val="000000" w:themeColor="text1"/>
          <w:spacing w:val="0"/>
          <w:kern w:val="2"/>
          <w:sz w:val="32"/>
          <w:szCs w:val="32"/>
          <w:highlight w:val="none"/>
          <w:lang w:val="zh-CN" w:eastAsia="zh-CN" w:bidi="ar-SA"/>
          <w14:textFill>
            <w14:solidFill>
              <w14:schemeClr w14:val="tx1"/>
            </w14:solidFill>
          </w14:textFill>
        </w:rPr>
        <w:t>；</w:t>
      </w:r>
    </w:p>
    <w:p w14:paraId="37C00F75">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000000" w:themeColor="text1"/>
          <w:spacing w:val="0"/>
          <w:kern w:val="2"/>
          <w:sz w:val="32"/>
          <w:szCs w:val="32"/>
          <w:highlight w:val="none"/>
          <w:lang w:val="zh-CN" w:eastAsia="zh-CN" w:bidi="ar-SA"/>
          <w14:textFill>
            <w14:solidFill>
              <w14:schemeClr w14:val="tx1"/>
            </w14:solidFill>
          </w14:textFill>
        </w:rPr>
      </w:pPr>
      <w:r>
        <w:rPr>
          <w:rFonts w:hint="eastAsia" w:ascii="仿宋_GB2312" w:eastAsia="仿宋_GB2312" w:cs="Times New Roman"/>
          <w:color w:val="000000" w:themeColor="text1"/>
          <w:spacing w:val="0"/>
          <w:kern w:val="2"/>
          <w:sz w:val="32"/>
          <w:szCs w:val="32"/>
          <w:highlight w:val="none"/>
          <w:lang w:val="en-US" w:eastAsia="zh-CN" w:bidi="ar-SA"/>
          <w14:textFill>
            <w14:solidFill>
              <w14:schemeClr w14:val="tx1"/>
            </w14:solidFill>
          </w14:textFill>
        </w:rPr>
        <w:t>5</w:t>
      </w:r>
      <w:r>
        <w:rPr>
          <w:rFonts w:hint="default" w:ascii="仿宋_GB2312" w:hAnsi="Times New Roman" w:eastAsia="仿宋_GB2312" w:cs="Times New Roman"/>
          <w:color w:val="000000" w:themeColor="text1"/>
          <w:spacing w:val="0"/>
          <w:kern w:val="2"/>
          <w:sz w:val="32"/>
          <w:szCs w:val="32"/>
          <w:highlight w:val="none"/>
          <w:lang w:val="zh-CN" w:eastAsia="zh-CN" w:bidi="ar-SA"/>
          <w14:textFill>
            <w14:solidFill>
              <w14:schemeClr w14:val="tx1"/>
            </w14:solidFill>
          </w14:textFill>
        </w:rPr>
        <w:t>.其他支出（类）</w:t>
      </w:r>
      <w:r>
        <w:rPr>
          <w:rFonts w:hint="eastAsia" w:ascii="仿宋_GB2312" w:hAnsi="Times New Roman" w:eastAsia="仿宋_GB2312" w:cs="Times New Roman"/>
          <w:color w:val="000000" w:themeColor="text1"/>
          <w:spacing w:val="0"/>
          <w:kern w:val="2"/>
          <w:sz w:val="32"/>
          <w:szCs w:val="32"/>
          <w:highlight w:val="none"/>
          <w:lang w:val="zh-CN" w:eastAsia="zh-CN" w:bidi="ar-SA"/>
          <w14:textFill>
            <w14:solidFill>
              <w14:schemeClr w14:val="tx1"/>
            </w14:solidFill>
          </w14:textFill>
        </w:rPr>
        <w:t>5.00</w:t>
      </w:r>
      <w:r>
        <w:rPr>
          <w:rFonts w:hint="default" w:ascii="仿宋_GB2312" w:hAnsi="Times New Roman" w:eastAsia="仿宋_GB2312" w:cs="Times New Roman"/>
          <w:color w:val="000000" w:themeColor="text1"/>
          <w:spacing w:val="0"/>
          <w:kern w:val="2"/>
          <w:sz w:val="32"/>
          <w:szCs w:val="32"/>
          <w:highlight w:val="none"/>
          <w:lang w:val="zh-CN" w:eastAsia="zh-CN" w:bidi="ar-SA"/>
          <w14:textFill>
            <w14:solidFill>
              <w14:schemeClr w14:val="tx1"/>
            </w14:solidFill>
          </w14:textFill>
        </w:rPr>
        <w:t>万元，占</w:t>
      </w:r>
      <w:r>
        <w:rPr>
          <w:rFonts w:hint="eastAsia" w:ascii="仿宋_GB2312" w:eastAsia="仿宋_GB2312" w:cs="Times New Roman"/>
          <w:color w:val="000000" w:themeColor="text1"/>
          <w:spacing w:val="0"/>
          <w:kern w:val="2"/>
          <w:sz w:val="32"/>
          <w:szCs w:val="32"/>
          <w:highlight w:val="none"/>
          <w:lang w:val="zh-CN" w:eastAsia="zh-CN" w:bidi="ar-SA"/>
          <w14:textFill>
            <w14:solidFill>
              <w14:schemeClr w14:val="tx1"/>
            </w14:solidFill>
          </w14:textFill>
        </w:rPr>
        <w:t>1.26%</w:t>
      </w:r>
      <w:r>
        <w:rPr>
          <w:rFonts w:hint="default" w:ascii="仿宋_GB2312" w:hAnsi="Times New Roman" w:eastAsia="仿宋_GB2312" w:cs="Times New Roman"/>
          <w:color w:val="000000" w:themeColor="text1"/>
          <w:spacing w:val="0"/>
          <w:kern w:val="2"/>
          <w:sz w:val="32"/>
          <w:szCs w:val="32"/>
          <w:highlight w:val="none"/>
          <w:lang w:val="zh-CN" w:eastAsia="zh-CN" w:bidi="ar-SA"/>
          <w14:textFill>
            <w14:solidFill>
              <w14:schemeClr w14:val="tx1"/>
            </w14:solidFill>
          </w14:textFill>
        </w:rPr>
        <w:t>；</w:t>
      </w:r>
    </w:p>
    <w:p w14:paraId="5EA7D46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14:paraId="0431F08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FF0000"/>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1.卫生健康支出（类）行政事业单位医疗（款）事业单位医疗（项）:支出决算数为12.93万元，比上年决算减少5.71万元，下降30.63%，主要原因是：</w:t>
      </w:r>
      <w:r>
        <w:rPr>
          <w:rFonts w:hint="eastAsia" w:ascii="仿宋_GB2312" w:eastAsia="仿宋_GB2312"/>
          <w:color w:val="auto"/>
          <w:sz w:val="32"/>
          <w:szCs w:val="32"/>
        </w:rPr>
        <w:t>2022年7月1日沙湾市园林绿化中心城区园林绿化、广场管理等业务工作由政府购买服务的社会化公司沙湾康洁荣葳环境服务有限公司负责，原我单位财聘转入社会化服务公司，2023年较2022年减少财聘人员社保</w:t>
      </w:r>
      <w:r>
        <w:rPr>
          <w:rFonts w:hint="eastAsia" w:ascii="仿宋_GB2312" w:eastAsia="仿宋_GB2312"/>
          <w:color w:val="auto"/>
          <w:sz w:val="32"/>
          <w:szCs w:val="32"/>
          <w:lang w:eastAsia="zh-CN"/>
        </w:rPr>
        <w:t>、</w:t>
      </w:r>
      <w:r>
        <w:rPr>
          <w:rFonts w:hint="eastAsia" w:ascii="仿宋_GB2312" w:eastAsia="仿宋_GB2312"/>
          <w:color w:val="auto"/>
          <w:sz w:val="32"/>
          <w:szCs w:val="32"/>
          <w:lang w:val="en-US" w:eastAsia="zh-CN"/>
        </w:rPr>
        <w:t>医保</w:t>
      </w:r>
      <w:r>
        <w:rPr>
          <w:rFonts w:hint="eastAsia" w:ascii="仿宋_GB2312" w:eastAsia="仿宋_GB2312"/>
          <w:color w:val="auto"/>
          <w:sz w:val="32"/>
          <w:szCs w:val="32"/>
        </w:rPr>
        <w:t>等</w:t>
      </w:r>
      <w:r>
        <w:rPr>
          <w:rFonts w:hint="eastAsia" w:ascii="仿宋_GB2312" w:eastAsia="仿宋_GB2312"/>
          <w:color w:val="auto"/>
          <w:sz w:val="32"/>
          <w:szCs w:val="32"/>
          <w:lang w:eastAsia="zh-CN"/>
        </w:rPr>
        <w:t>。</w:t>
      </w:r>
    </w:p>
    <w:p w14:paraId="3201FE7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2.城乡社区支出（类）城乡社区环境卫生（款）城乡社区环境卫生（项）:支出决算数为314.33万元，比上年决算减少623.44万元，下降66.48%，主要原因是：</w:t>
      </w:r>
      <w:r>
        <w:rPr>
          <w:rFonts w:hint="eastAsia" w:ascii="仿宋_GB2312" w:eastAsia="仿宋_GB2312"/>
          <w:color w:val="auto"/>
          <w:sz w:val="32"/>
          <w:szCs w:val="32"/>
        </w:rPr>
        <w:t>2022年7月1日沙湾市园林绿化中心城区园林绿化、广场管理等业务工作由政府购买服务的社会化公司沙湾康洁荣葳环境服务有限公司负责，原我单位财聘转入社会化服务公司，</w:t>
      </w:r>
      <w:r>
        <w:rPr>
          <w:rFonts w:hint="eastAsia" w:ascii="仿宋_GB2312" w:eastAsia="仿宋_GB2312"/>
          <w:color w:val="auto"/>
          <w:sz w:val="32"/>
          <w:szCs w:val="32"/>
          <w:lang w:val="en-US" w:eastAsia="zh-CN"/>
        </w:rPr>
        <w:t>减少</w:t>
      </w:r>
      <w:r>
        <w:rPr>
          <w:rFonts w:hint="eastAsia" w:ascii="仿宋_GB2312" w:eastAsia="仿宋_GB2312"/>
          <w:color w:val="auto"/>
          <w:sz w:val="32"/>
          <w:szCs w:val="32"/>
        </w:rPr>
        <w:t>财聘</w:t>
      </w:r>
      <w:r>
        <w:rPr>
          <w:rFonts w:hint="eastAsia" w:ascii="仿宋_GB2312" w:eastAsia="仿宋_GB2312"/>
          <w:color w:val="auto"/>
          <w:sz w:val="32"/>
          <w:szCs w:val="32"/>
          <w:lang w:val="en-US" w:eastAsia="zh-CN"/>
        </w:rPr>
        <w:t>生活补助</w:t>
      </w:r>
      <w:r>
        <w:rPr>
          <w:rFonts w:hint="eastAsia" w:ascii="仿宋_GB2312" w:eastAsia="仿宋_GB2312"/>
          <w:color w:val="auto"/>
          <w:sz w:val="32"/>
          <w:szCs w:val="32"/>
          <w:lang w:eastAsia="zh-CN"/>
        </w:rPr>
        <w:t>，</w:t>
      </w:r>
      <w:r>
        <w:rPr>
          <w:rFonts w:hint="eastAsia" w:ascii="仿宋_GB2312" w:eastAsia="仿宋_GB2312"/>
          <w:color w:val="auto"/>
          <w:sz w:val="32"/>
          <w:szCs w:val="32"/>
          <w:lang w:val="en-US" w:eastAsia="zh-CN"/>
        </w:rPr>
        <w:t>减少城市绿化专用材料费用，2023年8月在职减少1人</w:t>
      </w:r>
      <w:r>
        <w:rPr>
          <w:rFonts w:hint="eastAsia" w:ascii="仿宋_GB2312" w:hAnsi="仿宋_GB2312" w:eastAsia="仿宋_GB2312" w:cs="仿宋_GB2312"/>
          <w:color w:val="auto"/>
          <w:kern w:val="2"/>
          <w:sz w:val="32"/>
          <w:szCs w:val="32"/>
          <w:highlight w:val="none"/>
          <w:lang w:val="zh-CN" w:eastAsia="zh-CN" w:bidi="ar-SA"/>
        </w:rPr>
        <w:t>。</w:t>
      </w:r>
    </w:p>
    <w:p w14:paraId="4EBE374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3.住房保障支出（类）住房改革支出（款）住房公积金（项）:支出决算数为22.79万元，比上年决算增加0.63万元，增长2.84%，主要原因是：</w:t>
      </w:r>
      <w:r>
        <w:rPr>
          <w:rFonts w:hint="eastAsia" w:ascii="仿宋_GB2312" w:eastAsia="仿宋_GB2312"/>
          <w:sz w:val="32"/>
          <w:szCs w:val="32"/>
          <w:highlight w:val="none"/>
          <w:lang w:val="en-US" w:eastAsia="zh-CN"/>
        </w:rPr>
        <w:t>因2023年7月住房公积金基数调整，增加在职人员住房公积金支出</w:t>
      </w:r>
      <w:r>
        <w:rPr>
          <w:rFonts w:hint="eastAsia" w:ascii="仿宋_GB2312" w:hAnsi="仿宋_GB2312" w:eastAsia="仿宋_GB2312" w:cs="仿宋_GB2312"/>
          <w:color w:val="auto"/>
          <w:kern w:val="2"/>
          <w:sz w:val="32"/>
          <w:szCs w:val="32"/>
          <w:highlight w:val="none"/>
          <w:lang w:val="zh-CN" w:eastAsia="zh-CN" w:bidi="ar-SA"/>
        </w:rPr>
        <w:t>。</w:t>
      </w:r>
    </w:p>
    <w:p w14:paraId="1BFD13E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4.社会保障和就业支出（类）行政事业单位养老支出（款）事业单位离退休（项）:支出决算数为8.69万元，比上年决算增加3.50万元，增长67.44%，主要原因是</w:t>
      </w:r>
      <w:r>
        <w:rPr>
          <w:rFonts w:hint="eastAsia" w:ascii="仿宋_GB2312" w:hAnsi="仿宋" w:eastAsia="仿宋_GB2312" w:cs="Times New Roman"/>
          <w:sz w:val="32"/>
          <w:szCs w:val="32"/>
          <w:lang w:val="en-US" w:eastAsia="zh-CN"/>
        </w:rPr>
        <w:t>年中追加了2022-2023年退休基础绩效奖，2023年3月在职转退休1人，</w:t>
      </w:r>
      <w:r>
        <w:rPr>
          <w:rFonts w:hint="eastAsia" w:ascii="仿宋_GB2312" w:hAnsi="仿宋_GB2312" w:eastAsia="仿宋_GB2312" w:cs="仿宋_GB2312"/>
          <w:color w:val="auto"/>
          <w:kern w:val="2"/>
          <w:sz w:val="32"/>
          <w:szCs w:val="32"/>
          <w:highlight w:val="none"/>
          <w:lang w:val="en-US" w:eastAsia="zh-CN" w:bidi="ar-SA"/>
        </w:rPr>
        <w:t>事业单位离退休增长</w:t>
      </w:r>
      <w:r>
        <w:rPr>
          <w:rFonts w:hint="eastAsia" w:ascii="仿宋_GB2312" w:hAnsi="仿宋_GB2312" w:eastAsia="仿宋_GB2312" w:cs="仿宋_GB2312"/>
          <w:color w:val="auto"/>
          <w:kern w:val="2"/>
          <w:sz w:val="32"/>
          <w:szCs w:val="32"/>
          <w:highlight w:val="none"/>
          <w:lang w:val="zh-CN" w:eastAsia="zh-CN" w:bidi="ar-SA"/>
        </w:rPr>
        <w:t>。</w:t>
      </w:r>
    </w:p>
    <w:p w14:paraId="254310B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5.社会保障和就业支出（类）行政事业单位养老支出（款）机关事业单位职业年金缴费支出（项）:支出决算数为4.67万元，比上年决算增加4.67万元，增长100%，主要原因是：2023年3月在职转退休1人，机关事业单位职业年金缴费支出增长</w:t>
      </w:r>
      <w:r>
        <w:rPr>
          <w:rFonts w:hint="eastAsia" w:ascii="仿宋_GB2312" w:hAnsi="仿宋_GB2312" w:eastAsia="仿宋_GB2312" w:cs="仿宋_GB2312"/>
          <w:color w:val="auto"/>
          <w:kern w:val="2"/>
          <w:sz w:val="32"/>
          <w:szCs w:val="32"/>
          <w:highlight w:val="none"/>
          <w:lang w:val="zh-CN" w:eastAsia="zh-CN" w:bidi="ar-SA"/>
        </w:rPr>
        <w:t>。</w:t>
      </w:r>
    </w:p>
    <w:p w14:paraId="0CFE61B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6.其他支出（类）其他支出（款）其他支出（项）:支出决算数为5.00万元，比上年决算增加0.00万元，增长0.00%，主要原因是：我单位每年为民办实事工作经费是5万元无变化</w:t>
      </w:r>
      <w:r>
        <w:rPr>
          <w:rFonts w:hint="eastAsia" w:ascii="仿宋_GB2312" w:hAnsi="仿宋_GB2312" w:eastAsia="仿宋_GB2312" w:cs="仿宋_GB2312"/>
          <w:color w:val="auto"/>
          <w:kern w:val="2"/>
          <w:sz w:val="32"/>
          <w:szCs w:val="32"/>
          <w:highlight w:val="none"/>
          <w:lang w:val="zh-CN" w:eastAsia="zh-CN" w:bidi="ar-SA"/>
        </w:rPr>
        <w:t>。</w:t>
      </w:r>
    </w:p>
    <w:p w14:paraId="2F5041B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7.社会保障和就业支出（类）行政事业单位养老支出（款）机关事业单位基本养老保险缴费支出（项）:支出决算数为29.09万元，比上年决算增加2.38万元，增长8.91%，主要原因是：</w:t>
      </w:r>
      <w:r>
        <w:rPr>
          <w:rFonts w:hint="eastAsia" w:ascii="仿宋_GB2312" w:eastAsia="仿宋_GB2312"/>
          <w:sz w:val="32"/>
          <w:szCs w:val="32"/>
          <w:highlight w:val="none"/>
          <w:lang w:val="en-US" w:eastAsia="zh-CN"/>
        </w:rPr>
        <w:t>因2023年年初机关事业养老保险基数调整，增加了养老保险支出。</w:t>
      </w:r>
    </w:p>
    <w:p w14:paraId="3BE0D4E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14:paraId="224ECF7A">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328.95</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318.85</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基本工资、津贴补贴、奖金、绩效工资、机关事业单位基本养老保险缴费、职业年金缴费、职工基本医疗保险缴费、其他社会保障缴费、住房公积金、退休费、奖励金。</w:t>
      </w:r>
    </w:p>
    <w:p w14:paraId="40A0E801">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10.10</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办公费、电费、邮电费、取暖费、租赁费、培训费、工会经费、其他交通费用。</w:t>
      </w:r>
      <w:r>
        <w:rPr>
          <w:rFonts w:hint="eastAsia" w:ascii="仿宋_GB2312" w:eastAsia="仿宋_GB2312"/>
          <w:color w:val="FFFFFF" w:themeColor="background1"/>
          <w:sz w:val="32"/>
          <w:szCs w:val="32"/>
          <w:highlight w:val="none"/>
          <w:lang w:eastAsia="zh-CN"/>
          <w14:textFill>
            <w14:solidFill>
              <w14:schemeClr w14:val="bg1"/>
            </w14:solidFill>
          </w14:textFill>
        </w:rPr>
        <w:t>。</w:t>
      </w:r>
    </w:p>
    <w:p w14:paraId="40D6280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14:paraId="34D00BAB">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sz w:val="32"/>
          <w:szCs w:val="32"/>
          <w:highlight w:val="none"/>
        </w:rPr>
        <w:t>我单位无财政拨款“三公”经费支出。</w:t>
      </w:r>
      <w:r>
        <w:rPr>
          <w:rFonts w:hint="eastAsia" w:ascii="仿宋_GB2312" w:eastAsia="仿宋_GB2312"/>
          <w:color w:val="auto"/>
          <w:sz w:val="32"/>
          <w:szCs w:val="32"/>
          <w:highlight w:val="none"/>
          <w:lang w:val="zh-CN" w:eastAsia="zh-CN"/>
        </w:rPr>
        <w:t>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sz w:val="32"/>
          <w:szCs w:val="32"/>
          <w:highlight w:val="none"/>
        </w:rPr>
        <w:t>我单位无因公出国（境）费支出</w:t>
      </w:r>
      <w:r>
        <w:rPr>
          <w:rFonts w:hint="eastAsia" w:ascii="仿宋_GB2312" w:eastAsia="仿宋_GB2312"/>
          <w:color w:val="auto"/>
          <w:sz w:val="32"/>
          <w:szCs w:val="32"/>
          <w:highlight w:val="none"/>
          <w:lang w:val="zh-CN" w:eastAsia="zh-CN"/>
        </w:rPr>
        <w:t>；公务用车购置及运行维护费支出0.00万元，占0.00%，比上年增加0.00万元，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sz w:val="32"/>
          <w:szCs w:val="32"/>
          <w:highlight w:val="none"/>
        </w:rPr>
        <w:t>我单位无公务用车购置及运行维护费支出</w:t>
      </w:r>
      <w:r>
        <w:rPr>
          <w:rFonts w:hint="eastAsia" w:ascii="仿宋_GB2312" w:eastAsia="仿宋_GB2312"/>
          <w:color w:val="auto"/>
          <w:sz w:val="32"/>
          <w:szCs w:val="32"/>
          <w:highlight w:val="none"/>
          <w:lang w:val="zh-CN" w:eastAsia="zh-CN"/>
        </w:rPr>
        <w:t>；公务接待费支出0.00万元，占0.00%，比上年增加0.00万元，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sz w:val="32"/>
          <w:szCs w:val="32"/>
          <w:highlight w:val="none"/>
        </w:rPr>
        <w:t>我单位无公务接待费支出。</w:t>
      </w:r>
    </w:p>
    <w:p w14:paraId="7797C787">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14:paraId="36185BB0">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因公出国（境）费支出0.00万元，开支内容包括因公出国（境）费支出，</w:t>
      </w:r>
      <w:r>
        <w:rPr>
          <w:rFonts w:hint="eastAsia" w:ascii="仿宋_GB2312" w:eastAsia="仿宋_GB2312"/>
          <w:sz w:val="32"/>
          <w:szCs w:val="32"/>
          <w:highlight w:val="none"/>
        </w:rPr>
        <w:t>我单位无因公出国（境）费支出。</w:t>
      </w:r>
      <w:r>
        <w:rPr>
          <w:rFonts w:hint="eastAsia" w:ascii="仿宋_GB2312" w:eastAsia="仿宋_GB2312"/>
          <w:color w:val="auto"/>
          <w:sz w:val="32"/>
          <w:szCs w:val="32"/>
          <w:highlight w:val="none"/>
          <w:lang w:val="zh-CN" w:eastAsia="zh-CN"/>
        </w:rPr>
        <w:t>单位全年安排的因公出国（境）团组0个，因公出国（境）0人次。</w:t>
      </w:r>
    </w:p>
    <w:p w14:paraId="6923BA34">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w:t>
      </w:r>
      <w:r>
        <w:rPr>
          <w:rFonts w:hint="eastAsia" w:ascii="仿宋_GB2312" w:eastAsia="仿宋_GB2312"/>
          <w:sz w:val="32"/>
          <w:szCs w:val="32"/>
          <w:highlight w:val="none"/>
        </w:rPr>
        <w:t>我单位无公务用车运行维护费开支。</w:t>
      </w:r>
      <w:r>
        <w:rPr>
          <w:rFonts w:hint="eastAsia" w:ascii="仿宋_GB2312" w:eastAsia="仿宋_GB2312"/>
          <w:color w:val="auto"/>
          <w:sz w:val="32"/>
          <w:szCs w:val="32"/>
          <w:highlight w:val="none"/>
          <w:lang w:val="zh-CN" w:eastAsia="zh-CN"/>
        </w:rPr>
        <w:t>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7辆，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sz w:val="32"/>
          <w:szCs w:val="32"/>
          <w:highlight w:val="none"/>
          <w:lang w:eastAsia="zh-CN"/>
        </w:rPr>
        <w:t>本单位</w:t>
      </w:r>
      <w:r>
        <w:rPr>
          <w:rFonts w:hint="eastAsia" w:ascii="仿宋_GB2312" w:eastAsia="仿宋_GB2312"/>
          <w:sz w:val="32"/>
          <w:szCs w:val="32"/>
          <w:highlight w:val="none"/>
          <w:lang w:val="en-US" w:eastAsia="zh-CN"/>
        </w:rPr>
        <w:t>7</w:t>
      </w:r>
      <w:r>
        <w:rPr>
          <w:rFonts w:hint="eastAsia" w:ascii="仿宋_GB2312" w:eastAsia="仿宋_GB2312"/>
          <w:sz w:val="32"/>
          <w:szCs w:val="32"/>
          <w:highlight w:val="none"/>
          <w:lang w:eastAsia="zh-CN"/>
        </w:rPr>
        <w:t>辆其他用车是特种专业用车（高空作业车，洒水车、轻卡车、水车、载货车和园林执法检查车等），主要用于修树，浇水，绿地日常养护，绿化带垃圾、落叶、树根、碎石杂物进行及时清理，对积雪压倒的绿篱、灌木修剪扶正等等，</w:t>
      </w:r>
      <w:r>
        <w:rPr>
          <w:rFonts w:hint="eastAsia" w:ascii="仿宋_GB2312" w:eastAsia="仿宋_GB2312"/>
          <w:sz w:val="32"/>
          <w:szCs w:val="32"/>
          <w:highlight w:val="none"/>
          <w:lang w:val="en-US" w:eastAsia="zh-CN"/>
        </w:rPr>
        <w:t>正常使用无差异</w:t>
      </w:r>
      <w:r>
        <w:rPr>
          <w:rFonts w:hint="eastAsia" w:ascii="仿宋_GB2312" w:eastAsia="仿宋_GB2312"/>
          <w:color w:val="auto"/>
          <w:sz w:val="32"/>
          <w:szCs w:val="32"/>
          <w:highlight w:val="none"/>
          <w:lang w:val="zh-CN" w:eastAsia="zh-CN"/>
        </w:rPr>
        <w:t>。</w:t>
      </w:r>
    </w:p>
    <w:p w14:paraId="4335AAC7">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sz w:val="32"/>
          <w:szCs w:val="32"/>
          <w:highlight w:val="none"/>
        </w:rPr>
        <w:t>我单位无公务接待费</w:t>
      </w:r>
      <w:r>
        <w:rPr>
          <w:rFonts w:hint="eastAsia" w:ascii="仿宋_GB2312" w:eastAsia="仿宋_GB2312"/>
          <w:color w:val="auto"/>
          <w:sz w:val="32"/>
          <w:szCs w:val="32"/>
          <w:highlight w:val="none"/>
          <w:lang w:val="zh-CN" w:eastAsia="zh-CN"/>
        </w:rPr>
        <w:t>。单位全年安排的国内公务接待0批次，0人次。</w:t>
      </w:r>
    </w:p>
    <w:p w14:paraId="05F9F5BB">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highlight w:val="none"/>
        </w:rPr>
        <w:t>我单位未安排财政拨款“三公”经费支出，预决算无差异</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sz w:val="32"/>
          <w:szCs w:val="32"/>
          <w:highlight w:val="none"/>
          <w:lang w:eastAsia="zh-CN"/>
        </w:rPr>
        <w:t>我单位未安排因公出国（境）费，预决算无差异</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highlight w:val="none"/>
        </w:rPr>
        <w:t>我单位未安排公务用车购置费</w:t>
      </w:r>
      <w:r>
        <w:rPr>
          <w:rFonts w:hint="eastAsia" w:ascii="仿宋_GB2312" w:hAnsi="宋体" w:eastAsia="仿宋_GB2312" w:cs="宋体"/>
          <w:kern w:val="0"/>
          <w:sz w:val="32"/>
          <w:szCs w:val="32"/>
          <w:highlight w:val="none"/>
        </w:rPr>
        <w:t>，预决算无差异</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hAnsi="宋体" w:eastAsia="仿宋_GB2312" w:cs="宋体"/>
          <w:kern w:val="0"/>
          <w:sz w:val="32"/>
          <w:szCs w:val="32"/>
          <w:highlight w:val="none"/>
        </w:rPr>
        <w:t>我单位未安排公务用车运行费</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highlight w:val="none"/>
        </w:rPr>
        <w:t>我单位未安排公务接待费，预决算无差异</w:t>
      </w:r>
      <w:r>
        <w:rPr>
          <w:rFonts w:hint="eastAsia" w:ascii="仿宋_GB2312" w:eastAsia="仿宋_GB2312"/>
          <w:color w:val="auto"/>
          <w:sz w:val="32"/>
          <w:szCs w:val="32"/>
          <w:highlight w:val="none"/>
          <w:lang w:val="zh-CN" w:eastAsia="zh-CN"/>
        </w:rPr>
        <w:t>。</w:t>
      </w:r>
    </w:p>
    <w:p w14:paraId="4F15096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14:paraId="565F4E0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14:paraId="089DC5E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14:paraId="2C789F3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14:paraId="4644F58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14:paraId="6932575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14:paraId="64A3EBB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highlight w:val="none"/>
          <w:lang w:val="zh-CN" w:eastAsia="zh-CN"/>
        </w:rPr>
      </w:pPr>
      <w:bookmarkStart w:id="24" w:name="_Toc26704"/>
      <w:bookmarkStart w:id="25" w:name="_Toc227"/>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en-US" w:eastAsia="zh-CN"/>
        </w:rPr>
        <w:t>沙湾市园林绿化中心（事业单位）公用经费支出10.10万元，</w:t>
      </w:r>
      <w:r>
        <w:rPr>
          <w:rFonts w:hint="eastAsia" w:ascii="仿宋_GB2312" w:hAnsi="仿宋_GB2312" w:eastAsia="仿宋_GB2312" w:cs="仿宋_GB2312"/>
          <w:color w:val="auto"/>
          <w:sz w:val="32"/>
          <w:szCs w:val="32"/>
          <w:highlight w:val="none"/>
          <w:lang w:val="zh-CN" w:eastAsia="zh-CN"/>
        </w:rPr>
        <w:t>比上年减少6.89万元，下降40.55%，主要原因是：</w:t>
      </w:r>
      <w:r>
        <w:rPr>
          <w:rFonts w:hint="eastAsia" w:ascii="仿宋_GB2312" w:eastAsia="仿宋_GB2312"/>
          <w:sz w:val="32"/>
          <w:szCs w:val="32"/>
          <w:highlight w:val="none"/>
        </w:rPr>
        <w:t>压缩开支，节约资金</w:t>
      </w:r>
      <w:r>
        <w:rPr>
          <w:rFonts w:hint="eastAsia" w:ascii="仿宋_GB2312" w:hAnsi="仿宋_GB2312" w:eastAsia="仿宋_GB2312" w:cs="仿宋_GB2312"/>
          <w:color w:val="auto"/>
          <w:sz w:val="32"/>
          <w:szCs w:val="32"/>
          <w:highlight w:val="none"/>
          <w:lang w:val="zh-CN" w:eastAsia="zh-CN"/>
        </w:rPr>
        <w:t>。</w:t>
      </w:r>
    </w:p>
    <w:p w14:paraId="77EFE2E0">
      <w:pPr>
        <w:keepNext w:val="0"/>
        <w:keepLines w:val="0"/>
        <w:pageBreakBefore w:val="0"/>
        <w:widowControl w:val="0"/>
        <w:kinsoku/>
        <w:wordWrap/>
        <w:overflowPunct/>
        <w:topLinePunct w:val="0"/>
        <w:autoSpaceDE/>
        <w:autoSpaceDN/>
        <w:bidi w:val="0"/>
        <w:adjustRightInd/>
        <w:snapToGrid/>
        <w:spacing w:line="240" w:lineRule="auto"/>
        <w:ind w:firstLine="320" w:firstLineChars="1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14:paraId="454BB4F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政府采购支出总额</w:t>
      </w:r>
      <w:r>
        <w:rPr>
          <w:rFonts w:hint="eastAsia" w:ascii="仿宋_GB2312" w:hAnsi="仿宋_GB2312" w:eastAsia="仿宋_GB2312" w:cs="仿宋_GB2312"/>
          <w:color w:val="auto"/>
          <w:sz w:val="32"/>
          <w:szCs w:val="32"/>
          <w:highlight w:val="none"/>
          <w:lang w:val="zh-CN" w:eastAsia="zh-CN"/>
        </w:rPr>
        <w:t>7.16万元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zh-CN" w:eastAsia="zh-CN"/>
        </w:rPr>
        <w:t>其中：政府采购货物支出6.23万元、政府采购工程支出0.00万元、政府采购服务支出0.92万元。</w:t>
      </w:r>
    </w:p>
    <w:p w14:paraId="0671E01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授予中小企业合同金额7.16万元，占政府采购支出总额的100.00%，其中：授予小微企业合同金额6.17万元，占政府采购支出总额的86.17%</w:t>
      </w:r>
      <w:r>
        <w:rPr>
          <w:rFonts w:hint="eastAsia" w:ascii="仿宋_GB2312" w:hAnsi="仿宋_GB2312" w:eastAsia="仿宋_GB2312" w:cs="仿宋_GB2312"/>
          <w:color w:val="auto"/>
          <w:sz w:val="32"/>
          <w:szCs w:val="32"/>
          <w:highlight w:val="none"/>
          <w:lang w:val="en-US" w:eastAsia="zh-CN"/>
        </w:rPr>
        <w:t>。</w:t>
      </w:r>
    </w:p>
    <w:p w14:paraId="2364B23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0"/>
          <w:highlight w:val="none"/>
          <w:lang w:val="zh-CN" w:eastAsia="zh-CN"/>
        </w:rPr>
      </w:pPr>
      <w:bookmarkStart w:id="26" w:name="_Toc8391"/>
      <w:bookmarkStart w:id="27" w:name="_Toc4591"/>
      <w:r>
        <w:rPr>
          <w:rFonts w:hint="eastAsia" w:ascii="仿宋_GB2312" w:hAnsi="仿宋_GB2312" w:eastAsia="仿宋_GB2312" w:cs="仿宋_GB2312"/>
          <w:color w:val="auto"/>
          <w:sz w:val="32"/>
          <w:szCs w:val="30"/>
          <w:highlight w:val="none"/>
          <w:lang w:val="zh-CN" w:eastAsia="zh-CN"/>
        </w:rPr>
        <w:t>（三）国有资产占用情况说明</w:t>
      </w:r>
      <w:bookmarkEnd w:id="26"/>
      <w:bookmarkEnd w:id="27"/>
    </w:p>
    <w:p w14:paraId="3321453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en-US" w:eastAsia="zh-CN"/>
        </w:rPr>
        <w:t>截至2023</w:t>
      </w:r>
      <w:r>
        <w:rPr>
          <w:rFonts w:hint="eastAsia" w:ascii="仿宋_GB2312" w:hAnsi="仿宋_GB2312" w:eastAsia="仿宋_GB2312" w:cs="仿宋_GB2312"/>
          <w:color w:val="auto"/>
          <w:sz w:val="32"/>
          <w:szCs w:val="32"/>
          <w:highlight w:val="none"/>
          <w:lang w:val="zh-CN" w:eastAsia="zh-CN"/>
        </w:rPr>
        <w:t>年</w:t>
      </w:r>
      <w:r>
        <w:rPr>
          <w:rFonts w:hint="eastAsia" w:ascii="仿宋_GB2312" w:hAnsi="仿宋_GB2312" w:eastAsia="仿宋_GB2312" w:cs="仿宋_GB2312"/>
          <w:color w:val="auto"/>
          <w:sz w:val="32"/>
          <w:szCs w:val="32"/>
          <w:highlight w:val="none"/>
          <w:lang w:val="en-US" w:eastAsia="zh-CN"/>
        </w:rPr>
        <w:t>12月31日</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固定资产原值</w:t>
      </w:r>
      <w:r>
        <w:rPr>
          <w:rFonts w:hint="eastAsia" w:ascii="仿宋_GB2312" w:hAnsi="仿宋_GB2312" w:eastAsia="仿宋_GB2312" w:cs="仿宋_GB2312"/>
          <w:color w:val="auto"/>
          <w:sz w:val="32"/>
          <w:szCs w:val="32"/>
          <w:highlight w:val="none"/>
          <w:lang w:val="zh-CN" w:eastAsia="zh-CN"/>
        </w:rPr>
        <w:t>436.55</w:t>
      </w:r>
      <w:r>
        <w:rPr>
          <w:rFonts w:hint="eastAsia" w:ascii="仿宋_GB2312" w:hAnsi="仿宋_GB2312" w:eastAsia="仿宋_GB2312" w:cs="仿宋_GB2312"/>
          <w:color w:val="auto"/>
          <w:sz w:val="32"/>
          <w:szCs w:val="32"/>
          <w:highlight w:val="none"/>
          <w:lang w:val="en-US" w:eastAsia="zh-CN"/>
        </w:rPr>
        <w:t>万元，房</w:t>
      </w:r>
      <w:r>
        <w:rPr>
          <w:rFonts w:hint="eastAsia" w:ascii="仿宋_GB2312" w:hAnsi="仿宋_GB2312" w:eastAsia="仿宋_GB2312" w:cs="仿宋_GB2312"/>
          <w:color w:val="auto"/>
          <w:sz w:val="32"/>
          <w:szCs w:val="32"/>
          <w:highlight w:val="none"/>
          <w:lang w:val="zh-CN" w:eastAsia="zh-CN"/>
        </w:rPr>
        <w:t>屋544.00平方米，价值36.39万元。车辆7辆，价值107.59万元，其中：副部（省）级及以上领导用车0辆、主要</w:t>
      </w:r>
      <w:r>
        <w:rPr>
          <w:rFonts w:hint="eastAsia" w:ascii="仿宋_GB2312" w:hAnsi="仿宋_GB2312" w:eastAsia="仿宋_GB2312" w:cs="仿宋_GB2312"/>
          <w:color w:val="auto"/>
          <w:sz w:val="32"/>
          <w:szCs w:val="32"/>
          <w:highlight w:val="none"/>
          <w:lang w:val="en-US" w:eastAsia="zh-CN"/>
        </w:rPr>
        <w:t>负责人</w:t>
      </w:r>
      <w:r>
        <w:rPr>
          <w:rFonts w:hint="eastAsia" w:ascii="仿宋_GB2312" w:hAnsi="仿宋_GB2312" w:eastAsia="仿宋_GB2312" w:cs="仿宋_GB2312"/>
          <w:color w:val="auto"/>
          <w:sz w:val="32"/>
          <w:szCs w:val="32"/>
          <w:highlight w:val="none"/>
          <w:lang w:val="zh-CN" w:eastAsia="zh-CN"/>
        </w:rPr>
        <w:t>用车0辆、机要通信用车0辆、应急保障用车0辆、执法执勤用车0辆、特种专业技术用车7辆、离退休干部</w:t>
      </w:r>
      <w:r>
        <w:rPr>
          <w:rFonts w:hint="eastAsia" w:ascii="仿宋_GB2312" w:hAnsi="仿宋_GB2312" w:eastAsia="仿宋_GB2312" w:cs="仿宋_GB2312"/>
          <w:color w:val="auto"/>
          <w:sz w:val="32"/>
          <w:szCs w:val="32"/>
          <w:highlight w:val="none"/>
          <w:lang w:val="en-US" w:eastAsia="zh-CN"/>
        </w:rPr>
        <w:t>服务</w:t>
      </w:r>
      <w:r>
        <w:rPr>
          <w:rFonts w:hint="eastAsia" w:ascii="仿宋_GB2312" w:hAnsi="仿宋_GB2312" w:eastAsia="仿宋_GB2312" w:cs="仿宋_GB2312"/>
          <w:color w:val="auto"/>
          <w:sz w:val="32"/>
          <w:szCs w:val="32"/>
          <w:highlight w:val="none"/>
          <w:lang w:val="zh-CN" w:eastAsia="zh-CN"/>
        </w:rPr>
        <w:t>用车0辆、其他用车0辆，其他用车主要是：</w:t>
      </w:r>
      <w:r>
        <w:rPr>
          <w:rFonts w:hint="eastAsia" w:ascii="仿宋_GB2312" w:eastAsia="仿宋_GB2312"/>
          <w:sz w:val="32"/>
          <w:szCs w:val="32"/>
          <w:highlight w:val="none"/>
          <w:lang w:eastAsia="zh-CN"/>
        </w:rPr>
        <w:t>本单位</w:t>
      </w:r>
      <w:r>
        <w:rPr>
          <w:rFonts w:hint="eastAsia" w:ascii="仿宋_GB2312" w:eastAsia="仿宋_GB2312"/>
          <w:sz w:val="32"/>
          <w:szCs w:val="32"/>
          <w:highlight w:val="none"/>
          <w:lang w:val="en-US" w:eastAsia="zh-CN"/>
        </w:rPr>
        <w:t>7</w:t>
      </w:r>
      <w:r>
        <w:rPr>
          <w:rFonts w:hint="eastAsia" w:ascii="仿宋_GB2312" w:eastAsia="仿宋_GB2312"/>
          <w:sz w:val="32"/>
          <w:szCs w:val="32"/>
          <w:highlight w:val="none"/>
          <w:lang w:eastAsia="zh-CN"/>
        </w:rPr>
        <w:t>辆其他用车是特种专业用车（高空作业车，洒水车、轻卡车、水车、载货车和园林执法检查车等），主要用于修树，浇水，绿地日常养护，绿化带垃圾、落叶、树根、碎石杂物进行及时清理，对积雪压倒的绿篱、灌木修剪扶正等等；</w:t>
      </w:r>
      <w:r>
        <w:rPr>
          <w:rFonts w:hint="eastAsia" w:ascii="仿宋_GB2312" w:hAnsi="仿宋_GB2312" w:eastAsia="仿宋_GB2312" w:cs="仿宋_GB2312"/>
          <w:color w:val="auto"/>
          <w:sz w:val="32"/>
          <w:szCs w:val="32"/>
          <w:highlight w:val="none"/>
          <w:lang w:val="zh-CN" w:eastAsia="zh-CN"/>
        </w:rPr>
        <w:t>单价100万元（含）以上设备（不含车辆）0</w:t>
      </w:r>
      <w:r>
        <w:rPr>
          <w:rFonts w:hint="eastAsia" w:ascii="仿宋_GB2312" w:hAnsi="仿宋_GB2312" w:eastAsia="仿宋_GB2312" w:cs="仿宋_GB2312"/>
          <w:color w:val="auto"/>
          <w:sz w:val="32"/>
          <w:szCs w:val="32"/>
          <w:highlight w:val="none"/>
          <w:lang w:val="en-US" w:eastAsia="zh-CN"/>
        </w:rPr>
        <w:t>台（</w:t>
      </w:r>
      <w:r>
        <w:rPr>
          <w:rFonts w:hint="eastAsia" w:ascii="仿宋_GB2312" w:hAnsi="仿宋_GB2312" w:eastAsia="仿宋_GB2312" w:cs="仿宋_GB2312"/>
          <w:color w:val="auto"/>
          <w:sz w:val="32"/>
          <w:szCs w:val="32"/>
          <w:highlight w:val="none"/>
          <w:lang w:val="zh-CN" w:eastAsia="zh-CN"/>
        </w:rPr>
        <w:t>套）。</w:t>
      </w:r>
    </w:p>
    <w:p w14:paraId="65C873E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14:paraId="68D5FBE4">
      <w:pPr>
        <w:keepNext w:val="0"/>
        <w:keepLines w:val="0"/>
        <w:pageBreakBefore w:val="0"/>
        <w:widowControl w:val="0"/>
        <w:numPr>
          <w:ilvl w:val="0"/>
          <w:numId w:val="0"/>
        </w:numPr>
        <w:pBdr>
          <w:top w:val="none" w:color="auto" w:sz="0" w:space="0"/>
          <w:left w:val="none" w:color="auto" w:sz="0" w:space="0"/>
          <w:bottom w:val="none" w:color="FFFFFF" w:sz="0" w:space="31"/>
          <w:right w:val="none" w:color="auto" w:sz="0" w:space="0"/>
          <w:between w:val="none" w:color="auto" w:sz="0" w:space="0"/>
        </w:pBdr>
        <w:kinsoku/>
        <w:wordWrap/>
        <w:overflowPunct/>
        <w:topLinePunct w:val="0"/>
        <w:autoSpaceDE/>
        <w:autoSpaceDN/>
        <w:bidi w:val="0"/>
        <w:adjustRightInd/>
        <w:snapToGrid/>
        <w:spacing w:beforeAutospacing="0" w:afterAutospacing="0" w:line="560" w:lineRule="atLeast"/>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预算总额397.5</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实际执行总额397.5</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预算绩效评价项目4个，全年预算数68.56万元，全年执行数68.56万元。本单位共有sm项目2个，全年预算数24万元，全年执行数24万元，不予以公开）</w:t>
      </w:r>
      <w:r>
        <w:rPr>
          <w:rFonts w:hint="eastAsia" w:ascii="仿宋_GB2312" w:eastAsia="仿宋_GB2312"/>
          <w:color w:val="auto"/>
          <w:sz w:val="32"/>
          <w:szCs w:val="32"/>
          <w:highlight w:val="none"/>
          <w:lang w:eastAsia="zh-CN"/>
        </w:rPr>
        <w:t>。预算绩效管理取得的成效：一是</w:t>
      </w:r>
      <w:r>
        <w:rPr>
          <w:rFonts w:hint="eastAsia" w:ascii="仿宋_GB2312" w:eastAsia="仿宋_GB2312"/>
          <w:color w:val="auto"/>
          <w:sz w:val="32"/>
          <w:szCs w:val="32"/>
          <w:highlight w:val="none"/>
          <w:lang w:val="en-US" w:eastAsia="zh-CN"/>
        </w:rPr>
        <w:t>确定明确的项目目标和绩效指标</w:t>
      </w:r>
      <w:r>
        <w:rPr>
          <w:rFonts w:hint="eastAsia" w:ascii="仿宋_GB2312" w:eastAsia="仿宋_GB2312"/>
          <w:color w:val="auto"/>
          <w:sz w:val="32"/>
          <w:szCs w:val="32"/>
          <w:highlight w:val="none"/>
          <w:lang w:eastAsia="zh-CN"/>
        </w:rPr>
        <w:t>；二是</w:t>
      </w:r>
      <w:r>
        <w:rPr>
          <w:rFonts w:hint="eastAsia" w:ascii="仿宋_GB2312" w:eastAsia="仿宋_GB2312"/>
          <w:color w:val="auto"/>
          <w:sz w:val="32"/>
          <w:szCs w:val="32"/>
          <w:highlight w:val="none"/>
          <w:lang w:val="en-US" w:eastAsia="zh-CN"/>
        </w:rPr>
        <w:t>建立高效的项目管理流程</w:t>
      </w:r>
      <w:r>
        <w:rPr>
          <w:rFonts w:hint="eastAsia" w:ascii="仿宋_GB2312" w:eastAsia="仿宋_GB2312"/>
          <w:sz w:val="32"/>
          <w:szCs w:val="32"/>
          <w:highlight w:val="none"/>
          <w:lang w:eastAsia="zh-CN"/>
        </w:rPr>
        <w:t>项目全面纳入预算管理</w:t>
      </w:r>
      <w:r>
        <w:rPr>
          <w:rFonts w:hint="eastAsia" w:ascii="仿宋_GB2312" w:eastAsia="仿宋_GB2312"/>
          <w:color w:val="auto"/>
          <w:sz w:val="32"/>
          <w:szCs w:val="32"/>
          <w:highlight w:val="none"/>
          <w:lang w:eastAsia="zh-CN"/>
        </w:rPr>
        <w:t>。发现的问题及原因：一是</w:t>
      </w:r>
      <w:r>
        <w:rPr>
          <w:rFonts w:hint="eastAsia" w:ascii="仿宋_GB2312" w:eastAsia="仿宋_GB2312"/>
          <w:sz w:val="32"/>
          <w:szCs w:val="32"/>
          <w:highlight w:val="none"/>
          <w:lang w:eastAsia="zh-CN"/>
        </w:rPr>
        <w:t>绩效目标编制不细，对绩效分析不透彻</w:t>
      </w:r>
      <w:r>
        <w:rPr>
          <w:rFonts w:hint="eastAsia" w:ascii="仿宋_GB2312" w:eastAsia="仿宋_GB2312"/>
          <w:color w:val="auto"/>
          <w:sz w:val="32"/>
          <w:szCs w:val="32"/>
          <w:highlight w:val="none"/>
          <w:lang w:eastAsia="zh-CN"/>
        </w:rPr>
        <w:t>；二是</w:t>
      </w:r>
      <w:r>
        <w:rPr>
          <w:rFonts w:hint="eastAsia" w:ascii="仿宋_GB2312" w:eastAsia="仿宋_GB2312"/>
          <w:sz w:val="32"/>
          <w:szCs w:val="32"/>
          <w:highlight w:val="none"/>
          <w:lang w:eastAsia="zh-CN"/>
        </w:rPr>
        <w:t>目支出预算管理薄弱，缺乏追踪问效的善，缺乏痕迹管理意识</w:t>
      </w:r>
      <w:r>
        <w:rPr>
          <w:rFonts w:hint="eastAsia" w:ascii="仿宋_GB2312" w:eastAsia="仿宋_GB2312"/>
          <w:color w:val="auto"/>
          <w:sz w:val="32"/>
          <w:szCs w:val="32"/>
          <w:highlight w:val="none"/>
          <w:lang w:eastAsia="zh-CN"/>
        </w:rPr>
        <w:t>。下一步改进措施：一是</w:t>
      </w:r>
      <w:r>
        <w:rPr>
          <w:rFonts w:hint="eastAsia" w:ascii="仿宋_GB2312" w:eastAsia="仿宋_GB2312"/>
          <w:sz w:val="32"/>
          <w:szCs w:val="32"/>
          <w:highlight w:val="none"/>
          <w:lang w:eastAsia="zh-CN"/>
        </w:rPr>
        <w:t>改进本单位绩效管理、实施方式等思路，具体包括：1、建立健全绩效</w:t>
      </w:r>
      <w:r>
        <w:rPr>
          <w:rFonts w:hint="eastAsia" w:ascii="仿宋_GB2312" w:eastAsia="仿宋_GB2312"/>
          <w:sz w:val="32"/>
          <w:szCs w:val="32"/>
          <w:highlight w:val="none"/>
          <w:lang w:val="en-US" w:eastAsia="zh-CN"/>
        </w:rPr>
        <w:t>工作</w:t>
      </w:r>
      <w:r>
        <w:rPr>
          <w:rFonts w:hint="eastAsia" w:ascii="仿宋_GB2312" w:eastAsia="仿宋_GB2312"/>
          <w:sz w:val="32"/>
          <w:szCs w:val="32"/>
          <w:highlight w:val="none"/>
          <w:lang w:eastAsia="zh-CN"/>
        </w:rPr>
        <w:t>规章制度，以制度管人管事。2、将该项工作纳入本单位日常工作日程，定期召开</w:t>
      </w:r>
      <w:r>
        <w:rPr>
          <w:rFonts w:hint="eastAsia" w:ascii="仿宋_GB2312" w:eastAsia="仿宋_GB2312"/>
          <w:sz w:val="32"/>
          <w:szCs w:val="32"/>
          <w:highlight w:val="none"/>
          <w:lang w:val="en-US" w:eastAsia="zh-CN"/>
        </w:rPr>
        <w:t>进度</w:t>
      </w:r>
      <w:r>
        <w:rPr>
          <w:rFonts w:hint="eastAsia" w:ascii="仿宋_GB2312" w:eastAsia="仿宋_GB2312"/>
          <w:sz w:val="32"/>
          <w:szCs w:val="32"/>
          <w:highlight w:val="none"/>
          <w:lang w:eastAsia="zh-CN"/>
        </w:rPr>
        <w:t>分析会，对于特殊情况随时召开专题会，分析研究解决对策。3、采取事前、事中和事后的绩效管理</w:t>
      </w:r>
      <w:r>
        <w:rPr>
          <w:rFonts w:hint="eastAsia" w:ascii="仿宋_GB2312" w:eastAsia="仿宋_GB2312"/>
          <w:sz w:val="32"/>
          <w:szCs w:val="32"/>
          <w:highlight w:val="none"/>
          <w:lang w:val="en-US" w:eastAsia="zh-CN"/>
        </w:rPr>
        <w:t>工作</w:t>
      </w:r>
      <w:r>
        <w:rPr>
          <w:rFonts w:hint="eastAsia" w:ascii="仿宋_GB2312" w:eastAsia="仿宋_GB2312"/>
          <w:sz w:val="32"/>
          <w:szCs w:val="32"/>
          <w:highlight w:val="none"/>
          <w:lang w:eastAsia="zh-CN"/>
        </w:rPr>
        <w:t>方式，提高</w:t>
      </w:r>
      <w:r>
        <w:rPr>
          <w:rFonts w:hint="eastAsia" w:ascii="仿宋_GB2312" w:eastAsia="仿宋_GB2312"/>
          <w:sz w:val="32"/>
          <w:szCs w:val="32"/>
          <w:highlight w:val="none"/>
          <w:lang w:val="en-US" w:eastAsia="zh-CN"/>
        </w:rPr>
        <w:t>绩效工作</w:t>
      </w:r>
      <w:r>
        <w:rPr>
          <w:rFonts w:hint="eastAsia" w:ascii="仿宋_GB2312" w:eastAsia="仿宋_GB2312"/>
          <w:sz w:val="32"/>
          <w:szCs w:val="32"/>
          <w:highlight w:val="none"/>
          <w:lang w:eastAsia="zh-CN"/>
        </w:rPr>
        <w:t>的时效性</w:t>
      </w:r>
      <w:r>
        <w:rPr>
          <w:rFonts w:hint="eastAsia" w:ascii="仿宋_GB2312" w:eastAsia="仿宋_GB2312"/>
          <w:color w:val="auto"/>
          <w:sz w:val="32"/>
          <w:szCs w:val="32"/>
          <w:highlight w:val="none"/>
          <w:lang w:eastAsia="zh-CN"/>
        </w:rPr>
        <w:t>；二是</w:t>
      </w:r>
      <w:r>
        <w:rPr>
          <w:rFonts w:hint="eastAsia" w:ascii="仿宋_GB2312" w:eastAsia="仿宋_GB2312"/>
          <w:sz w:val="32"/>
          <w:szCs w:val="32"/>
          <w:highlight w:val="none"/>
          <w:lang w:eastAsia="zh-CN"/>
        </w:rPr>
        <w:t>在引进可科学有效的管理理念、强化管理人员的责任意识、大大提高单位预算绩效管理的效率和效益</w:t>
      </w:r>
      <w:r>
        <w:rPr>
          <w:rFonts w:hint="eastAsia" w:ascii="仿宋_GB2312" w:eastAsia="仿宋_GB2312"/>
          <w:color w:val="auto"/>
          <w:sz w:val="32"/>
          <w:szCs w:val="32"/>
          <w:highlight w:val="none"/>
          <w:lang w:eastAsia="zh-CN"/>
        </w:rPr>
        <w:t>。具体</w:t>
      </w:r>
      <w:r>
        <w:rPr>
          <w:rFonts w:hint="eastAsia" w:ascii="仿宋_GB2312" w:eastAsia="仿宋_GB2312"/>
          <w:color w:val="auto"/>
          <w:sz w:val="32"/>
          <w:szCs w:val="32"/>
          <w:highlight w:val="none"/>
        </w:rPr>
        <w:t>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rPr>
        <w:t>。</w:t>
      </w:r>
    </w:p>
    <w:p w14:paraId="086F183C">
      <w:pPr>
        <w:keepNext w:val="0"/>
        <w:keepLines w:val="0"/>
        <w:pageBreakBefore w:val="0"/>
        <w:widowControl w:val="0"/>
        <w:tabs>
          <w:tab w:val="center" w:pos="4153"/>
        </w:tabs>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ab/>
      </w:r>
    </w:p>
    <w:p w14:paraId="08076A58">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000000" w:themeColor="text1"/>
          <w:kern w:val="0"/>
          <w:sz w:val="32"/>
          <w:szCs w:val="32"/>
          <w:highlight w:val="none"/>
          <w:lang w:eastAsia="zh-CN"/>
          <w14:textFill>
            <w14:solidFill>
              <w14:schemeClr w14:val="tx1"/>
            </w14:solidFill>
          </w14:textFill>
        </w:rPr>
      </w:pPr>
      <w:r>
        <w:rPr>
          <w:rFonts w:hint="eastAsia" w:ascii="黑体" w:hAnsi="黑体" w:eastAsia="黑体" w:cs="宋体"/>
          <w:bCs/>
          <w:color w:val="000000" w:themeColor="text1"/>
          <w:kern w:val="0"/>
          <w:sz w:val="32"/>
          <w:szCs w:val="32"/>
          <w:highlight w:val="none"/>
          <w:lang w:eastAsia="zh-CN"/>
          <w14:textFill>
            <w14:solidFill>
              <w14:schemeClr w14:val="tx1"/>
            </w14:solidFill>
          </w14:textFill>
        </w:rPr>
        <w:t>十</w:t>
      </w:r>
      <w:r>
        <w:rPr>
          <w:rFonts w:hint="eastAsia" w:ascii="黑体" w:hAnsi="黑体" w:eastAsia="黑体" w:cs="宋体"/>
          <w:bCs/>
          <w:color w:val="000000" w:themeColor="text1"/>
          <w:kern w:val="0"/>
          <w:sz w:val="32"/>
          <w:szCs w:val="32"/>
          <w:highlight w:val="none"/>
          <w:lang w:val="en-US" w:eastAsia="zh-CN"/>
          <w14:textFill>
            <w14:solidFill>
              <w14:schemeClr w14:val="tx1"/>
            </w14:solidFill>
          </w14:textFill>
        </w:rPr>
        <w:t>二</w:t>
      </w:r>
      <w:r>
        <w:rPr>
          <w:rFonts w:hint="eastAsia" w:ascii="黑体" w:hAnsi="黑体" w:eastAsia="黑体" w:cs="宋体"/>
          <w:bCs/>
          <w:color w:val="000000" w:themeColor="text1"/>
          <w:kern w:val="0"/>
          <w:sz w:val="32"/>
          <w:szCs w:val="32"/>
          <w:highlight w:val="none"/>
          <w:lang w:eastAsia="zh-CN"/>
          <w14:textFill>
            <w14:solidFill>
              <w14:schemeClr w14:val="tx1"/>
            </w14:solidFill>
          </w14:textFill>
        </w:rPr>
        <w:t>、其他需说明的事项</w:t>
      </w:r>
    </w:p>
    <w:p w14:paraId="653222AB">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default" w:ascii="仿宋_GB2312" w:hAnsi="仿宋_GB2312" w:eastAsia="仿宋_GB2312" w:cs="仿宋_GB2312"/>
          <w:color w:val="FF0000"/>
          <w:kern w:val="0"/>
          <w:sz w:val="32"/>
          <w:szCs w:val="32"/>
          <w:highlight w:val="none"/>
          <w:lang w:val="en-US" w:eastAsia="zh-CN"/>
        </w:rPr>
      </w:pPr>
      <w:r>
        <w:rPr>
          <w:rFonts w:hint="eastAsia" w:ascii="仿宋_GB2312" w:eastAsia="仿宋_GB2312"/>
          <w:color w:val="000000" w:themeColor="text1"/>
          <w:sz w:val="32"/>
          <w:szCs w:val="32"/>
          <w:highlight w:val="none"/>
          <w:lang w:eastAsia="zh-CN"/>
          <w14:textFill>
            <w14:solidFill>
              <w14:schemeClr w14:val="tx1"/>
            </w14:solidFill>
          </w14:textFill>
        </w:rPr>
        <w:t>本单位sm项目</w:t>
      </w:r>
      <w:r>
        <w:rPr>
          <w:rFonts w:hint="eastAsia" w:ascii="仿宋_GB2312" w:eastAsia="仿宋_GB2312"/>
          <w:color w:val="000000" w:themeColor="text1"/>
          <w:sz w:val="32"/>
          <w:szCs w:val="32"/>
          <w:highlight w:val="none"/>
          <w:lang w:val="en-US" w:eastAsia="zh-CN"/>
          <w14:textFill>
            <w14:solidFill>
              <w14:schemeClr w14:val="tx1"/>
            </w14:solidFill>
          </w14:textFill>
        </w:rPr>
        <w:t>2</w:t>
      </w:r>
      <w:r>
        <w:rPr>
          <w:rFonts w:hint="eastAsia" w:ascii="仿宋_GB2312" w:eastAsia="仿宋_GB2312"/>
          <w:color w:val="000000" w:themeColor="text1"/>
          <w:sz w:val="32"/>
          <w:szCs w:val="32"/>
          <w:highlight w:val="none"/>
          <w:lang w:eastAsia="zh-CN"/>
          <w14:textFill>
            <w14:solidFill>
              <w14:schemeClr w14:val="tx1"/>
            </w14:solidFill>
          </w14:textFill>
        </w:rPr>
        <w:t>个，全年预算数</w:t>
      </w:r>
      <w:r>
        <w:rPr>
          <w:rFonts w:hint="eastAsia" w:ascii="仿宋_GB2312" w:eastAsia="仿宋_GB2312"/>
          <w:color w:val="000000" w:themeColor="text1"/>
          <w:sz w:val="32"/>
          <w:szCs w:val="32"/>
          <w:highlight w:val="none"/>
          <w:lang w:val="en-US" w:eastAsia="zh-CN"/>
          <w14:textFill>
            <w14:solidFill>
              <w14:schemeClr w14:val="tx1"/>
            </w14:solidFill>
          </w14:textFill>
        </w:rPr>
        <w:t>24</w:t>
      </w:r>
      <w:r>
        <w:rPr>
          <w:rFonts w:hint="eastAsia" w:ascii="仿宋_GB2312" w:eastAsia="仿宋_GB2312"/>
          <w:color w:val="000000" w:themeColor="text1"/>
          <w:sz w:val="32"/>
          <w:szCs w:val="32"/>
          <w:highlight w:val="none"/>
          <w:lang w:eastAsia="zh-CN"/>
          <w14:textFill>
            <w14:solidFill>
              <w14:schemeClr w14:val="tx1"/>
            </w14:solidFill>
          </w14:textFill>
        </w:rPr>
        <w:t>万元，全年执行数</w:t>
      </w:r>
      <w:r>
        <w:rPr>
          <w:rFonts w:hint="eastAsia" w:ascii="仿宋_GB2312" w:eastAsia="仿宋_GB2312"/>
          <w:color w:val="000000" w:themeColor="text1"/>
          <w:sz w:val="32"/>
          <w:szCs w:val="32"/>
          <w:highlight w:val="none"/>
          <w:lang w:val="en-US" w:eastAsia="zh-CN"/>
          <w14:textFill>
            <w14:solidFill>
              <w14:schemeClr w14:val="tx1"/>
            </w14:solidFill>
          </w14:textFill>
        </w:rPr>
        <w:t>24</w:t>
      </w:r>
      <w:r>
        <w:rPr>
          <w:rFonts w:hint="eastAsia" w:ascii="仿宋_GB2312" w:eastAsia="仿宋_GB2312"/>
          <w:color w:val="000000" w:themeColor="text1"/>
          <w:sz w:val="32"/>
          <w:szCs w:val="32"/>
          <w:highlight w:val="none"/>
          <w:lang w:eastAsia="zh-CN"/>
          <w14:textFill>
            <w14:solidFill>
              <w14:schemeClr w14:val="tx1"/>
            </w14:solidFill>
          </w14:textFill>
        </w:rPr>
        <w:t>万元</w:t>
      </w:r>
      <w:r>
        <w:rPr>
          <w:rFonts w:hint="eastAsia" w:ascii="仿宋_GB2312" w:eastAsia="仿宋_GB2312"/>
          <w:color w:val="000000" w:themeColor="text1"/>
          <w:sz w:val="32"/>
          <w:szCs w:val="32"/>
          <w:highlight w:val="none"/>
          <w:lang w:val="en-US" w:eastAsia="zh-CN"/>
          <w14:textFill>
            <w14:solidFill>
              <w14:schemeClr w14:val="tx1"/>
            </w14:solidFill>
          </w14:textFill>
        </w:rPr>
        <w:t>,</w:t>
      </w:r>
      <w:r>
        <w:rPr>
          <w:rFonts w:hint="eastAsia" w:ascii="仿宋_GB2312" w:eastAsia="仿宋_GB2312"/>
          <w:color w:val="000000" w:themeColor="text1"/>
          <w:sz w:val="32"/>
          <w:szCs w:val="32"/>
          <w:highlight w:val="none"/>
          <w:lang w:eastAsia="zh-CN"/>
          <w14:textFill>
            <w14:solidFill>
              <w14:schemeClr w14:val="tx1"/>
            </w14:solidFill>
          </w14:textFill>
        </w:rPr>
        <w:t>不予以公开绩效自评表。</w:t>
      </w:r>
    </w:p>
    <w:p w14:paraId="30DCC21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24143"/>
      <w:bookmarkStart w:id="31" w:name="_Toc3250"/>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14:paraId="57FFE2EB">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14:paraId="24FF7E51">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14:paraId="67FEF60C">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14:paraId="1444E98C">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14:paraId="0BE5C761">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14:paraId="19BD87EC">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14:paraId="06CA40FA">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01EBA31A">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411C105">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14:paraId="7D1D3F86">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14:paraId="3C31A63A">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14:paraId="52058F49">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14:paraId="0A3E901F">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14:paraId="3A893DE3">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14:paraId="40C8A40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14:paraId="3FFDF48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14:paraId="4E5BE7B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14:paraId="4ED4206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14:paraId="5115E7B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14:paraId="4A211C4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14:paraId="6C46E6A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14:paraId="0CD4144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14:paraId="2D49EBF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14:paraId="2BF7D29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14:paraId="7A047151">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14:paraId="0038DBD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0C1409">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FB739EF">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0FB739EF">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BjNDBhMzE3MTRmMjgzMGM1MTdjNDY2ODhjMWY1YTYifQ=="/>
    <w:docVar w:name="KSO_WPS_MARK_KEY" w:val="41ee2a61-2d54-4f93-83be-afdb9a40d732"/>
  </w:docVars>
  <w:rsids>
    <w:rsidRoot w:val="00000000"/>
    <w:rsid w:val="00213C59"/>
    <w:rsid w:val="003210CE"/>
    <w:rsid w:val="004A7741"/>
    <w:rsid w:val="00B70D59"/>
    <w:rsid w:val="00C229CA"/>
    <w:rsid w:val="00F52A8D"/>
    <w:rsid w:val="019404F8"/>
    <w:rsid w:val="01C30B6B"/>
    <w:rsid w:val="01ED22F2"/>
    <w:rsid w:val="02BD3108"/>
    <w:rsid w:val="02F73D26"/>
    <w:rsid w:val="0341020B"/>
    <w:rsid w:val="034D4FEF"/>
    <w:rsid w:val="03563CB7"/>
    <w:rsid w:val="035D1785"/>
    <w:rsid w:val="03993BA4"/>
    <w:rsid w:val="039F47CE"/>
    <w:rsid w:val="03BD5310"/>
    <w:rsid w:val="03E05CE8"/>
    <w:rsid w:val="03E35CDD"/>
    <w:rsid w:val="03F973EE"/>
    <w:rsid w:val="043E5B56"/>
    <w:rsid w:val="04402F06"/>
    <w:rsid w:val="04B53D1B"/>
    <w:rsid w:val="04C04386"/>
    <w:rsid w:val="04D1736D"/>
    <w:rsid w:val="04D96608"/>
    <w:rsid w:val="04F210E4"/>
    <w:rsid w:val="04FA68C4"/>
    <w:rsid w:val="0500188B"/>
    <w:rsid w:val="053F5AE6"/>
    <w:rsid w:val="057C0B0F"/>
    <w:rsid w:val="05AF5900"/>
    <w:rsid w:val="05E81F1B"/>
    <w:rsid w:val="05EA06E6"/>
    <w:rsid w:val="05EF4B48"/>
    <w:rsid w:val="05F76ECA"/>
    <w:rsid w:val="06183A24"/>
    <w:rsid w:val="06792773"/>
    <w:rsid w:val="06E4524A"/>
    <w:rsid w:val="06FD75CA"/>
    <w:rsid w:val="07093795"/>
    <w:rsid w:val="073D0B7A"/>
    <w:rsid w:val="07462294"/>
    <w:rsid w:val="07804730"/>
    <w:rsid w:val="079052BE"/>
    <w:rsid w:val="07E75618"/>
    <w:rsid w:val="08145C21"/>
    <w:rsid w:val="081930A9"/>
    <w:rsid w:val="08422688"/>
    <w:rsid w:val="085854ED"/>
    <w:rsid w:val="0879188F"/>
    <w:rsid w:val="088744B7"/>
    <w:rsid w:val="08A0354D"/>
    <w:rsid w:val="08CD4C49"/>
    <w:rsid w:val="09114954"/>
    <w:rsid w:val="095A5B83"/>
    <w:rsid w:val="096466E3"/>
    <w:rsid w:val="0968304D"/>
    <w:rsid w:val="09AF3D17"/>
    <w:rsid w:val="0A49059D"/>
    <w:rsid w:val="0A6058C3"/>
    <w:rsid w:val="0A7809B7"/>
    <w:rsid w:val="0A7B4867"/>
    <w:rsid w:val="0A840954"/>
    <w:rsid w:val="0A9928ED"/>
    <w:rsid w:val="0B61769D"/>
    <w:rsid w:val="0B6B251D"/>
    <w:rsid w:val="0B8C3ECC"/>
    <w:rsid w:val="0B9C639D"/>
    <w:rsid w:val="0BB052B2"/>
    <w:rsid w:val="0BD33FFC"/>
    <w:rsid w:val="0BE97AC1"/>
    <w:rsid w:val="0BEB340A"/>
    <w:rsid w:val="0C1C4780"/>
    <w:rsid w:val="0C3613A3"/>
    <w:rsid w:val="0C5E519C"/>
    <w:rsid w:val="0C7227A7"/>
    <w:rsid w:val="0CA52EE8"/>
    <w:rsid w:val="0CBD6988"/>
    <w:rsid w:val="0CD208AC"/>
    <w:rsid w:val="0D172DAA"/>
    <w:rsid w:val="0D4903E8"/>
    <w:rsid w:val="0D7A4A46"/>
    <w:rsid w:val="0DCB7BAC"/>
    <w:rsid w:val="0E640559"/>
    <w:rsid w:val="0E721BC1"/>
    <w:rsid w:val="0F1113DA"/>
    <w:rsid w:val="0F5E5DBB"/>
    <w:rsid w:val="0F78534A"/>
    <w:rsid w:val="0F89358A"/>
    <w:rsid w:val="0F8C6D51"/>
    <w:rsid w:val="102E6E42"/>
    <w:rsid w:val="103435D2"/>
    <w:rsid w:val="105B0B5E"/>
    <w:rsid w:val="112E58D0"/>
    <w:rsid w:val="11731CAC"/>
    <w:rsid w:val="119500A0"/>
    <w:rsid w:val="11C0733B"/>
    <w:rsid w:val="11D50D17"/>
    <w:rsid w:val="120E0809"/>
    <w:rsid w:val="12582E7C"/>
    <w:rsid w:val="127F665A"/>
    <w:rsid w:val="12B50216"/>
    <w:rsid w:val="12F7068C"/>
    <w:rsid w:val="131B6178"/>
    <w:rsid w:val="13B77BD4"/>
    <w:rsid w:val="13BD743A"/>
    <w:rsid w:val="13EE558B"/>
    <w:rsid w:val="14207DC0"/>
    <w:rsid w:val="1434073B"/>
    <w:rsid w:val="144456DB"/>
    <w:rsid w:val="14A82552"/>
    <w:rsid w:val="14B932DA"/>
    <w:rsid w:val="14BC1DE8"/>
    <w:rsid w:val="14CD18FF"/>
    <w:rsid w:val="15020084"/>
    <w:rsid w:val="150A66AF"/>
    <w:rsid w:val="152C45D0"/>
    <w:rsid w:val="154C1139"/>
    <w:rsid w:val="158C5B77"/>
    <w:rsid w:val="15B10740"/>
    <w:rsid w:val="160A36B3"/>
    <w:rsid w:val="160D1149"/>
    <w:rsid w:val="163563C0"/>
    <w:rsid w:val="164315EF"/>
    <w:rsid w:val="16557DFE"/>
    <w:rsid w:val="165E4618"/>
    <w:rsid w:val="167268FB"/>
    <w:rsid w:val="16770D0A"/>
    <w:rsid w:val="169A0039"/>
    <w:rsid w:val="16D50C50"/>
    <w:rsid w:val="16E120E1"/>
    <w:rsid w:val="17385A05"/>
    <w:rsid w:val="173B3901"/>
    <w:rsid w:val="176747F9"/>
    <w:rsid w:val="17954A6E"/>
    <w:rsid w:val="17BE2C86"/>
    <w:rsid w:val="180059E9"/>
    <w:rsid w:val="180671A6"/>
    <w:rsid w:val="18293097"/>
    <w:rsid w:val="184510FD"/>
    <w:rsid w:val="190648B0"/>
    <w:rsid w:val="19071D6C"/>
    <w:rsid w:val="19695D78"/>
    <w:rsid w:val="19D26CD4"/>
    <w:rsid w:val="19E60D19"/>
    <w:rsid w:val="1A2E4BEE"/>
    <w:rsid w:val="1A3E3450"/>
    <w:rsid w:val="1A98650B"/>
    <w:rsid w:val="1AD807E5"/>
    <w:rsid w:val="1B39345B"/>
    <w:rsid w:val="1B7C0EA4"/>
    <w:rsid w:val="1BFB2A1F"/>
    <w:rsid w:val="1C015D4A"/>
    <w:rsid w:val="1C290ED5"/>
    <w:rsid w:val="1C317E4F"/>
    <w:rsid w:val="1C472464"/>
    <w:rsid w:val="1CC45CDD"/>
    <w:rsid w:val="1CE674A4"/>
    <w:rsid w:val="1D22799A"/>
    <w:rsid w:val="1D5C1A72"/>
    <w:rsid w:val="1DAF458D"/>
    <w:rsid w:val="1E086ACE"/>
    <w:rsid w:val="1E62130A"/>
    <w:rsid w:val="1E97358B"/>
    <w:rsid w:val="1EAA4A5F"/>
    <w:rsid w:val="1EE869A7"/>
    <w:rsid w:val="1F3F37CF"/>
    <w:rsid w:val="1F63358C"/>
    <w:rsid w:val="1FA15E62"/>
    <w:rsid w:val="1FBD7DF6"/>
    <w:rsid w:val="1FBE07C2"/>
    <w:rsid w:val="1FD512A3"/>
    <w:rsid w:val="1FED69B6"/>
    <w:rsid w:val="201B5C14"/>
    <w:rsid w:val="20631369"/>
    <w:rsid w:val="2064678E"/>
    <w:rsid w:val="20895C72"/>
    <w:rsid w:val="208C6B12"/>
    <w:rsid w:val="20DC1AB9"/>
    <w:rsid w:val="20DD6197"/>
    <w:rsid w:val="212631E0"/>
    <w:rsid w:val="2138666F"/>
    <w:rsid w:val="21742080"/>
    <w:rsid w:val="21893052"/>
    <w:rsid w:val="21A53757"/>
    <w:rsid w:val="21CE4FE3"/>
    <w:rsid w:val="21F879E1"/>
    <w:rsid w:val="221236C6"/>
    <w:rsid w:val="224D278E"/>
    <w:rsid w:val="22C36C01"/>
    <w:rsid w:val="22D7662C"/>
    <w:rsid w:val="22EE7610"/>
    <w:rsid w:val="23326B7F"/>
    <w:rsid w:val="2380045B"/>
    <w:rsid w:val="23BC04D2"/>
    <w:rsid w:val="23EF1892"/>
    <w:rsid w:val="244B6BBB"/>
    <w:rsid w:val="24767AAF"/>
    <w:rsid w:val="2483647E"/>
    <w:rsid w:val="24A32D55"/>
    <w:rsid w:val="24CB4D05"/>
    <w:rsid w:val="24CE6D9A"/>
    <w:rsid w:val="251952C7"/>
    <w:rsid w:val="25292727"/>
    <w:rsid w:val="252E5CA9"/>
    <w:rsid w:val="256F7692"/>
    <w:rsid w:val="25BA2154"/>
    <w:rsid w:val="25C8773F"/>
    <w:rsid w:val="25DB26A8"/>
    <w:rsid w:val="25E57887"/>
    <w:rsid w:val="26235823"/>
    <w:rsid w:val="264A7253"/>
    <w:rsid w:val="268F1E67"/>
    <w:rsid w:val="26CA0394"/>
    <w:rsid w:val="26F0170C"/>
    <w:rsid w:val="26FE3B9A"/>
    <w:rsid w:val="27201D62"/>
    <w:rsid w:val="27286E73"/>
    <w:rsid w:val="276231A8"/>
    <w:rsid w:val="27CF2642"/>
    <w:rsid w:val="27E777F5"/>
    <w:rsid w:val="27EA1D4C"/>
    <w:rsid w:val="27EA2E41"/>
    <w:rsid w:val="282459E2"/>
    <w:rsid w:val="283A7FE5"/>
    <w:rsid w:val="285F51FF"/>
    <w:rsid w:val="28834A4F"/>
    <w:rsid w:val="28DA4193"/>
    <w:rsid w:val="28DF2665"/>
    <w:rsid w:val="29072599"/>
    <w:rsid w:val="290C0395"/>
    <w:rsid w:val="291029F3"/>
    <w:rsid w:val="29165432"/>
    <w:rsid w:val="292875F4"/>
    <w:rsid w:val="292D0766"/>
    <w:rsid w:val="296C5733"/>
    <w:rsid w:val="29757990"/>
    <w:rsid w:val="297B509B"/>
    <w:rsid w:val="29CB58F0"/>
    <w:rsid w:val="2A053397"/>
    <w:rsid w:val="2A145E96"/>
    <w:rsid w:val="2A2131BB"/>
    <w:rsid w:val="2A7353F2"/>
    <w:rsid w:val="2AAB5086"/>
    <w:rsid w:val="2AC84BEB"/>
    <w:rsid w:val="2AF5378F"/>
    <w:rsid w:val="2B3903C1"/>
    <w:rsid w:val="2B7E2329"/>
    <w:rsid w:val="2BB94DBF"/>
    <w:rsid w:val="2BF37410"/>
    <w:rsid w:val="2C6F314E"/>
    <w:rsid w:val="2CC206BE"/>
    <w:rsid w:val="2CDA368D"/>
    <w:rsid w:val="2CDD117C"/>
    <w:rsid w:val="2CE83322"/>
    <w:rsid w:val="2CE932B1"/>
    <w:rsid w:val="2D1136DF"/>
    <w:rsid w:val="2D20606D"/>
    <w:rsid w:val="2D621327"/>
    <w:rsid w:val="2D6729FE"/>
    <w:rsid w:val="2D71509A"/>
    <w:rsid w:val="2D7D40DC"/>
    <w:rsid w:val="2DB87198"/>
    <w:rsid w:val="2DB93C54"/>
    <w:rsid w:val="2E3D144C"/>
    <w:rsid w:val="2E891204"/>
    <w:rsid w:val="2F3F0A28"/>
    <w:rsid w:val="2F635B17"/>
    <w:rsid w:val="2F6F7D2B"/>
    <w:rsid w:val="2FBF7029"/>
    <w:rsid w:val="2FD0187F"/>
    <w:rsid w:val="2FD27414"/>
    <w:rsid w:val="2FFE4BB0"/>
    <w:rsid w:val="300E7B60"/>
    <w:rsid w:val="300F6E18"/>
    <w:rsid w:val="30862F5F"/>
    <w:rsid w:val="30A4775A"/>
    <w:rsid w:val="31307D4F"/>
    <w:rsid w:val="314029C9"/>
    <w:rsid w:val="314D0C70"/>
    <w:rsid w:val="31C63837"/>
    <w:rsid w:val="31C82E39"/>
    <w:rsid w:val="31D43E75"/>
    <w:rsid w:val="32601BAD"/>
    <w:rsid w:val="32855029"/>
    <w:rsid w:val="32981347"/>
    <w:rsid w:val="329F6389"/>
    <w:rsid w:val="333842FD"/>
    <w:rsid w:val="3389023A"/>
    <w:rsid w:val="33AE03F9"/>
    <w:rsid w:val="33CB74FA"/>
    <w:rsid w:val="343642F2"/>
    <w:rsid w:val="343F3010"/>
    <w:rsid w:val="345D0A00"/>
    <w:rsid w:val="34713BFD"/>
    <w:rsid w:val="34C13589"/>
    <w:rsid w:val="353369E3"/>
    <w:rsid w:val="35785174"/>
    <w:rsid w:val="35986AE3"/>
    <w:rsid w:val="35B21E0B"/>
    <w:rsid w:val="35E00D72"/>
    <w:rsid w:val="35F42D38"/>
    <w:rsid w:val="367E499B"/>
    <w:rsid w:val="36965B9D"/>
    <w:rsid w:val="36C549FD"/>
    <w:rsid w:val="36C57D21"/>
    <w:rsid w:val="36E56B24"/>
    <w:rsid w:val="37A755DD"/>
    <w:rsid w:val="37F33BFE"/>
    <w:rsid w:val="37F94FA0"/>
    <w:rsid w:val="380D3381"/>
    <w:rsid w:val="38115B1F"/>
    <w:rsid w:val="385E3AC3"/>
    <w:rsid w:val="387D6B9E"/>
    <w:rsid w:val="389B749B"/>
    <w:rsid w:val="38B75FF0"/>
    <w:rsid w:val="38D45016"/>
    <w:rsid w:val="38D90432"/>
    <w:rsid w:val="38F65019"/>
    <w:rsid w:val="3914510A"/>
    <w:rsid w:val="3926770B"/>
    <w:rsid w:val="39287538"/>
    <w:rsid w:val="3982065B"/>
    <w:rsid w:val="398D3668"/>
    <w:rsid w:val="39DA0497"/>
    <w:rsid w:val="3A041C70"/>
    <w:rsid w:val="3A893816"/>
    <w:rsid w:val="3A893B6D"/>
    <w:rsid w:val="3AD1763A"/>
    <w:rsid w:val="3AE25532"/>
    <w:rsid w:val="3B196883"/>
    <w:rsid w:val="3B1D3EE2"/>
    <w:rsid w:val="3B6716E3"/>
    <w:rsid w:val="3B6C6B2D"/>
    <w:rsid w:val="3B7A6C07"/>
    <w:rsid w:val="3C242659"/>
    <w:rsid w:val="3C96719C"/>
    <w:rsid w:val="3C990195"/>
    <w:rsid w:val="3CA72BE8"/>
    <w:rsid w:val="3CDC1E1E"/>
    <w:rsid w:val="3CF37F8C"/>
    <w:rsid w:val="3D137554"/>
    <w:rsid w:val="3D32165E"/>
    <w:rsid w:val="3D5275AC"/>
    <w:rsid w:val="3DCC2473"/>
    <w:rsid w:val="3DD86A9B"/>
    <w:rsid w:val="3DEB0883"/>
    <w:rsid w:val="3E2527BF"/>
    <w:rsid w:val="3E70484C"/>
    <w:rsid w:val="3E731662"/>
    <w:rsid w:val="3E8168DD"/>
    <w:rsid w:val="3EA7725F"/>
    <w:rsid w:val="3EB03713"/>
    <w:rsid w:val="3EBF1A11"/>
    <w:rsid w:val="3EC52607"/>
    <w:rsid w:val="3EEC6CEF"/>
    <w:rsid w:val="3F123BFC"/>
    <w:rsid w:val="3F183429"/>
    <w:rsid w:val="3FAA26B9"/>
    <w:rsid w:val="3FAB1226"/>
    <w:rsid w:val="3FB77A1D"/>
    <w:rsid w:val="3FDC3674"/>
    <w:rsid w:val="3FDD07D5"/>
    <w:rsid w:val="3FED7F8A"/>
    <w:rsid w:val="40094AEF"/>
    <w:rsid w:val="40196700"/>
    <w:rsid w:val="405470BD"/>
    <w:rsid w:val="40794A29"/>
    <w:rsid w:val="40834692"/>
    <w:rsid w:val="41016A58"/>
    <w:rsid w:val="41032081"/>
    <w:rsid w:val="412A3AB2"/>
    <w:rsid w:val="4132239B"/>
    <w:rsid w:val="41431AD5"/>
    <w:rsid w:val="414B3C0F"/>
    <w:rsid w:val="417C1CE7"/>
    <w:rsid w:val="41900018"/>
    <w:rsid w:val="41944406"/>
    <w:rsid w:val="41CE128F"/>
    <w:rsid w:val="41DA6F12"/>
    <w:rsid w:val="41E579D9"/>
    <w:rsid w:val="41EF0857"/>
    <w:rsid w:val="42171FB1"/>
    <w:rsid w:val="422229DB"/>
    <w:rsid w:val="42375FFF"/>
    <w:rsid w:val="42770F78"/>
    <w:rsid w:val="42C10D7B"/>
    <w:rsid w:val="42C341BE"/>
    <w:rsid w:val="43252782"/>
    <w:rsid w:val="434E6957"/>
    <w:rsid w:val="4391729B"/>
    <w:rsid w:val="43A65A79"/>
    <w:rsid w:val="43BA0E31"/>
    <w:rsid w:val="43C15147"/>
    <w:rsid w:val="43E14DD2"/>
    <w:rsid w:val="43F800E9"/>
    <w:rsid w:val="441866D6"/>
    <w:rsid w:val="442A7780"/>
    <w:rsid w:val="443A7E4B"/>
    <w:rsid w:val="444A7D08"/>
    <w:rsid w:val="44C45289"/>
    <w:rsid w:val="44FC39B7"/>
    <w:rsid w:val="452F5B3A"/>
    <w:rsid w:val="454E7FD2"/>
    <w:rsid w:val="457C68A6"/>
    <w:rsid w:val="45A75961"/>
    <w:rsid w:val="45F0527E"/>
    <w:rsid w:val="46061BDC"/>
    <w:rsid w:val="461404F8"/>
    <w:rsid w:val="46413018"/>
    <w:rsid w:val="464B7E04"/>
    <w:rsid w:val="468041AA"/>
    <w:rsid w:val="468123C6"/>
    <w:rsid w:val="46901EEE"/>
    <w:rsid w:val="469C74D2"/>
    <w:rsid w:val="46B121E4"/>
    <w:rsid w:val="46D87B0C"/>
    <w:rsid w:val="47445515"/>
    <w:rsid w:val="47451BD8"/>
    <w:rsid w:val="474B4782"/>
    <w:rsid w:val="4789176B"/>
    <w:rsid w:val="478F2965"/>
    <w:rsid w:val="47C6205A"/>
    <w:rsid w:val="47D90D14"/>
    <w:rsid w:val="47DE1152"/>
    <w:rsid w:val="48387FB0"/>
    <w:rsid w:val="483A6114"/>
    <w:rsid w:val="483D056E"/>
    <w:rsid w:val="487D6BBD"/>
    <w:rsid w:val="488727DB"/>
    <w:rsid w:val="48B82268"/>
    <w:rsid w:val="48C354B3"/>
    <w:rsid w:val="492434DC"/>
    <w:rsid w:val="493D58B5"/>
    <w:rsid w:val="494A7A04"/>
    <w:rsid w:val="49605EF7"/>
    <w:rsid w:val="499B6640"/>
    <w:rsid w:val="4A0A26D2"/>
    <w:rsid w:val="4A2019A5"/>
    <w:rsid w:val="4A241A0B"/>
    <w:rsid w:val="4A5C2BD7"/>
    <w:rsid w:val="4A7B2875"/>
    <w:rsid w:val="4A934476"/>
    <w:rsid w:val="4A9C318A"/>
    <w:rsid w:val="4AAA220A"/>
    <w:rsid w:val="4AE12E67"/>
    <w:rsid w:val="4B4C0111"/>
    <w:rsid w:val="4B8553A9"/>
    <w:rsid w:val="4B8F7333"/>
    <w:rsid w:val="4BBB3347"/>
    <w:rsid w:val="4BDB3730"/>
    <w:rsid w:val="4C200F7A"/>
    <w:rsid w:val="4CEE3180"/>
    <w:rsid w:val="4D0F4AF6"/>
    <w:rsid w:val="4D6B7C12"/>
    <w:rsid w:val="4DCB03CA"/>
    <w:rsid w:val="4DF94F37"/>
    <w:rsid w:val="4E0A1DD5"/>
    <w:rsid w:val="4E3160E5"/>
    <w:rsid w:val="4E4D37AF"/>
    <w:rsid w:val="4E8C6496"/>
    <w:rsid w:val="4EA76741"/>
    <w:rsid w:val="4EFD18DE"/>
    <w:rsid w:val="4F0E67C1"/>
    <w:rsid w:val="4F144236"/>
    <w:rsid w:val="4F663C87"/>
    <w:rsid w:val="4F7E29A8"/>
    <w:rsid w:val="4F9E1FFC"/>
    <w:rsid w:val="4FB6544E"/>
    <w:rsid w:val="4FFC2ABD"/>
    <w:rsid w:val="50447CC2"/>
    <w:rsid w:val="50726A1D"/>
    <w:rsid w:val="50874A7C"/>
    <w:rsid w:val="50895EE7"/>
    <w:rsid w:val="50921B9D"/>
    <w:rsid w:val="50D16158"/>
    <w:rsid w:val="50DB5F45"/>
    <w:rsid w:val="51025EB1"/>
    <w:rsid w:val="51086CC9"/>
    <w:rsid w:val="51141503"/>
    <w:rsid w:val="513C450E"/>
    <w:rsid w:val="518D0ED5"/>
    <w:rsid w:val="51EE6B5D"/>
    <w:rsid w:val="525C687F"/>
    <w:rsid w:val="52A3740A"/>
    <w:rsid w:val="52AF0810"/>
    <w:rsid w:val="52F647F7"/>
    <w:rsid w:val="52F92565"/>
    <w:rsid w:val="530E3233"/>
    <w:rsid w:val="53A939EB"/>
    <w:rsid w:val="53AE735E"/>
    <w:rsid w:val="53D03877"/>
    <w:rsid w:val="542F73CA"/>
    <w:rsid w:val="5430786D"/>
    <w:rsid w:val="545A1D2A"/>
    <w:rsid w:val="54A26461"/>
    <w:rsid w:val="54C811C0"/>
    <w:rsid w:val="55081FAE"/>
    <w:rsid w:val="55322ADD"/>
    <w:rsid w:val="556A442D"/>
    <w:rsid w:val="55DA564E"/>
    <w:rsid w:val="55E816A3"/>
    <w:rsid w:val="5604127D"/>
    <w:rsid w:val="56044E6C"/>
    <w:rsid w:val="56166703"/>
    <w:rsid w:val="56510474"/>
    <w:rsid w:val="566E5D97"/>
    <w:rsid w:val="56861525"/>
    <w:rsid w:val="56A93273"/>
    <w:rsid w:val="56BD550C"/>
    <w:rsid w:val="56E07045"/>
    <w:rsid w:val="56FF28AF"/>
    <w:rsid w:val="57540E7D"/>
    <w:rsid w:val="57554DCE"/>
    <w:rsid w:val="577B4878"/>
    <w:rsid w:val="57926973"/>
    <w:rsid w:val="57D1482F"/>
    <w:rsid w:val="58175352"/>
    <w:rsid w:val="581F2200"/>
    <w:rsid w:val="583059FA"/>
    <w:rsid w:val="584A0929"/>
    <w:rsid w:val="58823D7B"/>
    <w:rsid w:val="58B008E9"/>
    <w:rsid w:val="58BA3515"/>
    <w:rsid w:val="58CD2491"/>
    <w:rsid w:val="591B41B2"/>
    <w:rsid w:val="591E03CB"/>
    <w:rsid w:val="59254A26"/>
    <w:rsid w:val="59305585"/>
    <w:rsid w:val="59326325"/>
    <w:rsid w:val="595C505B"/>
    <w:rsid w:val="595E55C3"/>
    <w:rsid w:val="596E7E20"/>
    <w:rsid w:val="599D70BF"/>
    <w:rsid w:val="59B30F36"/>
    <w:rsid w:val="5A5D23AA"/>
    <w:rsid w:val="5A60780B"/>
    <w:rsid w:val="5AB34579"/>
    <w:rsid w:val="5AB40E78"/>
    <w:rsid w:val="5AF80B40"/>
    <w:rsid w:val="5AFC6609"/>
    <w:rsid w:val="5B113480"/>
    <w:rsid w:val="5B8027F4"/>
    <w:rsid w:val="5B9725E1"/>
    <w:rsid w:val="5BD456CE"/>
    <w:rsid w:val="5BFA17D8"/>
    <w:rsid w:val="5C0D1F49"/>
    <w:rsid w:val="5C2B5EEC"/>
    <w:rsid w:val="5CBB0CE2"/>
    <w:rsid w:val="5CC17177"/>
    <w:rsid w:val="5CC46711"/>
    <w:rsid w:val="5CF306BC"/>
    <w:rsid w:val="5D325D70"/>
    <w:rsid w:val="5D3F3D64"/>
    <w:rsid w:val="5D833043"/>
    <w:rsid w:val="5DAF16E2"/>
    <w:rsid w:val="5DB06C95"/>
    <w:rsid w:val="5DD92690"/>
    <w:rsid w:val="5DDB1CFD"/>
    <w:rsid w:val="5DF573AF"/>
    <w:rsid w:val="5E7E6D93"/>
    <w:rsid w:val="5E82459B"/>
    <w:rsid w:val="5ED44800"/>
    <w:rsid w:val="5F081124"/>
    <w:rsid w:val="5F226AB0"/>
    <w:rsid w:val="5F350BDE"/>
    <w:rsid w:val="5F61632C"/>
    <w:rsid w:val="5F7505BB"/>
    <w:rsid w:val="5FA17648"/>
    <w:rsid w:val="5FB503EB"/>
    <w:rsid w:val="5FC1162D"/>
    <w:rsid w:val="5FCE7BB5"/>
    <w:rsid w:val="5FCF78A6"/>
    <w:rsid w:val="5FE705CB"/>
    <w:rsid w:val="6007714E"/>
    <w:rsid w:val="603D5080"/>
    <w:rsid w:val="604A1623"/>
    <w:rsid w:val="605424A1"/>
    <w:rsid w:val="606842D0"/>
    <w:rsid w:val="60D0261B"/>
    <w:rsid w:val="618E3791"/>
    <w:rsid w:val="61947DCA"/>
    <w:rsid w:val="61A46A97"/>
    <w:rsid w:val="61AB4343"/>
    <w:rsid w:val="61D1382F"/>
    <w:rsid w:val="61F114A2"/>
    <w:rsid w:val="620826E5"/>
    <w:rsid w:val="622B0ABA"/>
    <w:rsid w:val="62512BB4"/>
    <w:rsid w:val="625B5841"/>
    <w:rsid w:val="625D7D1A"/>
    <w:rsid w:val="62660469"/>
    <w:rsid w:val="62DD7D21"/>
    <w:rsid w:val="62EA0E9B"/>
    <w:rsid w:val="632779F9"/>
    <w:rsid w:val="635C5EA0"/>
    <w:rsid w:val="637D586B"/>
    <w:rsid w:val="639E7D62"/>
    <w:rsid w:val="63A5560B"/>
    <w:rsid w:val="63A707BD"/>
    <w:rsid w:val="63E9091F"/>
    <w:rsid w:val="64260D50"/>
    <w:rsid w:val="64314CBE"/>
    <w:rsid w:val="64322AF9"/>
    <w:rsid w:val="649317EA"/>
    <w:rsid w:val="64D6010D"/>
    <w:rsid w:val="64D82665"/>
    <w:rsid w:val="64E47C96"/>
    <w:rsid w:val="651E5741"/>
    <w:rsid w:val="65407929"/>
    <w:rsid w:val="655D7702"/>
    <w:rsid w:val="658A4877"/>
    <w:rsid w:val="65A00902"/>
    <w:rsid w:val="65AC6EDD"/>
    <w:rsid w:val="65D97752"/>
    <w:rsid w:val="66085536"/>
    <w:rsid w:val="66105BF7"/>
    <w:rsid w:val="66150023"/>
    <w:rsid w:val="6628010D"/>
    <w:rsid w:val="663E784C"/>
    <w:rsid w:val="66623CD3"/>
    <w:rsid w:val="66903B07"/>
    <w:rsid w:val="669B4528"/>
    <w:rsid w:val="66CC12D7"/>
    <w:rsid w:val="67134CEF"/>
    <w:rsid w:val="671F1ABD"/>
    <w:rsid w:val="67521A59"/>
    <w:rsid w:val="67C304AB"/>
    <w:rsid w:val="683F0658"/>
    <w:rsid w:val="68556DB7"/>
    <w:rsid w:val="689C6793"/>
    <w:rsid w:val="68DB0208"/>
    <w:rsid w:val="68EB0A63"/>
    <w:rsid w:val="68FB170C"/>
    <w:rsid w:val="690A5DF3"/>
    <w:rsid w:val="691B3D98"/>
    <w:rsid w:val="693748F0"/>
    <w:rsid w:val="694848E5"/>
    <w:rsid w:val="69846A0E"/>
    <w:rsid w:val="69A30E1A"/>
    <w:rsid w:val="69AA1366"/>
    <w:rsid w:val="69AD798C"/>
    <w:rsid w:val="69D005C0"/>
    <w:rsid w:val="69D80B96"/>
    <w:rsid w:val="69E93CEB"/>
    <w:rsid w:val="69F47AD7"/>
    <w:rsid w:val="6A2C39D4"/>
    <w:rsid w:val="6A3F1ACC"/>
    <w:rsid w:val="6A893D23"/>
    <w:rsid w:val="6AA8002E"/>
    <w:rsid w:val="6B03634C"/>
    <w:rsid w:val="6B68175F"/>
    <w:rsid w:val="6BFD799F"/>
    <w:rsid w:val="6C4A2E5A"/>
    <w:rsid w:val="6C8138D0"/>
    <w:rsid w:val="6C8F1D13"/>
    <w:rsid w:val="6CA81BAB"/>
    <w:rsid w:val="6CEF0725"/>
    <w:rsid w:val="6D080C9C"/>
    <w:rsid w:val="6D0D7C60"/>
    <w:rsid w:val="6D4B2604"/>
    <w:rsid w:val="6D77358F"/>
    <w:rsid w:val="6D8030E4"/>
    <w:rsid w:val="6E0E35C4"/>
    <w:rsid w:val="6E0F7A08"/>
    <w:rsid w:val="6E3947F5"/>
    <w:rsid w:val="6E6733A0"/>
    <w:rsid w:val="6E6E3938"/>
    <w:rsid w:val="6E9C74ED"/>
    <w:rsid w:val="6EBE69D3"/>
    <w:rsid w:val="6ED22CDD"/>
    <w:rsid w:val="6EF72976"/>
    <w:rsid w:val="6F795A80"/>
    <w:rsid w:val="6F7C1D2E"/>
    <w:rsid w:val="6F8E0407"/>
    <w:rsid w:val="6FDD069F"/>
    <w:rsid w:val="702B4D16"/>
    <w:rsid w:val="70AA6621"/>
    <w:rsid w:val="7111480F"/>
    <w:rsid w:val="71261F49"/>
    <w:rsid w:val="712E6956"/>
    <w:rsid w:val="71453E6C"/>
    <w:rsid w:val="71473612"/>
    <w:rsid w:val="714C10CE"/>
    <w:rsid w:val="71504F32"/>
    <w:rsid w:val="7152309F"/>
    <w:rsid w:val="718F7F65"/>
    <w:rsid w:val="71BB183F"/>
    <w:rsid w:val="71DA6992"/>
    <w:rsid w:val="72691D1D"/>
    <w:rsid w:val="727B234E"/>
    <w:rsid w:val="728A58B0"/>
    <w:rsid w:val="72997F9E"/>
    <w:rsid w:val="72D068C7"/>
    <w:rsid w:val="72E42ED8"/>
    <w:rsid w:val="72E871A5"/>
    <w:rsid w:val="72FC34C3"/>
    <w:rsid w:val="730934D8"/>
    <w:rsid w:val="731E2BC7"/>
    <w:rsid w:val="735F4CB9"/>
    <w:rsid w:val="73674C62"/>
    <w:rsid w:val="73845865"/>
    <w:rsid w:val="739B6D9E"/>
    <w:rsid w:val="73BC1D76"/>
    <w:rsid w:val="73FB6630"/>
    <w:rsid w:val="748D790E"/>
    <w:rsid w:val="749820CC"/>
    <w:rsid w:val="74A32686"/>
    <w:rsid w:val="74CE04EC"/>
    <w:rsid w:val="74E76DCD"/>
    <w:rsid w:val="74EB5D0E"/>
    <w:rsid w:val="751D7C0A"/>
    <w:rsid w:val="75722D56"/>
    <w:rsid w:val="75A50B6C"/>
    <w:rsid w:val="75DB5477"/>
    <w:rsid w:val="75FC6AC3"/>
    <w:rsid w:val="760761F4"/>
    <w:rsid w:val="7616619B"/>
    <w:rsid w:val="76200A04"/>
    <w:rsid w:val="765B7685"/>
    <w:rsid w:val="76660D7C"/>
    <w:rsid w:val="766C5968"/>
    <w:rsid w:val="766D79C1"/>
    <w:rsid w:val="76903886"/>
    <w:rsid w:val="76BE0C8F"/>
    <w:rsid w:val="76CD53B2"/>
    <w:rsid w:val="76E6594C"/>
    <w:rsid w:val="770719AC"/>
    <w:rsid w:val="776526CC"/>
    <w:rsid w:val="77A262E1"/>
    <w:rsid w:val="77B13C33"/>
    <w:rsid w:val="77DC095A"/>
    <w:rsid w:val="77ED6F44"/>
    <w:rsid w:val="77F45548"/>
    <w:rsid w:val="77FC440B"/>
    <w:rsid w:val="784E7CA6"/>
    <w:rsid w:val="78574801"/>
    <w:rsid w:val="7873527F"/>
    <w:rsid w:val="78745037"/>
    <w:rsid w:val="78AC109D"/>
    <w:rsid w:val="79074D21"/>
    <w:rsid w:val="790A6425"/>
    <w:rsid w:val="790E2D96"/>
    <w:rsid w:val="791B54B2"/>
    <w:rsid w:val="793C0F89"/>
    <w:rsid w:val="795A0A34"/>
    <w:rsid w:val="797339C3"/>
    <w:rsid w:val="79D57D57"/>
    <w:rsid w:val="79F00650"/>
    <w:rsid w:val="7A6242BF"/>
    <w:rsid w:val="7A6F441A"/>
    <w:rsid w:val="7A794513"/>
    <w:rsid w:val="7A9B3811"/>
    <w:rsid w:val="7AB467DA"/>
    <w:rsid w:val="7AB9318D"/>
    <w:rsid w:val="7ACD0A2E"/>
    <w:rsid w:val="7AE952D2"/>
    <w:rsid w:val="7B4F08C7"/>
    <w:rsid w:val="7B9F26AF"/>
    <w:rsid w:val="7BB607FE"/>
    <w:rsid w:val="7C7248A0"/>
    <w:rsid w:val="7C814771"/>
    <w:rsid w:val="7C976D69"/>
    <w:rsid w:val="7CD752DA"/>
    <w:rsid w:val="7CDE40AB"/>
    <w:rsid w:val="7CF057E2"/>
    <w:rsid w:val="7D036989"/>
    <w:rsid w:val="7D0F3580"/>
    <w:rsid w:val="7D1548B5"/>
    <w:rsid w:val="7D2273F7"/>
    <w:rsid w:val="7D73229C"/>
    <w:rsid w:val="7D7426FB"/>
    <w:rsid w:val="7DB52379"/>
    <w:rsid w:val="7DEC38C1"/>
    <w:rsid w:val="7DF84014"/>
    <w:rsid w:val="7E176B90"/>
    <w:rsid w:val="7E19389D"/>
    <w:rsid w:val="7E207949"/>
    <w:rsid w:val="7E5C0A47"/>
    <w:rsid w:val="7E670C75"/>
    <w:rsid w:val="7EE24272"/>
    <w:rsid w:val="7EEA6053"/>
    <w:rsid w:val="7F37602F"/>
    <w:rsid w:val="7F487C04"/>
    <w:rsid w:val="7F611CBA"/>
    <w:rsid w:val="7FB45F21"/>
    <w:rsid w:val="7FC95C68"/>
    <w:rsid w:val="7FE57088"/>
    <w:rsid w:val="7FE9455C"/>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5953</Words>
  <Characters>6630</Characters>
  <Lines>0</Lines>
  <Paragraphs>0</Paragraphs>
  <TotalTime>4</TotalTime>
  <ScaleCrop>false</ScaleCrop>
  <LinksUpToDate>false</LinksUpToDate>
  <CharactersWithSpaces>6670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雯雯酱</cp:lastModifiedBy>
  <dcterms:modified xsi:type="dcterms:W3CDTF">2025-03-28T03:37:30Z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D624B15633CD43C8BF9435464A96BF70</vt:lpwstr>
  </property>
  <property fmtid="{D5CDD505-2E9C-101B-9397-08002B2CF9AE}" pid="4" name="KSOTemplateDocerSaveRecord">
    <vt:lpwstr>eyJoZGlkIjoiZDU4MmQ2ZWMyMDZlYzhmM2M0MmMwNGNmYmFiY2Q3YTQiLCJ1c2VySWQiOiI1Mzk1NTEzNjcifQ==</vt:lpwstr>
  </property>
</Properties>
</file>