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96"/>
          <w:szCs w:val="96"/>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沙湾市商务和工业信息化局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val="0"/>
        <w:snapToGrid w:val="0"/>
        <w:spacing w:line="550" w:lineRule="atLeast"/>
        <w:jc w:val="both"/>
        <w:textAlignment w:val="auto"/>
        <w:rPr>
          <w:rFonts w:hint="eastAsia" w:ascii="仿宋_GB2312" w:eastAsia="仿宋_GB2312"/>
          <w:color w:val="auto"/>
          <w:sz w:val="32"/>
          <w:szCs w:val="32"/>
          <w:highlight w:val="none"/>
        </w:rPr>
      </w:pPr>
      <w:bookmarkStart w:id="4" w:name="_Toc31238"/>
      <w:bookmarkStart w:id="5" w:name="_Toc2151"/>
      <w:r>
        <w:rPr>
          <w:rFonts w:hint="eastAsia" w:ascii="仿宋" w:hAnsi="仿宋" w:eastAsia="仿宋"/>
          <w:sz w:val="30"/>
          <w:szCs w:val="30"/>
        </w:rPr>
        <w:t>（1）</w:t>
      </w:r>
      <w:r>
        <w:rPr>
          <w:rFonts w:hint="eastAsia" w:ascii="仿宋_GB2312" w:eastAsia="仿宋_GB2312"/>
          <w:color w:val="auto"/>
          <w:sz w:val="32"/>
          <w:szCs w:val="32"/>
          <w:highlight w:val="none"/>
        </w:rPr>
        <w:t>贯彻执行国家、自治区有关商务和工业信息化工作的方针、政策和法律、法规，提出关于国内外贸易、国际经济合作、</w:t>
      </w:r>
      <w:r>
        <w:rPr>
          <w:rFonts w:hint="eastAsia" w:ascii="仿宋_GB2312" w:eastAsia="仿宋_GB2312"/>
          <w:color w:val="auto"/>
          <w:sz w:val="32"/>
          <w:szCs w:val="32"/>
          <w:highlight w:val="none"/>
          <w:lang w:eastAsia="zh-CN"/>
        </w:rPr>
        <w:t>市经济和信息化局</w:t>
      </w:r>
      <w:r>
        <w:rPr>
          <w:rFonts w:hint="eastAsia" w:ascii="仿宋_GB2312" w:eastAsia="仿宋_GB2312"/>
          <w:color w:val="auto"/>
          <w:sz w:val="32"/>
          <w:szCs w:val="32"/>
          <w:highlight w:val="none"/>
        </w:rPr>
        <w:t>、新型工业化、招商引资发展战略及建议并组织实施和监督检查；协调解决工业化和信息化进程中的重大问题；推进信息化和工业化融合。</w:t>
      </w:r>
    </w:p>
    <w:p>
      <w:pPr>
        <w:keepNext w:val="0"/>
        <w:keepLines w:val="0"/>
        <w:pageBreakBefore w:val="0"/>
        <w:widowControl w:val="0"/>
        <w:kinsoku/>
        <w:wordWrap/>
        <w:overflowPunct/>
        <w:topLinePunct w:val="0"/>
        <w:autoSpaceDE/>
        <w:autoSpaceDN/>
        <w:bidi w:val="0"/>
        <w:adjustRightInd w:val="0"/>
        <w:snapToGrid w:val="0"/>
        <w:spacing w:line="550" w:lineRule="atLeast"/>
        <w:jc w:val="both"/>
        <w:textAlignment w:val="auto"/>
        <w:rPr>
          <w:rFonts w:hint="eastAsia" w:ascii="仿宋_GB2312" w:eastAsia="仿宋_GB2312"/>
          <w:color w:val="auto"/>
          <w:sz w:val="32"/>
          <w:szCs w:val="32"/>
          <w:highlight w:val="none"/>
        </w:rPr>
      </w:pPr>
      <w:r>
        <w:rPr>
          <w:rFonts w:hint="eastAsia" w:ascii="仿宋" w:hAnsi="仿宋" w:eastAsia="仿宋"/>
          <w:sz w:val="30"/>
          <w:szCs w:val="30"/>
        </w:rPr>
        <w:t>（2）</w:t>
      </w:r>
      <w:r>
        <w:rPr>
          <w:rFonts w:hint="eastAsia" w:ascii="仿宋_GB2312" w:eastAsia="仿宋_GB2312"/>
          <w:color w:val="auto"/>
          <w:sz w:val="32"/>
          <w:szCs w:val="32"/>
          <w:highlight w:val="none"/>
        </w:rPr>
        <w:t>拟定贸易、经济合作、信息化、新型工业化、招商引资发展规划。提出重点行业的调整方案和重点产品升级提升的方案。</w:t>
      </w:r>
    </w:p>
    <w:p>
      <w:pPr>
        <w:keepNext w:val="0"/>
        <w:keepLines w:val="0"/>
        <w:pageBreakBefore w:val="0"/>
        <w:widowControl w:val="0"/>
        <w:kinsoku/>
        <w:wordWrap/>
        <w:overflowPunct/>
        <w:topLinePunct w:val="0"/>
        <w:autoSpaceDE/>
        <w:autoSpaceDN/>
        <w:bidi w:val="0"/>
        <w:adjustRightInd w:val="0"/>
        <w:snapToGrid w:val="0"/>
        <w:spacing w:line="550" w:lineRule="atLeast"/>
        <w:jc w:val="both"/>
        <w:textAlignment w:val="auto"/>
        <w:rPr>
          <w:rFonts w:hint="eastAsia" w:ascii="仿宋_GB2312" w:eastAsia="仿宋_GB2312"/>
          <w:color w:val="auto"/>
          <w:sz w:val="32"/>
          <w:szCs w:val="32"/>
          <w:highlight w:val="none"/>
        </w:rPr>
      </w:pPr>
      <w:r>
        <w:rPr>
          <w:rFonts w:hint="eastAsia" w:ascii="仿宋" w:hAnsi="仿宋" w:eastAsia="仿宋"/>
          <w:sz w:val="30"/>
          <w:szCs w:val="30"/>
        </w:rPr>
        <w:t>（3）</w:t>
      </w:r>
      <w:r>
        <w:rPr>
          <w:rFonts w:hint="eastAsia" w:ascii="仿宋_GB2312" w:eastAsia="仿宋_GB2312"/>
          <w:color w:val="auto"/>
          <w:sz w:val="32"/>
          <w:szCs w:val="32"/>
          <w:highlight w:val="none"/>
        </w:rPr>
        <w:t>检测、分析商贸经济运行、工业和信息化运行，调节工业商贸经济日常运行，建立工业商贸经济运行预警制定；编制并组织实施近期经济运行调控目标、政策和措施；收集、整理、分析和发布工业和信息化信息；组织、协调解决经济运行中重点问题并向</w:t>
      </w:r>
      <w:r>
        <w:rPr>
          <w:rFonts w:hint="eastAsia" w:ascii="仿宋_GB2312" w:eastAsia="仿宋_GB2312"/>
          <w:color w:val="auto"/>
          <w:sz w:val="32"/>
          <w:szCs w:val="32"/>
          <w:highlight w:val="none"/>
          <w:lang w:eastAsia="zh-CN"/>
        </w:rPr>
        <w:t>市委、市政府</w:t>
      </w:r>
      <w:r>
        <w:rPr>
          <w:rFonts w:hint="eastAsia" w:ascii="仿宋_GB2312" w:eastAsia="仿宋_GB2312"/>
          <w:color w:val="auto"/>
          <w:sz w:val="32"/>
          <w:szCs w:val="32"/>
          <w:highlight w:val="none"/>
        </w:rPr>
        <w:t>提出意见和建议。负责协调油地关系，协调解决油气运输等重大问题，组织实施现代物流业发展的相关政策措施，负责工业经济运行和产业安全有关工作。</w:t>
      </w:r>
    </w:p>
    <w:p>
      <w:pPr>
        <w:keepNext w:val="0"/>
        <w:keepLines w:val="0"/>
        <w:pageBreakBefore w:val="0"/>
        <w:widowControl w:val="0"/>
        <w:kinsoku/>
        <w:wordWrap/>
        <w:overflowPunct/>
        <w:topLinePunct w:val="0"/>
        <w:autoSpaceDE/>
        <w:autoSpaceDN/>
        <w:bidi w:val="0"/>
        <w:adjustRightInd w:val="0"/>
        <w:snapToGrid w:val="0"/>
        <w:spacing w:line="550" w:lineRule="atLeast"/>
        <w:jc w:val="both"/>
        <w:textAlignment w:val="auto"/>
        <w:rPr>
          <w:rFonts w:hint="eastAsia" w:ascii="仿宋_GB2312" w:eastAsia="仿宋_GB2312"/>
          <w:color w:val="auto"/>
          <w:sz w:val="32"/>
          <w:szCs w:val="32"/>
          <w:highlight w:val="none"/>
        </w:rPr>
      </w:pPr>
      <w:r>
        <w:rPr>
          <w:rFonts w:hint="eastAsia" w:ascii="仿宋" w:hAnsi="仿宋" w:eastAsia="仿宋"/>
          <w:sz w:val="30"/>
          <w:szCs w:val="30"/>
        </w:rPr>
        <w:t>（4）</w:t>
      </w:r>
      <w:r>
        <w:rPr>
          <w:rFonts w:hint="eastAsia" w:ascii="仿宋_GB2312" w:eastAsia="仿宋_GB2312"/>
          <w:color w:val="auto"/>
          <w:sz w:val="32"/>
          <w:szCs w:val="32"/>
          <w:highlight w:val="none"/>
        </w:rPr>
        <w:t>负责商贸、新型工业化和信息化领域各行业的管理，贯彻落实国家、自治区行业规划、技术规范和标准，指导有关行业协会、商会的工作；负责盐业行业管理；负责煤电煤化工产业发展；实施石油化工、冶金、有色金属、黄金、轻工、农副产品加工、纺织、机电、建材等行业管理。</w:t>
      </w:r>
    </w:p>
    <w:p>
      <w:pPr>
        <w:keepNext w:val="0"/>
        <w:keepLines w:val="0"/>
        <w:pageBreakBefore w:val="0"/>
        <w:widowControl w:val="0"/>
        <w:kinsoku/>
        <w:wordWrap/>
        <w:overflowPunct/>
        <w:topLinePunct w:val="0"/>
        <w:autoSpaceDE/>
        <w:autoSpaceDN/>
        <w:bidi w:val="0"/>
        <w:adjustRightInd w:val="0"/>
        <w:snapToGrid w:val="0"/>
        <w:spacing w:line="550" w:lineRule="atLeast"/>
        <w:jc w:val="both"/>
        <w:textAlignment w:val="auto"/>
        <w:rPr>
          <w:rFonts w:hint="eastAsia" w:ascii="仿宋_GB2312" w:eastAsia="仿宋_GB2312"/>
          <w:color w:val="auto"/>
          <w:sz w:val="32"/>
          <w:szCs w:val="32"/>
          <w:highlight w:val="none"/>
        </w:rPr>
      </w:pPr>
      <w:r>
        <w:rPr>
          <w:rFonts w:hint="eastAsia" w:ascii="仿宋" w:hAnsi="仿宋" w:eastAsia="仿宋"/>
          <w:spacing w:val="-6"/>
          <w:sz w:val="30"/>
          <w:szCs w:val="30"/>
        </w:rPr>
        <w:t>（5）</w:t>
      </w:r>
      <w:r>
        <w:rPr>
          <w:rFonts w:hint="eastAsia" w:ascii="仿宋_GB2312" w:eastAsia="仿宋_GB2312"/>
          <w:color w:val="auto"/>
          <w:sz w:val="32"/>
          <w:szCs w:val="32"/>
          <w:highlight w:val="none"/>
        </w:rPr>
        <w:t>负责工业和信息产业及信息化建设的技术改造投资管理；贯彻落实国家、自治区技术改造投资的有关政策措施；负责落实技术改造投资项目的具体实施。</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 w:hAnsi="仿宋" w:eastAsia="仿宋"/>
          <w:sz w:val="30"/>
          <w:szCs w:val="30"/>
        </w:rPr>
      </w:pPr>
      <w:r>
        <w:rPr>
          <w:rFonts w:hint="eastAsia" w:ascii="仿宋" w:hAnsi="仿宋" w:eastAsia="仿宋"/>
          <w:sz w:val="30"/>
          <w:szCs w:val="30"/>
        </w:rPr>
        <w:t>（6）</w:t>
      </w:r>
      <w:r>
        <w:rPr>
          <w:rFonts w:hint="eastAsia" w:ascii="仿宋_GB2312" w:eastAsia="仿宋_GB2312"/>
          <w:color w:val="auto"/>
          <w:sz w:val="32"/>
          <w:szCs w:val="32"/>
          <w:highlight w:val="none"/>
        </w:rPr>
        <w:t>组织贯彻落实国家、自治区工业和信息化领域技术创新政策措施、制作产业发展工作；培育和发展战略性新兴产业；负责推进装备制造产业发展工作；组织实施工业和信息化领域对外经济技术合作、交流及</w:t>
      </w:r>
      <w:r>
        <w:rPr>
          <w:rFonts w:hint="eastAsia" w:ascii="仿宋_GB2312" w:eastAsia="仿宋_GB2312"/>
          <w:color w:val="auto"/>
          <w:sz w:val="32"/>
          <w:szCs w:val="32"/>
          <w:highlight w:val="none"/>
          <w:lang w:eastAsia="zh-CN"/>
        </w:rPr>
        <w:t>招商引资工作</w:t>
      </w:r>
      <w:r>
        <w:rPr>
          <w:rFonts w:hint="eastAsia" w:ascii="仿宋_GB2312" w:eastAsia="仿宋_GB2312"/>
          <w:color w:val="auto"/>
          <w:sz w:val="32"/>
          <w:szCs w:val="32"/>
          <w:highlight w:val="none"/>
        </w:rPr>
        <w:t xml:space="preserve">。   </w:t>
      </w:r>
      <w:r>
        <w:rPr>
          <w:rFonts w:hint="eastAsia" w:ascii="仿宋" w:hAnsi="仿宋" w:eastAsia="仿宋"/>
          <w:sz w:val="30"/>
          <w:szCs w:val="30"/>
        </w:rPr>
        <w:t xml:space="preserve">                                       </w:t>
      </w:r>
      <w:r>
        <w:rPr>
          <w:rFonts w:hint="eastAsia" w:ascii="仿宋" w:hAnsi="仿宋" w:eastAsia="仿宋"/>
          <w:sz w:val="30"/>
          <w:szCs w:val="30"/>
          <w:lang w:val="en-US" w:eastAsia="zh-CN"/>
        </w:rPr>
        <w:t xml:space="preserve">                  （</w:t>
      </w:r>
      <w:r>
        <w:rPr>
          <w:rFonts w:hint="eastAsia" w:ascii="仿宋" w:hAnsi="仿宋" w:eastAsia="仿宋"/>
          <w:sz w:val="30"/>
          <w:szCs w:val="30"/>
        </w:rPr>
        <w:t>7）</w:t>
      </w:r>
      <w:r>
        <w:rPr>
          <w:rFonts w:hint="eastAsia" w:ascii="仿宋_GB2312" w:eastAsia="仿宋_GB2312"/>
          <w:color w:val="auto"/>
          <w:sz w:val="32"/>
          <w:szCs w:val="32"/>
          <w:highlight w:val="none"/>
        </w:rPr>
        <w:t xml:space="preserve">落实工业和信息化领域体制改革和管理创新；贯彻落实国家、自治区促进中小企业发展的相关政策措施，负责对中小企业的宏观指导和服务，指导中小企业改革与发展，建立健全服务体系；负责落实工业和信息化领域人员的培训；负责组织协调减轻企业负担工作。 </w:t>
      </w:r>
      <w:r>
        <w:rPr>
          <w:rFonts w:hint="eastAsia" w:ascii="仿宋" w:hAnsi="仿宋" w:eastAsia="仿宋"/>
          <w:sz w:val="30"/>
          <w:szCs w:val="30"/>
        </w:rPr>
        <w:t xml:space="preserve">     </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 w:hAnsi="仿宋" w:eastAsia="仿宋"/>
          <w:sz w:val="30"/>
          <w:szCs w:val="30"/>
          <w:lang w:val="en-US" w:eastAsia="zh-CN"/>
        </w:rPr>
      </w:pPr>
      <w:r>
        <w:rPr>
          <w:rFonts w:hint="eastAsia" w:ascii="仿宋" w:hAnsi="仿宋" w:eastAsia="仿宋"/>
          <w:sz w:val="30"/>
          <w:szCs w:val="30"/>
        </w:rPr>
        <w:t>（8）</w:t>
      </w:r>
      <w:r>
        <w:rPr>
          <w:rFonts w:hint="eastAsia" w:ascii="仿宋_GB2312" w:eastAsia="仿宋_GB2312"/>
          <w:color w:val="auto"/>
          <w:sz w:val="32"/>
          <w:szCs w:val="32"/>
          <w:highlight w:val="none"/>
        </w:rPr>
        <w:t>组织拟订</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域工业和信息化领域兹有节约和综合利用规划；指导工业节能减排综合协调和监督管理工作，负责工业节能执法监察工作；指导工业和信息化领域循环经济发展；协调工业和信息化领域清洁生产和节能环保产业发展工作。</w:t>
      </w:r>
      <w:r>
        <w:rPr>
          <w:rFonts w:hint="eastAsia" w:ascii="仿宋" w:hAnsi="仿宋" w:eastAsia="仿宋"/>
          <w:sz w:val="30"/>
          <w:szCs w:val="30"/>
        </w:rPr>
        <w:t xml:space="preserve">                                  </w:t>
      </w:r>
      <w:r>
        <w:rPr>
          <w:rFonts w:hint="eastAsia" w:ascii="仿宋" w:hAnsi="仿宋" w:eastAsia="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仿宋" w:hAnsi="仿宋" w:eastAsia="仿宋"/>
          <w:sz w:val="30"/>
          <w:szCs w:val="30"/>
        </w:rPr>
      </w:pPr>
      <w:r>
        <w:rPr>
          <w:rFonts w:hint="eastAsia" w:ascii="仿宋" w:hAnsi="仿宋" w:eastAsia="仿宋"/>
          <w:sz w:val="30"/>
          <w:szCs w:val="30"/>
        </w:rPr>
        <w:t xml:space="preserve">(9)负责民爆行业管理；对民用爆炸物品生产、销售进行监督管理；指导、监督工业领域安全生产工作。                              </w:t>
      </w:r>
      <w:r>
        <w:rPr>
          <w:rFonts w:hint="eastAsia" w:ascii="仿宋" w:hAnsi="仿宋" w:eastAsia="仿宋"/>
          <w:sz w:val="30"/>
          <w:szCs w:val="30"/>
          <w:lang w:val="en-US" w:eastAsia="zh-CN"/>
        </w:rPr>
        <w:t xml:space="preserve">     （</w:t>
      </w:r>
      <w:r>
        <w:rPr>
          <w:rFonts w:hint="eastAsia" w:ascii="仿宋" w:hAnsi="仿宋" w:eastAsia="仿宋"/>
          <w:sz w:val="30"/>
          <w:szCs w:val="30"/>
        </w:rPr>
        <w:t>10）</w:t>
      </w:r>
      <w:r>
        <w:rPr>
          <w:rFonts w:hint="eastAsia" w:ascii="仿宋_GB2312" w:eastAsia="仿宋_GB2312"/>
          <w:color w:val="auto"/>
          <w:sz w:val="32"/>
          <w:szCs w:val="32"/>
          <w:highlight w:val="none"/>
        </w:rPr>
        <w:t xml:space="preserve"> 组织执行国家电力行业技术规范和标准；负责权限范围内的电力行政执法、监督；负责制定年度电力行业运行调控目标；组织协调解决电力生产、运营和供应中的重大问题；制定电力调度工作。  </w:t>
      </w:r>
    </w:p>
    <w:p>
      <w:pPr>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仿宋" w:hAnsi="仿宋" w:eastAsia="仿宋"/>
          <w:sz w:val="30"/>
          <w:szCs w:val="30"/>
        </w:rPr>
      </w:pPr>
      <w:r>
        <w:rPr>
          <w:rFonts w:hint="eastAsia" w:ascii="仿宋" w:hAnsi="仿宋" w:eastAsia="仿宋"/>
          <w:sz w:val="30"/>
          <w:szCs w:val="30"/>
        </w:rPr>
        <w:t xml:space="preserve">（11）负责推进信息化工作；指导、协调经济社会各领域信息技术的推广应用工作；推进跨行业、跨部门面向社会服务的互联互通及重要信息资源开发利用和共享；统筹指导工业信息安全管理工作。        </w:t>
      </w:r>
    </w:p>
    <w:p>
      <w:pPr>
        <w:keepNext w:val="0"/>
        <w:keepLines w:val="0"/>
        <w:pageBreakBefore w:val="0"/>
        <w:widowControl w:val="0"/>
        <w:kinsoku/>
        <w:wordWrap/>
        <w:overflowPunct/>
        <w:topLinePunct w:val="0"/>
        <w:autoSpaceDE/>
        <w:autoSpaceDN/>
        <w:bidi w:val="0"/>
        <w:adjustRightInd/>
        <w:snapToGrid w:val="0"/>
        <w:spacing w:line="560" w:lineRule="atLeast"/>
        <w:jc w:val="left"/>
        <w:textAlignment w:val="auto"/>
        <w:rPr>
          <w:rFonts w:hint="eastAsia" w:ascii="仿宋_GB2312" w:eastAsia="仿宋_GB2312"/>
          <w:color w:val="auto"/>
          <w:sz w:val="32"/>
          <w:szCs w:val="32"/>
          <w:highlight w:val="none"/>
        </w:rPr>
      </w:pPr>
      <w:r>
        <w:rPr>
          <w:rFonts w:hint="eastAsia" w:ascii="仿宋" w:hAnsi="仿宋" w:eastAsia="仿宋"/>
          <w:sz w:val="30"/>
          <w:szCs w:val="30"/>
        </w:rPr>
        <w:t>（12）</w:t>
      </w:r>
      <w:r>
        <w:rPr>
          <w:rFonts w:hint="eastAsia" w:ascii="仿宋_GB2312" w:eastAsia="仿宋_GB2312"/>
          <w:color w:val="auto"/>
          <w:sz w:val="32"/>
          <w:szCs w:val="32"/>
          <w:highlight w:val="none"/>
        </w:rPr>
        <w:t>指导电子信息产业的发展；指导电子信息产品制造业、软件业、信息服务业发展；指导电子信息产业基地建设；协调电子信息产业重大专项实施。</w:t>
      </w:r>
      <w:r>
        <w:rPr>
          <w:rFonts w:hint="eastAsia" w:ascii="仿宋" w:hAnsi="仿宋" w:eastAsia="仿宋"/>
          <w:sz w:val="30"/>
          <w:szCs w:val="30"/>
        </w:rPr>
        <w:t xml:space="preserve">                                                       （13）</w:t>
      </w:r>
      <w:r>
        <w:rPr>
          <w:rFonts w:hint="eastAsia" w:ascii="仿宋_GB2312" w:eastAsia="仿宋_GB2312"/>
          <w:color w:val="auto"/>
          <w:sz w:val="32"/>
          <w:szCs w:val="32"/>
          <w:highlight w:val="none"/>
        </w:rPr>
        <w:t xml:space="preserve">负责规范市场运行、流通秩序、推动商务领域信用体系建设，指导商业信用销售；建立市场诚信公共服务平台，按有关规定对特殊流通行业进行监督管理，促进城乡市场健康发展。              </w:t>
      </w:r>
    </w:p>
    <w:p>
      <w:pPr>
        <w:keepNext w:val="0"/>
        <w:keepLines w:val="0"/>
        <w:pageBreakBefore w:val="0"/>
        <w:widowControl w:val="0"/>
        <w:kinsoku/>
        <w:wordWrap/>
        <w:overflowPunct/>
        <w:topLinePunct w:val="0"/>
        <w:autoSpaceDE/>
        <w:autoSpaceDN/>
        <w:bidi w:val="0"/>
        <w:adjustRightInd/>
        <w:snapToGrid w:val="0"/>
        <w:spacing w:line="560" w:lineRule="atLeast"/>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（14）制定</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域贸易发展规划，规范市场运行、流通秩序，推动商务领域信用体系建设，促进城乡市场发展，执行引用国内外资金投向市场体系建设，指导</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 xml:space="preserve">域内大宗产品批发市场体系建设，完善农村现代物流网络。                                                       （15）承担组织实施重要消费品市场调控和重要生产资料流通管理的责任，负责建立健全生活必需品市场供应应急管理机制，监测分析市场运行、商品供求状况，调查分析商品价格信息，进行预测预警和信息引导；按有关规定对成品油流通环节进行监督管理。              </w:t>
      </w:r>
    </w:p>
    <w:p>
      <w:pPr>
        <w:keepNext w:val="0"/>
        <w:keepLines w:val="0"/>
        <w:pageBreakBefore w:val="0"/>
        <w:widowControl w:val="0"/>
        <w:kinsoku/>
        <w:wordWrap/>
        <w:overflowPunct/>
        <w:topLinePunct w:val="0"/>
        <w:autoSpaceDE/>
        <w:autoSpaceDN/>
        <w:bidi w:val="0"/>
        <w:adjustRightInd/>
        <w:snapToGrid w:val="0"/>
        <w:spacing w:line="560" w:lineRule="atLeast"/>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16）组织实施国家进出口商品、加工贸易管理办法和进出口管理商品、技术目录，执行国家对外技术贸易、出口管制以及鼓励技术和成套进出口的贸易政策，提出促进外贸增长方式转变的政策措施；会同有关部门执行大宗进出口商品政策，完成地区贸易促进活动和外贸促进体系建设。                                              （17）执行国家对外技术贸易、出口管制以及鼓励技术和成套设备进出口政策，依法监督技术引进、设备进口、国家限制出口技术的工作。</w:t>
      </w:r>
    </w:p>
    <w:p>
      <w:pPr>
        <w:keepNext w:val="0"/>
        <w:keepLines w:val="0"/>
        <w:pageBreakBefore w:val="0"/>
        <w:widowControl w:val="0"/>
        <w:kinsoku/>
        <w:wordWrap/>
        <w:overflowPunct/>
        <w:topLinePunct w:val="0"/>
        <w:autoSpaceDE/>
        <w:autoSpaceDN/>
        <w:bidi w:val="0"/>
        <w:adjustRightInd/>
        <w:snapToGrid w:val="0"/>
        <w:spacing w:line="560" w:lineRule="atLeast"/>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（18）贯彻落实自治区服务贸易发展规划并开展相关工作；负责组织</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 xml:space="preserve">内企业参展工作；积极参与地区服务外包平台建设。                       </w:t>
      </w:r>
    </w:p>
    <w:p>
      <w:pPr>
        <w:keepNext w:val="0"/>
        <w:keepLines w:val="0"/>
        <w:pageBreakBefore w:val="0"/>
        <w:widowControl w:val="0"/>
        <w:kinsoku/>
        <w:wordWrap/>
        <w:overflowPunct/>
        <w:topLinePunct w:val="0"/>
        <w:autoSpaceDE/>
        <w:autoSpaceDN/>
        <w:bidi w:val="0"/>
        <w:adjustRightInd/>
        <w:snapToGrid w:val="0"/>
        <w:spacing w:line="560" w:lineRule="atLeast"/>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（19）执行国家反倾销、反补贴保障措施及其他与进出口公平贸易相关的工作，执行自治区进出口公平贸易及产业损害预警机制。              </w:t>
      </w:r>
    </w:p>
    <w:p>
      <w:pPr>
        <w:keepNext w:val="0"/>
        <w:keepLines w:val="0"/>
        <w:pageBreakBefore w:val="0"/>
        <w:widowControl w:val="0"/>
        <w:kinsoku/>
        <w:wordWrap/>
        <w:overflowPunct/>
        <w:topLinePunct w:val="0"/>
        <w:autoSpaceDE/>
        <w:autoSpaceDN/>
        <w:bidi w:val="0"/>
        <w:adjustRightInd/>
        <w:snapToGrid w:val="0"/>
        <w:spacing w:line="560" w:lineRule="atLeast"/>
        <w:jc w:val="left"/>
        <w:textAlignment w:val="auto"/>
        <w:rPr>
          <w:rFonts w:hint="eastAsia" w:ascii="仿宋" w:hAnsi="仿宋" w:eastAsia="仿宋"/>
          <w:sz w:val="30"/>
          <w:szCs w:val="30"/>
        </w:rPr>
      </w:pPr>
      <w:r>
        <w:rPr>
          <w:rFonts w:hint="eastAsia" w:ascii="仿宋_GB2312" w:eastAsia="仿宋_GB2312"/>
          <w:color w:val="auto"/>
          <w:sz w:val="32"/>
          <w:szCs w:val="32"/>
          <w:highlight w:val="none"/>
        </w:rPr>
        <w:t xml:space="preserve">（20）负责外商投资工作；贯彻执行国家、自治区有关外商投资政策；起草权限内外商投资企业项目的合同；积极组织参加对外招商引资活动。                                                              </w:t>
      </w:r>
      <w:r>
        <w:rPr>
          <w:rFonts w:hint="eastAsia" w:ascii="仿宋_GB2312" w:eastAsia="仿宋_GB2312"/>
          <w:color w:val="auto"/>
          <w:sz w:val="32"/>
          <w:szCs w:val="32"/>
          <w:highlight w:val="none"/>
          <w:lang w:val="en-US" w:eastAsia="zh-CN"/>
        </w:rPr>
        <w:t xml:space="preserve">   （</w:t>
      </w:r>
      <w:r>
        <w:rPr>
          <w:rFonts w:hint="eastAsia" w:ascii="仿宋_GB2312" w:eastAsia="仿宋_GB2312"/>
          <w:color w:val="auto"/>
          <w:sz w:val="32"/>
          <w:szCs w:val="32"/>
          <w:highlight w:val="none"/>
        </w:rPr>
        <w:t>21）负责沙湾</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对外经济合作工作；落实对外经济合作政策。协调</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内企业对外投资（开办企业）备案（金融企业除外）</w:t>
      </w:r>
      <w:r>
        <w:rPr>
          <w:rFonts w:hint="eastAsia" w:ascii="仿宋" w:hAnsi="仿宋" w:eastAsia="仿宋"/>
          <w:sz w:val="30"/>
          <w:szCs w:val="30"/>
        </w:rPr>
        <w:t xml:space="preserve">。                     </w:t>
      </w:r>
    </w:p>
    <w:p>
      <w:pPr>
        <w:keepNext w:val="0"/>
        <w:keepLines w:val="0"/>
        <w:pageBreakBefore w:val="0"/>
        <w:widowControl w:val="0"/>
        <w:kinsoku/>
        <w:wordWrap/>
        <w:overflowPunct/>
        <w:topLinePunct w:val="0"/>
        <w:autoSpaceDE/>
        <w:autoSpaceDN/>
        <w:bidi w:val="0"/>
        <w:adjustRightInd/>
        <w:snapToGrid w:val="0"/>
        <w:spacing w:line="560" w:lineRule="atLeast"/>
        <w:jc w:val="left"/>
        <w:textAlignment w:val="auto"/>
        <w:rPr>
          <w:rFonts w:hint="eastAsia" w:ascii="仿宋" w:hAnsi="仿宋" w:eastAsia="仿宋"/>
          <w:sz w:val="30"/>
          <w:szCs w:val="30"/>
        </w:rPr>
      </w:pPr>
      <w:r>
        <w:rPr>
          <w:rFonts w:hint="eastAsia" w:ascii="仿宋" w:hAnsi="仿宋" w:eastAsia="仿宋"/>
          <w:sz w:val="30"/>
          <w:szCs w:val="30"/>
        </w:rPr>
        <w:t>（22）</w:t>
      </w:r>
      <w:r>
        <w:rPr>
          <w:rFonts w:hint="eastAsia" w:ascii="仿宋_GB2312" w:eastAsia="仿宋_GB2312"/>
          <w:color w:val="auto"/>
          <w:sz w:val="32"/>
          <w:szCs w:val="32"/>
          <w:highlight w:val="none"/>
        </w:rPr>
        <w:t>制定</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 xml:space="preserve">域电子商务发展规划和措施并组织实施；制定企业信息化及运用电子商务开拓国内外市场；负责建立电子商务行业统计和评价体系，牵头推进电子商务支撑服务体系发展。 </w:t>
      </w:r>
      <w:r>
        <w:rPr>
          <w:rFonts w:hint="eastAsia" w:ascii="仿宋" w:hAnsi="仿宋" w:eastAsia="仿宋"/>
          <w:sz w:val="30"/>
          <w:szCs w:val="30"/>
        </w:rPr>
        <w:t xml:space="preserve">                </w:t>
      </w:r>
    </w:p>
    <w:p>
      <w:pPr>
        <w:keepNext w:val="0"/>
        <w:keepLines w:val="0"/>
        <w:pageBreakBefore w:val="0"/>
        <w:widowControl w:val="0"/>
        <w:kinsoku/>
        <w:wordWrap/>
        <w:overflowPunct/>
        <w:topLinePunct w:val="0"/>
        <w:autoSpaceDE/>
        <w:autoSpaceDN/>
        <w:bidi w:val="0"/>
        <w:adjustRightInd/>
        <w:snapToGrid w:val="0"/>
        <w:spacing w:line="560" w:lineRule="atLeast"/>
        <w:jc w:val="left"/>
        <w:textAlignment w:val="auto"/>
        <w:rPr>
          <w:rFonts w:hint="eastAsia" w:ascii="仿宋_GB2312" w:hAnsi="仿宋" w:eastAsia="仿宋_GB2312"/>
          <w:sz w:val="32"/>
          <w:szCs w:val="32"/>
        </w:rPr>
      </w:pPr>
      <w:r>
        <w:rPr>
          <w:rFonts w:hint="eastAsia" w:ascii="仿宋" w:hAnsi="仿宋" w:eastAsia="仿宋"/>
          <w:sz w:val="30"/>
          <w:szCs w:val="30"/>
        </w:rPr>
        <w:t>（23）</w:t>
      </w:r>
      <w:r>
        <w:rPr>
          <w:rFonts w:hint="eastAsia" w:ascii="仿宋_GB2312" w:eastAsia="仿宋_GB2312"/>
          <w:color w:val="auto"/>
          <w:sz w:val="32"/>
          <w:szCs w:val="32"/>
          <w:highlight w:val="none"/>
        </w:rPr>
        <w:t>执行招商引资方针政策，编制招商引资发展规划和年度计划，负责组织、协调、推进重大招商引资活动，完善招商引资服务体系。负责招商引资信息的收集、分析、发布等工作；负责招商引资统计工作。</w:t>
      </w:r>
      <w:r>
        <w:rPr>
          <w:rFonts w:hint="eastAsia" w:ascii="仿宋" w:hAnsi="仿宋" w:eastAsia="仿宋"/>
          <w:sz w:val="30"/>
          <w:szCs w:val="30"/>
        </w:rPr>
        <w:t xml:space="preserve">                                                          （24）</w:t>
      </w:r>
      <w:r>
        <w:rPr>
          <w:rFonts w:hint="eastAsia" w:ascii="仿宋_GB2312" w:eastAsia="仿宋_GB2312"/>
          <w:color w:val="auto"/>
          <w:sz w:val="32"/>
          <w:szCs w:val="32"/>
          <w:highlight w:val="none"/>
        </w:rPr>
        <w:t>完成</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委、</w:t>
      </w:r>
      <w:r>
        <w:rPr>
          <w:rFonts w:hint="eastAsia" w:ascii="仿宋_GB2312" w:eastAsia="仿宋_GB2312"/>
          <w:color w:val="auto"/>
          <w:sz w:val="32"/>
          <w:szCs w:val="32"/>
          <w:highlight w:val="none"/>
          <w:lang w:val="en-US" w:eastAsia="zh-CN"/>
        </w:rPr>
        <w:t>市</w:t>
      </w:r>
      <w:r>
        <w:rPr>
          <w:rFonts w:hint="eastAsia" w:ascii="仿宋_GB2312" w:eastAsia="仿宋_GB2312"/>
          <w:color w:val="auto"/>
          <w:sz w:val="32"/>
          <w:szCs w:val="32"/>
          <w:highlight w:val="none"/>
        </w:rPr>
        <w:t>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沙湾</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商务和工业信息化局</w:t>
      </w:r>
      <w:r>
        <w:rPr>
          <w:rFonts w:hint="eastAsia" w:ascii="仿宋_GB2312" w:eastAsia="仿宋_GB2312"/>
          <w:color w:val="auto"/>
          <w:sz w:val="32"/>
          <w:szCs w:val="32"/>
          <w:highlight w:val="none"/>
          <w:lang w:val="en-US" w:eastAsia="zh-CN"/>
        </w:rPr>
        <w:t>2023年度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实有</w:t>
      </w:r>
      <w:r>
        <w:rPr>
          <w:rFonts w:hint="eastAsia" w:ascii="仿宋_GB2312" w:eastAsia="仿宋_GB2312"/>
          <w:color w:val="auto"/>
          <w:sz w:val="32"/>
          <w:szCs w:val="32"/>
          <w:highlight w:val="none"/>
        </w:rPr>
        <w:t>人员</w:t>
      </w:r>
      <w:r>
        <w:rPr>
          <w:rFonts w:hint="eastAsia" w:ascii="仿宋_GB2312" w:eastAsia="仿宋_GB2312"/>
          <w:color w:val="auto"/>
          <w:sz w:val="32"/>
          <w:szCs w:val="32"/>
          <w:highlight w:val="none"/>
          <w:lang w:val="en-US" w:eastAsia="zh-CN"/>
        </w:rPr>
        <w:t>68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val="en-US" w:eastAsia="zh-CN"/>
        </w:rPr>
        <w:t>其中：在职26人、</w:t>
      </w:r>
      <w:r>
        <w:rPr>
          <w:rFonts w:hint="eastAsia" w:ascii="仿宋_GB2312" w:eastAsia="仿宋_GB2312"/>
          <w:color w:val="auto"/>
          <w:sz w:val="32"/>
          <w:szCs w:val="32"/>
          <w:highlight w:val="none"/>
        </w:rPr>
        <w:t>退休</w:t>
      </w:r>
      <w:r>
        <w:rPr>
          <w:rFonts w:hint="eastAsia" w:ascii="仿宋_GB2312" w:eastAsia="仿宋_GB2312"/>
          <w:color w:val="auto"/>
          <w:sz w:val="32"/>
          <w:szCs w:val="32"/>
          <w:highlight w:val="none"/>
          <w:lang w:val="en-US" w:eastAsia="zh-CN"/>
        </w:rPr>
        <w:t>42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离休0人</w:t>
      </w:r>
      <w:r>
        <w:rPr>
          <w:rFonts w:hint="eastAsia" w:ascii="仿宋_GB2312" w:eastAsia="仿宋_GB2312"/>
          <w:color w:val="auto"/>
          <w:sz w:val="32"/>
          <w:szCs w:val="32"/>
          <w:highlight w:val="none"/>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沙湾</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商务和工业信息化局无下属预算单位，下设</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个处室，分别是：</w:t>
      </w:r>
      <w:r>
        <w:rPr>
          <w:rFonts w:hint="eastAsia" w:ascii="仿宋_GB2312" w:eastAsia="仿宋_GB2312"/>
          <w:color w:val="auto"/>
          <w:sz w:val="32"/>
          <w:szCs w:val="32"/>
          <w:highlight w:val="none"/>
          <w:lang w:val="en-US" w:eastAsia="zh-CN"/>
        </w:rPr>
        <w:t>行政办、企业科、行业管理科、商贸科、招商科</w:t>
      </w:r>
      <w:bookmarkStart w:id="6" w:name="_Toc29374"/>
      <w:bookmarkStart w:id="7" w:name="_Toc3092"/>
      <w:r>
        <w:rPr>
          <w:rFonts w:hint="eastAsia" w:ascii="仿宋_GB2312" w:eastAsia="仿宋_GB2312"/>
          <w:color w:val="auto"/>
          <w:sz w:val="32"/>
          <w:szCs w:val="32"/>
          <w:highlight w:val="none"/>
          <w:lang w:val="en-US" w:eastAsia="zh-CN"/>
        </w:rPr>
        <w:t>。</w:t>
      </w:r>
    </w:p>
    <w:p>
      <w:pPr>
        <w:rPr>
          <w:rFonts w:hint="eastAsia"/>
          <w:lang w:val="en-US" w:eastAsia="zh-CN"/>
        </w:rPr>
      </w:pPr>
      <w:r>
        <w:rPr>
          <w:rFonts w:hint="eastAsia" w:ascii="仿宋_GB2312" w:eastAsia="仿宋_GB2312"/>
          <w:color w:val="auto"/>
          <w:sz w:val="32"/>
          <w:szCs w:val="32"/>
          <w:highlight w:val="none"/>
          <w:lang w:val="en-US" w:eastAsia="zh-CN"/>
        </w:rPr>
        <w:br w:type="page"/>
      </w:r>
    </w:p>
    <w:p>
      <w:pPr>
        <w:pStyle w:val="3"/>
        <w:bidi w:val="0"/>
        <w:jc w:val="center"/>
        <w:rPr>
          <w:rFonts w:hint="eastAsia" w:ascii="黑体" w:hAnsi="黑体" w:eastAsia="黑体" w:cs="黑体"/>
          <w:b w:val="0"/>
          <w:bCs/>
          <w:sz w:val="32"/>
          <w:szCs w:val="32"/>
        </w:rPr>
      </w:pPr>
      <w:r>
        <w:rPr>
          <w:rFonts w:hint="eastAsia" w:ascii="黑体" w:hAnsi="黑体" w:eastAsia="黑体" w:cs="黑体"/>
          <w:b w:val="0"/>
          <w:bCs/>
          <w:sz w:val="32"/>
          <w:szCs w:val="32"/>
        </w:rPr>
        <w:t>第</w:t>
      </w: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部分 部门决算情况说明</w:t>
      </w:r>
      <w:bookmarkEnd w:id="6"/>
      <w:bookmarkEnd w:id="7"/>
      <w:bookmarkStart w:id="8" w:name="_Toc12566"/>
      <w:bookmarkStart w:id="9" w:name="_Toc25314"/>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7,791.25万元，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7,791.25万元，使用非财政拨款结余0.00万元，年初结转和结余0.00万元。</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7,791.25万元，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7,791.25万元，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减少1519.73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下降16.32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沙湾综合产业园区基础设施建设项目-产业园区至S115省道连接道路建设项目资金减少</w:t>
      </w:r>
      <w:r>
        <w:rPr>
          <w:rFonts w:hint="eastAsia" w:ascii="仿宋_GB2312" w:eastAsia="仿宋_GB2312"/>
          <w:color w:val="auto"/>
          <w:spacing w:val="0"/>
          <w:sz w:val="32"/>
          <w:szCs w:val="32"/>
          <w:highlight w:val="none"/>
          <w:lang w:eastAsia="zh-CN"/>
        </w:rPr>
        <w:t>。</w:t>
      </w:r>
      <w:bookmarkStart w:id="10" w:name="_Toc12142"/>
      <w:bookmarkStart w:id="11" w:name="_Toc1979"/>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eastAsia="仿宋_GB2312"/>
          <w:color w:val="auto"/>
          <w:sz w:val="32"/>
          <w:szCs w:val="32"/>
          <w:highlight w:val="none"/>
        </w:rPr>
      </w:pP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7,791.25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7,706.12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98.91%</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85.13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1.09%</w:t>
      </w:r>
      <w:r>
        <w:rPr>
          <w:rFonts w:hint="eastAsia" w:ascii="仿宋_GB2312" w:eastAsia="仿宋_GB2312"/>
          <w:color w:val="auto"/>
          <w:sz w:val="32"/>
          <w:szCs w:val="32"/>
          <w:highlight w:val="none"/>
        </w:rPr>
        <w:t>。</w:t>
      </w:r>
      <w:bookmarkStart w:id="12" w:name="_Toc27961"/>
      <w:bookmarkStart w:id="13" w:name="_Toc13201"/>
    </w:p>
    <w:p>
      <w:pPr>
        <w:keepNext w:val="0"/>
        <w:keepLines w:val="0"/>
        <w:pageBreakBefore w:val="0"/>
        <w:widowControl w:val="0"/>
        <w:numPr>
          <w:ilvl w:val="0"/>
          <w:numId w:val="1"/>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支出决算情况说明</w:t>
      </w:r>
      <w:bookmarkEnd w:id="12"/>
      <w:bookmarkEnd w:id="13"/>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本年支出7,791.25万元，其中：基本支出575.60万元，占7.39%；项目支出7,215.65万元，占92.61%；上缴上级支出0.00万元，占0.00%；经营支出0.00万元，占0.00%；对附属单位补助支出0.00万元，占0.00%。</w:t>
      </w:r>
      <w:bookmarkStart w:id="14" w:name="_Toc4393"/>
      <w:bookmarkStart w:id="15" w:name="_Toc26564"/>
    </w:p>
    <w:p>
      <w:pPr>
        <w:keepNext w:val="0"/>
        <w:keepLines w:val="0"/>
        <w:pageBreakBefore w:val="0"/>
        <w:widowControl w:val="0"/>
        <w:numPr>
          <w:ilvl w:val="0"/>
          <w:numId w:val="1"/>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exact"/>
        <w:ind w:left="0" w:leftChars="0"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财政拨款收入支出决算总体情况说明</w:t>
      </w:r>
      <w:bookmarkEnd w:id="14"/>
      <w:bookmarkEnd w:id="15"/>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2023年度财政拨款收入</w:t>
      </w:r>
      <w:r>
        <w:rPr>
          <w:rFonts w:hint="eastAsia" w:ascii="仿宋_GB2312" w:hAnsi="仿宋_GB2312" w:eastAsia="仿宋_GB2312" w:cs="仿宋_GB2312"/>
          <w:color w:val="auto"/>
          <w:sz w:val="32"/>
          <w:szCs w:val="32"/>
          <w:highlight w:val="none"/>
          <w:lang w:val="en-US" w:eastAsia="zh-CN"/>
        </w:rPr>
        <w:t>总计</w:t>
      </w:r>
      <w:r>
        <w:rPr>
          <w:rFonts w:hint="eastAsia" w:ascii="仿宋_GB2312" w:hAnsi="仿宋_GB2312" w:eastAsia="仿宋_GB2312" w:cs="仿宋_GB2312"/>
          <w:color w:val="auto"/>
          <w:sz w:val="32"/>
          <w:szCs w:val="32"/>
          <w:highlight w:val="none"/>
          <w:lang w:val="zh-CN" w:eastAsia="zh-CN"/>
        </w:rPr>
        <w:t>7,706.12万元，</w:t>
      </w:r>
      <w:r>
        <w:rPr>
          <w:rFonts w:hint="eastAsia" w:ascii="仿宋_GB2312" w:hAnsi="仿宋_GB2312" w:eastAsia="仿宋_GB2312" w:cs="仿宋_GB2312"/>
          <w:color w:val="auto"/>
          <w:sz w:val="32"/>
          <w:szCs w:val="32"/>
          <w:highlight w:val="none"/>
          <w:lang w:val="en-US" w:eastAsia="zh-CN"/>
        </w:rPr>
        <w:t>其中：年初财政拨款结转和结余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本年财政拨款收入</w:t>
      </w:r>
      <w:r>
        <w:rPr>
          <w:rFonts w:hint="eastAsia" w:ascii="仿宋_GB2312" w:hAnsi="仿宋_GB2312" w:eastAsia="仿宋_GB2312" w:cs="仿宋_GB2312"/>
          <w:color w:val="auto"/>
          <w:sz w:val="32"/>
          <w:szCs w:val="32"/>
          <w:highlight w:val="none"/>
          <w:lang w:val="zh-CN" w:eastAsia="zh-CN"/>
        </w:rPr>
        <w:t>7,706.12万元。财政拨款支出</w:t>
      </w:r>
      <w:r>
        <w:rPr>
          <w:rFonts w:hint="eastAsia" w:ascii="仿宋_GB2312" w:hAnsi="仿宋_GB2312" w:eastAsia="仿宋_GB2312" w:cs="仿宋_GB2312"/>
          <w:color w:val="auto"/>
          <w:sz w:val="32"/>
          <w:szCs w:val="32"/>
          <w:highlight w:val="none"/>
          <w:lang w:val="en-US" w:eastAsia="zh-CN"/>
        </w:rPr>
        <w:t>总计</w:t>
      </w:r>
      <w:r>
        <w:rPr>
          <w:rFonts w:hint="eastAsia" w:ascii="仿宋_GB2312" w:hAnsi="仿宋_GB2312" w:eastAsia="仿宋_GB2312" w:cs="仿宋_GB2312"/>
          <w:color w:val="auto"/>
          <w:sz w:val="32"/>
          <w:szCs w:val="32"/>
          <w:highlight w:val="none"/>
          <w:lang w:val="zh-CN" w:eastAsia="zh-CN"/>
        </w:rPr>
        <w:t>7,706.12万元，</w:t>
      </w:r>
      <w:r>
        <w:rPr>
          <w:rFonts w:hint="eastAsia" w:ascii="仿宋_GB2312" w:hAnsi="仿宋_GB2312" w:eastAsia="仿宋_GB2312" w:cs="仿宋_GB2312"/>
          <w:color w:val="auto"/>
          <w:sz w:val="32"/>
          <w:szCs w:val="32"/>
          <w:highlight w:val="none"/>
          <w:lang w:val="en-US" w:eastAsia="zh-CN"/>
        </w:rPr>
        <w:t>其中：年末财政拨款结转和结余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本年财政拨款支出</w:t>
      </w:r>
      <w:r>
        <w:rPr>
          <w:rFonts w:hint="eastAsia" w:ascii="仿宋_GB2312" w:hAnsi="仿宋_GB2312" w:eastAsia="仿宋_GB2312" w:cs="仿宋_GB2312"/>
          <w:color w:val="auto"/>
          <w:sz w:val="32"/>
          <w:szCs w:val="32"/>
          <w:highlight w:val="none"/>
          <w:lang w:val="zh-CN" w:eastAsia="zh-CN"/>
        </w:rPr>
        <w:t>7,706.12万元。</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240" w:lineRule="auto"/>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auto"/>
          <w:sz w:val="32"/>
          <w:szCs w:val="32"/>
          <w:highlight w:val="none"/>
          <w:lang w:val="zh-CN" w:eastAsia="zh-CN"/>
        </w:rPr>
        <w:t>财政拨款收入支出总体与上年相比</w:t>
      </w:r>
      <w:r>
        <w:rPr>
          <w:rFonts w:hint="eastAsia" w:ascii="仿宋_GB2312" w:hAnsi="仿宋_GB2312" w:eastAsia="仿宋_GB2312" w:cs="仿宋_GB2312"/>
          <w:color w:val="auto"/>
          <w:sz w:val="32"/>
          <w:szCs w:val="32"/>
          <w:highlight w:val="none"/>
          <w:lang w:val="en-US" w:eastAsia="zh-CN"/>
        </w:rPr>
        <w:t>,减少1541.01</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减少16.66</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沙湾综合产业园区基础设施建设项目-产业园区至S115省道连接道路建设项目资金减少</w:t>
      </w:r>
      <w:r>
        <w:rPr>
          <w:rFonts w:hint="eastAsia" w:ascii="仿宋_GB2312" w:hAnsi="仿宋_GB2312" w:eastAsia="仿宋_GB2312" w:cs="仿宋_GB2312"/>
          <w:color w:val="auto"/>
          <w:sz w:val="32"/>
          <w:szCs w:val="32"/>
          <w:highlight w:val="none"/>
          <w:lang w:val="zh-CN" w:eastAsia="zh-CN"/>
        </w:rPr>
        <w:t>。与年初预算相比，年初预算数4,371.26万元，决算数7,706.12万元，预决算差异率76.29%，主要原因是：</w:t>
      </w:r>
      <w:r>
        <w:rPr>
          <w:rFonts w:hint="eastAsia" w:ascii="仿宋" w:hAnsi="仿宋" w:eastAsia="仿宋" w:cs="仿宋"/>
          <w:color w:val="000000" w:themeColor="text1"/>
          <w:sz w:val="32"/>
          <w:szCs w:val="32"/>
          <w:highlight w:val="none"/>
          <w:lang w:val="en-US" w:eastAsia="zh-CN"/>
          <w14:textFill>
            <w14:solidFill>
              <w14:schemeClr w14:val="tx1"/>
            </w14:solidFill>
          </w14:textFill>
        </w:rPr>
        <w:t>2023年人员、公用经费支出有所增加、</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企业补贴资金增加</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bookmarkStart w:id="16" w:name="_Toc13833"/>
      <w:bookmarkStart w:id="17" w:name="_Toc20360"/>
    </w:p>
    <w:p>
      <w:pPr>
        <w:keepNext w:val="0"/>
        <w:keepLines w:val="0"/>
        <w:pageBreakBefore w:val="0"/>
        <w:widowControl w:val="0"/>
        <w:numPr>
          <w:ilvl w:val="0"/>
          <w:numId w:val="1"/>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240" w:lineRule="auto"/>
        <w:ind w:left="0" w:leftChars="0"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一般公共预算财政拨款支出决算情况说明</w:t>
      </w:r>
      <w:bookmarkEnd w:id="16"/>
      <w:bookmarkEnd w:id="17"/>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240" w:lineRule="auto"/>
        <w:ind w:firstLine="640" w:firstLineChars="200"/>
        <w:jc w:val="left"/>
        <w:textAlignment w:val="auto"/>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2023年度一般公共预算财政拨款支出6,114.08万元，占本年支出合计的78.47%。与上年相比，增加</w:t>
      </w:r>
      <w:r>
        <w:rPr>
          <w:rFonts w:hint="eastAsia" w:ascii="仿宋_GB2312" w:hAnsi="仿宋_GB2312" w:eastAsia="仿宋_GB2312" w:cs="仿宋_GB2312"/>
          <w:color w:val="auto"/>
          <w:sz w:val="32"/>
          <w:szCs w:val="32"/>
          <w:highlight w:val="none"/>
          <w:lang w:val="en-US" w:eastAsia="zh-CN"/>
        </w:rPr>
        <w:t>3074.76</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增长101.17%,</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kern w:val="0"/>
          <w:sz w:val="32"/>
          <w:szCs w:val="32"/>
          <w:highlight w:val="none"/>
        </w:rPr>
        <w:t>人员增加，在职人员调增基本工资、绩效及地方津贴</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企业补贴资金增加；</w:t>
      </w:r>
      <w:r>
        <w:rPr>
          <w:rFonts w:hint="eastAsia" w:ascii="仿宋_GB2312" w:hAnsi="仿宋_GB2312" w:eastAsia="仿宋_GB2312" w:cs="仿宋_GB2312"/>
          <w:color w:val="auto"/>
          <w:sz w:val="32"/>
          <w:szCs w:val="32"/>
          <w:highlight w:val="none"/>
          <w:lang w:val="zh-CN" w:eastAsia="zh-CN"/>
        </w:rPr>
        <w:t>与年初预算相比，年初预算数579.07万元，决算数6,114.08万元，预决算差异率955.84%，主要原因是：</w:t>
      </w:r>
      <w:r>
        <w:rPr>
          <w:rFonts w:hint="eastAsia" w:ascii="仿宋_GB2312" w:hAnsi="仿宋_GB2312" w:eastAsia="仿宋_GB2312" w:cs="仿宋_GB2312"/>
          <w:color w:val="auto"/>
          <w:kern w:val="0"/>
          <w:sz w:val="32"/>
          <w:szCs w:val="32"/>
          <w:highlight w:val="none"/>
          <w:lang w:val="en-US" w:eastAsia="zh-CN"/>
        </w:rPr>
        <w:t>产业园区至S115省道连接道路追加项目前期费、企业政策性补贴以及为民办实事经费的支出</w:t>
      </w:r>
      <w:r>
        <w:rPr>
          <w:rFonts w:hint="eastAsia" w:ascii="仿宋_GB2312" w:hAnsi="仿宋_GB2312" w:eastAsia="仿宋_GB2312" w:cs="仿宋_GB2312"/>
          <w:color w:val="auto"/>
          <w:kern w:val="0"/>
          <w:sz w:val="32"/>
          <w:szCs w:val="32"/>
          <w:highlight w:val="none"/>
          <w:lang w:val="zh-CN" w:eastAsia="zh-CN"/>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黑体" w:hAnsi="黑体" w:eastAsia="黑体"/>
          <w:color w:val="auto"/>
          <w:sz w:val="32"/>
          <w:szCs w:val="32"/>
          <w:highlight w:val="none"/>
          <w:lang w:val="zh-CN" w:eastAsia="zh-CN"/>
        </w:rPr>
        <w:t>（</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lang w:val="zh-CN" w:eastAsia="zh-CN"/>
        </w:rPr>
        <w:t>）</w:t>
      </w: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default" w:ascii="仿宋_GB2312" w:hAnsi="仿宋_GB2312" w:eastAsia="仿宋_GB2312" w:cs="仿宋_GB2312"/>
          <w:color w:val="auto"/>
          <w:sz w:val="32"/>
          <w:szCs w:val="32"/>
          <w:highlight w:val="none"/>
          <w:lang w:val="zh-CN" w:eastAsia="zh-CN"/>
        </w:rPr>
      </w:pPr>
      <w:r>
        <w:rPr>
          <w:rFonts w:hint="default" w:ascii="仿宋_GB2312" w:hAnsi="仿宋_GB2312" w:eastAsia="仿宋_GB2312" w:cs="仿宋_GB2312"/>
          <w:color w:val="auto"/>
          <w:sz w:val="32"/>
          <w:szCs w:val="32"/>
          <w:highlight w:val="none"/>
          <w:lang w:val="zh-CN" w:eastAsia="zh-CN"/>
        </w:rPr>
        <w:t>1.一般公共服务支出（类）</w:t>
      </w:r>
      <w:r>
        <w:rPr>
          <w:rFonts w:hint="eastAsia" w:ascii="仿宋_GB2312" w:hAnsi="仿宋_GB2312" w:eastAsia="仿宋_GB2312" w:cs="仿宋_GB2312"/>
          <w:color w:val="auto"/>
          <w:sz w:val="32"/>
          <w:szCs w:val="32"/>
          <w:highlight w:val="none"/>
          <w:lang w:val="zh-CN" w:eastAsia="zh-CN"/>
        </w:rPr>
        <w:t>754.22</w:t>
      </w:r>
      <w:r>
        <w:rPr>
          <w:rFonts w:hint="default" w:ascii="仿宋_GB2312" w:hAnsi="仿宋_GB2312" w:eastAsia="仿宋_GB2312" w:cs="仿宋_GB2312"/>
          <w:color w:val="auto"/>
          <w:sz w:val="32"/>
          <w:szCs w:val="32"/>
          <w:highlight w:val="none"/>
          <w:lang w:val="zh-CN" w:eastAsia="zh-CN"/>
        </w:rPr>
        <w:t>万元，占</w:t>
      </w:r>
      <w:r>
        <w:rPr>
          <w:rFonts w:hint="eastAsia" w:ascii="仿宋_GB2312" w:hAnsi="仿宋_GB2312" w:eastAsia="仿宋_GB2312" w:cs="仿宋_GB2312"/>
          <w:color w:val="auto"/>
          <w:sz w:val="32"/>
          <w:szCs w:val="32"/>
          <w:highlight w:val="none"/>
          <w:lang w:val="zh-CN" w:eastAsia="zh-CN"/>
        </w:rPr>
        <w:t>12.34%</w:t>
      </w:r>
      <w:r>
        <w:rPr>
          <w:rFonts w:hint="default" w:ascii="仿宋_GB2312" w:hAnsi="仿宋_GB2312" w:eastAsia="仿宋_GB2312" w:cs="仿宋_GB2312"/>
          <w:color w:val="auto"/>
          <w:sz w:val="32"/>
          <w:szCs w:val="32"/>
          <w:highlight w:val="none"/>
          <w:lang w:val="zh-CN" w:eastAsia="zh-CN"/>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default" w:ascii="仿宋_GB2312" w:hAnsi="仿宋_GB2312" w:eastAsia="仿宋_GB2312" w:cs="仿宋_GB2312"/>
          <w:color w:val="auto"/>
          <w:sz w:val="32"/>
          <w:szCs w:val="32"/>
          <w:highlight w:val="none"/>
          <w:lang w:val="zh-CN" w:eastAsia="zh-CN"/>
        </w:rPr>
      </w:pPr>
      <w:r>
        <w:rPr>
          <w:rFonts w:hint="default"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zh-CN" w:eastAsia="zh-CN"/>
        </w:rPr>
        <w:t>社会保障和就业支出（类）</w:t>
      </w:r>
      <w:r>
        <w:rPr>
          <w:rFonts w:hint="eastAsia" w:ascii="仿宋_GB2312" w:hAnsi="仿宋_GB2312" w:eastAsia="仿宋_GB2312" w:cs="仿宋_GB2312"/>
          <w:color w:val="auto"/>
          <w:sz w:val="32"/>
          <w:szCs w:val="32"/>
          <w:highlight w:val="none"/>
          <w:lang w:val="zh-CN" w:eastAsia="zh-CN"/>
        </w:rPr>
        <w:t>87.11</w:t>
      </w:r>
      <w:r>
        <w:rPr>
          <w:rFonts w:hint="default" w:ascii="仿宋_GB2312" w:hAnsi="仿宋_GB2312" w:eastAsia="仿宋_GB2312" w:cs="仿宋_GB2312"/>
          <w:color w:val="auto"/>
          <w:sz w:val="32"/>
          <w:szCs w:val="32"/>
          <w:highlight w:val="none"/>
          <w:lang w:val="zh-CN" w:eastAsia="zh-CN"/>
        </w:rPr>
        <w:t>万元，占</w:t>
      </w:r>
      <w:r>
        <w:rPr>
          <w:rFonts w:hint="eastAsia" w:ascii="仿宋_GB2312" w:hAnsi="仿宋_GB2312" w:eastAsia="仿宋_GB2312" w:cs="仿宋_GB2312"/>
          <w:color w:val="auto"/>
          <w:sz w:val="32"/>
          <w:szCs w:val="32"/>
          <w:highlight w:val="none"/>
          <w:lang w:val="zh-CN" w:eastAsia="zh-CN"/>
        </w:rPr>
        <w:t>1.42%</w:t>
      </w:r>
      <w:r>
        <w:rPr>
          <w:rFonts w:hint="default" w:ascii="仿宋_GB2312" w:hAnsi="仿宋_GB2312" w:eastAsia="仿宋_GB2312" w:cs="仿宋_GB2312"/>
          <w:color w:val="auto"/>
          <w:sz w:val="32"/>
          <w:szCs w:val="32"/>
          <w:highlight w:val="none"/>
          <w:lang w:val="zh-CN" w:eastAsia="zh-CN"/>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default"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3</w:t>
      </w:r>
      <w:r>
        <w:rPr>
          <w:rFonts w:hint="default" w:ascii="仿宋_GB2312" w:hAnsi="仿宋_GB2312" w:eastAsia="仿宋_GB2312" w:cs="仿宋_GB2312"/>
          <w:color w:val="auto"/>
          <w:sz w:val="32"/>
          <w:szCs w:val="32"/>
          <w:highlight w:val="none"/>
          <w:lang w:val="zh-CN" w:eastAsia="zh-CN"/>
        </w:rPr>
        <w:t>.卫生健康支出（类）</w:t>
      </w:r>
      <w:r>
        <w:rPr>
          <w:rFonts w:hint="eastAsia" w:ascii="仿宋_GB2312" w:hAnsi="仿宋_GB2312" w:eastAsia="仿宋_GB2312" w:cs="仿宋_GB2312"/>
          <w:color w:val="auto"/>
          <w:sz w:val="32"/>
          <w:szCs w:val="32"/>
          <w:highlight w:val="none"/>
          <w:lang w:val="zh-CN" w:eastAsia="zh-CN"/>
        </w:rPr>
        <w:t>22.46</w:t>
      </w:r>
      <w:r>
        <w:rPr>
          <w:rFonts w:hint="default" w:ascii="仿宋_GB2312" w:hAnsi="仿宋_GB2312" w:eastAsia="仿宋_GB2312" w:cs="仿宋_GB2312"/>
          <w:color w:val="auto"/>
          <w:sz w:val="32"/>
          <w:szCs w:val="32"/>
          <w:highlight w:val="none"/>
          <w:lang w:val="zh-CN" w:eastAsia="zh-CN"/>
        </w:rPr>
        <w:t>万元，占</w:t>
      </w:r>
      <w:r>
        <w:rPr>
          <w:rFonts w:hint="eastAsia" w:ascii="仿宋_GB2312" w:hAnsi="仿宋_GB2312" w:eastAsia="仿宋_GB2312" w:cs="仿宋_GB2312"/>
          <w:color w:val="auto"/>
          <w:sz w:val="32"/>
          <w:szCs w:val="32"/>
          <w:highlight w:val="none"/>
          <w:lang w:val="zh-CN" w:eastAsia="zh-CN"/>
        </w:rPr>
        <w:t>0.37%</w:t>
      </w:r>
      <w:r>
        <w:rPr>
          <w:rFonts w:hint="default" w:ascii="仿宋_GB2312" w:hAnsi="仿宋_GB2312" w:eastAsia="仿宋_GB2312" w:cs="仿宋_GB2312"/>
          <w:color w:val="auto"/>
          <w:sz w:val="32"/>
          <w:szCs w:val="32"/>
          <w:highlight w:val="none"/>
          <w:lang w:val="zh-CN" w:eastAsia="zh-CN"/>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default" w:ascii="仿宋_GB2312" w:hAnsi="仿宋_GB2312" w:eastAsia="仿宋_GB2312" w:cs="仿宋_GB2312"/>
          <w:color w:val="auto"/>
          <w:sz w:val="32"/>
          <w:szCs w:val="32"/>
          <w:highlight w:val="none"/>
          <w:lang w:val="zh-CN" w:eastAsia="zh-CN"/>
        </w:rPr>
      </w:pPr>
      <w:r>
        <w:rPr>
          <w:rFonts w:hint="default" w:ascii="仿宋_GB2312" w:hAnsi="仿宋_GB2312" w:eastAsia="仿宋_GB2312" w:cs="仿宋_GB2312"/>
          <w:color w:val="auto"/>
          <w:sz w:val="32"/>
          <w:szCs w:val="32"/>
          <w:highlight w:val="none"/>
          <w:lang w:val="zh-CN" w:eastAsia="zh-CN"/>
        </w:rPr>
        <w:t>4.资源勘探信息等支出（类）</w:t>
      </w:r>
      <w:r>
        <w:rPr>
          <w:rFonts w:hint="eastAsia" w:ascii="仿宋_GB2312" w:hAnsi="仿宋_GB2312" w:eastAsia="仿宋_GB2312" w:cs="仿宋_GB2312"/>
          <w:color w:val="auto"/>
          <w:sz w:val="32"/>
          <w:szCs w:val="32"/>
          <w:highlight w:val="none"/>
          <w:lang w:val="zh-CN" w:eastAsia="zh-CN"/>
        </w:rPr>
        <w:t>5,140.13</w:t>
      </w:r>
      <w:r>
        <w:rPr>
          <w:rFonts w:hint="default" w:ascii="仿宋_GB2312" w:hAnsi="仿宋_GB2312" w:eastAsia="仿宋_GB2312" w:cs="仿宋_GB2312"/>
          <w:color w:val="auto"/>
          <w:sz w:val="32"/>
          <w:szCs w:val="32"/>
          <w:highlight w:val="none"/>
          <w:lang w:val="zh-CN" w:eastAsia="zh-CN"/>
        </w:rPr>
        <w:t>万元，占</w:t>
      </w:r>
      <w:r>
        <w:rPr>
          <w:rFonts w:hint="eastAsia" w:ascii="仿宋_GB2312" w:hAnsi="仿宋_GB2312" w:eastAsia="仿宋_GB2312" w:cs="仿宋_GB2312"/>
          <w:color w:val="auto"/>
          <w:sz w:val="32"/>
          <w:szCs w:val="32"/>
          <w:highlight w:val="none"/>
          <w:lang w:val="zh-CN" w:eastAsia="zh-CN"/>
        </w:rPr>
        <w:t>84.07%</w:t>
      </w:r>
      <w:r>
        <w:rPr>
          <w:rFonts w:hint="default" w:ascii="仿宋_GB2312" w:hAnsi="仿宋_GB2312" w:eastAsia="仿宋_GB2312" w:cs="仿宋_GB2312"/>
          <w:color w:val="auto"/>
          <w:sz w:val="32"/>
          <w:szCs w:val="32"/>
          <w:highlight w:val="none"/>
          <w:lang w:val="zh-CN" w:eastAsia="zh-CN"/>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default" w:ascii="仿宋_GB2312" w:hAnsi="仿宋_GB2312" w:eastAsia="仿宋_GB2312" w:cs="仿宋_GB2312"/>
          <w:color w:val="auto"/>
          <w:sz w:val="32"/>
          <w:szCs w:val="32"/>
          <w:highlight w:val="none"/>
          <w:lang w:val="zh-CN" w:eastAsia="zh-CN"/>
        </w:rPr>
      </w:pPr>
      <w:r>
        <w:rPr>
          <w:rFonts w:hint="default" w:ascii="仿宋_GB2312" w:hAnsi="仿宋_GB2312" w:eastAsia="仿宋_GB2312" w:cs="仿宋_GB2312"/>
          <w:color w:val="auto"/>
          <w:sz w:val="32"/>
          <w:szCs w:val="32"/>
          <w:highlight w:val="none"/>
          <w:lang w:val="zh-CN" w:eastAsia="zh-CN"/>
        </w:rPr>
        <w:t>5.商业服务业等支出（类）</w:t>
      </w:r>
      <w:r>
        <w:rPr>
          <w:rFonts w:hint="eastAsia" w:ascii="仿宋_GB2312" w:hAnsi="仿宋_GB2312" w:eastAsia="仿宋_GB2312" w:cs="仿宋_GB2312"/>
          <w:color w:val="auto"/>
          <w:sz w:val="32"/>
          <w:szCs w:val="32"/>
          <w:highlight w:val="none"/>
          <w:lang w:val="zh-CN" w:eastAsia="zh-CN"/>
        </w:rPr>
        <w:t>70.57</w:t>
      </w:r>
      <w:r>
        <w:rPr>
          <w:rFonts w:hint="default" w:ascii="仿宋_GB2312" w:hAnsi="仿宋_GB2312" w:eastAsia="仿宋_GB2312" w:cs="仿宋_GB2312"/>
          <w:color w:val="auto"/>
          <w:sz w:val="32"/>
          <w:szCs w:val="32"/>
          <w:highlight w:val="none"/>
          <w:lang w:val="zh-CN" w:eastAsia="zh-CN"/>
        </w:rPr>
        <w:t>万元，占</w:t>
      </w:r>
      <w:r>
        <w:rPr>
          <w:rFonts w:hint="eastAsia" w:ascii="仿宋_GB2312" w:hAnsi="仿宋_GB2312" w:eastAsia="仿宋_GB2312" w:cs="仿宋_GB2312"/>
          <w:color w:val="auto"/>
          <w:sz w:val="32"/>
          <w:szCs w:val="32"/>
          <w:highlight w:val="none"/>
          <w:lang w:val="zh-CN" w:eastAsia="zh-CN"/>
        </w:rPr>
        <w:t>1.15%</w:t>
      </w:r>
      <w:r>
        <w:rPr>
          <w:rFonts w:hint="default" w:ascii="仿宋_GB2312" w:hAnsi="仿宋_GB2312" w:eastAsia="仿宋_GB2312" w:cs="仿宋_GB2312"/>
          <w:color w:val="auto"/>
          <w:sz w:val="32"/>
          <w:szCs w:val="32"/>
          <w:highlight w:val="none"/>
          <w:lang w:val="zh-CN" w:eastAsia="zh-CN"/>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29.76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0.49%</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7</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9.82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0.16%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资源勘探工业信息等支出（类）其他资源勘探工业信息等支出（款）其他资源勘探工业信息等支出（项）:支出决算数为60.00万元，比上年决算减少20.00万元，下降25%，主要原因是：2023年度增加了自治区2022年第二季度至2023年第一季度小升规企业奖励金</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2.一般公共服务支出（类）商贸事务（款）事业运行（项）:支出决算数为131.93万元，比上年决算增加131.93万元，增长100%，主要原因是：上年度单位事业人员合并在行政运行反应，</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本年</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事业人员支出调整到事业运行科目，所以事业运行科目支出增长100%</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社会保障和就业支出（类）企业改革补助（款）其他企业改革发展补助（项）:支出决算数为0.34万元，比上年决算减少0.24万元，减少41.38%，主要原因是：原医药公司退休人员于2023年去世，所以发放生活补助费用减少</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4.其他支出（类）其他支出（款）其他支出（项）:支出决算数为9.82万元，比上年决算增加7.89万元，增长408.80%，主要原因是：增加了为民办实事工作经费支出</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5.一般公共服务支出（类）商贸事务（款）行政运行（项）:支出决算数为304.66万元，比上年决算减少84.81万元，减少21.78%，主要原因是：本年科目调整，事业事业单位运行单独核算，故行政运行减少</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6.卫生健康支出（类）行政事业单位医疗（款）行政单位医疗（项）:支出决算数为10.27万元，比上年决算减少21.23万元，减少67.40%，主要原因是：根据要求，以前年度退休人员行政单位医疗不再缴纳。</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7.社会保障和就业支出（类）行政事业单位养老支出（款）行政单位离退休（项）:支出决算数为36.32万元，比上年决算增加6.0万元，增长19.78%，主要原因是：本年度增加退休人员绩效考核奖</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社会保障和就业支出（类）行政事业单位养老支出（款）机关事业单位基本养老保险缴费支出（项）:支出决算数为37.52万元，比上年决算增加3.19万元，增长9.29%，主要原因是：人员基础工资调整、增加对应养老保险基数、故养老保险支出增加</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9.一般公共服务支出（类）商贸事务（款）招商引资（项）:支出决算数为37.62万元，比上年决算增加17.55万元，增长87.44%，主要原因是：进一步加大对招商引资工作的财力支持，招商洽谈接待、招商差旅费增加</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资源勘探工业信息等支出（类）制造业（款）纺织业（项）:支出决算数为5,040.13万元，比上年决算增加2945.30万元，增长140.59%，主要原因是：本年增加了符合补贴标准的企业，给予电费、运费及社保和新增就业补贴</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11.资源勘探工业信息等支出（类）制造业（款）其他制造业支出（项）:支出决算数为40.00万元，比上年决算增加40.00万元，增长100%，主要原因是：</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本年新增</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2023年自治区战略性新兴产业专项资金</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项目</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支出</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12.商业服务业等支出（类）涉外发展服务支出（款）其他涉外发展服务支出（项）:支出决算数为56.80万元，比上年决算减少83.48万元，下降59.51%，主要原因是：本年度各企业减少了对中央外经贸发展专项补贴资金</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13.一般公共服务支出（类）商贸事务（款）其他商贸事务支出（项）:支出决算数为280.01万元，比上年决算增加255.43万元，增长1039.18%，主要原因是：</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本年</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新增产业园区至s115省道连接道路项目前期费以及铸铁管厂退休人员医疗费用</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14.住房保障支出（类）住房改革支出（款）住房公积金（项）:支出决算数为29.76万元，比上年决算减少0.78万元，下降2.55%，主要原因是：2023年度本单位有三人退休，故住房公积金减少</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FF0000"/>
          <w:sz w:val="32"/>
          <w:szCs w:val="32"/>
          <w:highlight w:val="none"/>
          <w:lang w:val="zh-CN" w:eastAsia="zh-CN"/>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15.卫生健康支出（类）行政事业单位医疗（款）公务员医疗补助（项）:支出决算数为5.44万元，比上年决算减少10.63万元，下降66.15%，主要原因是：2023年度对退休公务员医疗进行退回，故公务员医疗补助减少</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16.社会保障和就业支出（类）行政事业单位养老支出（款）机关事业单位职业年金缴费支出（项）:支出决算数为12.94万元，比上年决算增加2.93万元，增长29.27%，主要原因是：本年度由三位退休人员，故机关事业单位职业年金缴费增加</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17.卫生健康支出（类）行政事业单位医疗（款）事业单位医疗（项）:支出决算数为6.75万元，比上年决算减少0.31万元，下降4.39%，主要原因是：本年度基本</w:t>
      </w:r>
      <w:r>
        <w:rPr>
          <w:rFonts w:hint="eastAsia" w:ascii="仿宋_GB2312" w:hAnsi="仿宋_GB2312" w:eastAsia="仿宋_GB2312" w:cs="仿宋_GB2312"/>
          <w:color w:val="auto"/>
          <w:kern w:val="2"/>
          <w:sz w:val="32"/>
          <w:szCs w:val="32"/>
          <w:highlight w:val="none"/>
          <w:lang w:val="en-US" w:eastAsia="zh-CN" w:bidi="ar-SA"/>
        </w:rPr>
        <w:t>医疗比例调整，事业单位医疗比上年决算数下降</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18.商业服务业等支出（类）其他商业服务业等支出（款）其他商业服务业等支出（项）:支出决算数为13.77万元，比上年决算减少13.77万元，增长100.00%，主要原因是：本年无电商专项资金用于支持市、乡、村三级物流配送网络重点配送中心建设及运营费的支出</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lang w:val="zh-CN" w:eastAsia="zh-CN"/>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19.商业服务业等支出（类）商业流通事务（款）其他商业服务业等支出（项）:支出决算数为0万元，比上年决算减少127.75万元，下降100.00%，主要原因本年无电商专项资金用于支持市、乡、村三级物流配送网络重点配送中心建设及运营费的支出</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2023年度一般公共预算财政拨款基本支出575.60万元，其中：人员经费550.89万元，包括：基本工资、津贴补贴、奖金、绩效工资、机关事业单位基本养老保险缴费、职业年金缴费、职工基本医疗保险缴费、公务员医疗补助缴费、其他社会保障缴费、住房公积金、其他工资福利支出、离休费、退休费、抚恤金、生活补助、其他对个人和家庭的补助。</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公用经费24.71万元，包括：办公费、电费、邮电费、差旅费、公务接待费、劳务费、工会经费、公务用车运行维护费。</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eastAsia="zh-CN"/>
        </w:rPr>
        <w:t>“三公”经费支出17.27万元，</w:t>
      </w:r>
      <w:r>
        <w:rPr>
          <w:rFonts w:hint="eastAsia" w:ascii="仿宋_GB2312" w:hAnsi="仿宋_GB2312" w:eastAsia="仿宋_GB2312" w:cs="仿宋_GB2312"/>
          <w:color w:val="auto"/>
          <w:sz w:val="32"/>
          <w:szCs w:val="32"/>
          <w:highlight w:val="none"/>
          <w:lang w:val="en-US" w:eastAsia="zh-CN"/>
        </w:rPr>
        <w:t>比上年</w:t>
      </w:r>
      <w:r>
        <w:rPr>
          <w:rFonts w:hint="eastAsia" w:ascii="仿宋_GB2312" w:hAnsi="仿宋_GB2312" w:eastAsia="仿宋_GB2312" w:cs="仿宋_GB2312"/>
          <w:color w:val="auto"/>
          <w:sz w:val="32"/>
          <w:szCs w:val="32"/>
          <w:highlight w:val="none"/>
          <w:lang w:val="zh-CN" w:eastAsia="zh-CN"/>
        </w:rPr>
        <w:t>增加</w:t>
      </w:r>
      <w:r>
        <w:rPr>
          <w:rFonts w:hint="eastAsia" w:ascii="仿宋_GB2312" w:hAnsi="仿宋_GB2312" w:eastAsia="仿宋_GB2312" w:cs="仿宋_GB2312"/>
          <w:color w:val="auto"/>
          <w:sz w:val="32"/>
          <w:szCs w:val="32"/>
          <w:highlight w:val="none"/>
          <w:lang w:val="en-US" w:eastAsia="zh-CN"/>
        </w:rPr>
        <w:t>13.84</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增加403.50</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eastAsia="zh-CN"/>
        </w:rPr>
        <w:t>原因</w:t>
      </w:r>
      <w:r>
        <w:rPr>
          <w:rFonts w:hint="eastAsia" w:ascii="仿宋_GB2312" w:hAnsi="仿宋_GB2312" w:eastAsia="仿宋_GB2312" w:cs="仿宋_GB2312"/>
          <w:color w:val="auto"/>
          <w:sz w:val="32"/>
          <w:szCs w:val="32"/>
          <w:highlight w:val="none"/>
          <w:lang w:val="en-US" w:eastAsia="zh-CN"/>
        </w:rPr>
        <w:t>本市加大招商引资力度，积极对接外地各企业来本市投资，招商接待费用增加,车辆维修加油增加</w:t>
      </w:r>
      <w:r>
        <w:rPr>
          <w:rFonts w:hint="eastAsia" w:ascii="仿宋_GB2312" w:hAnsi="仿宋_GB2312" w:eastAsia="仿宋_GB2312" w:cs="仿宋_GB2312"/>
          <w:color w:val="auto"/>
          <w:sz w:val="32"/>
          <w:szCs w:val="32"/>
          <w:highlight w:val="none"/>
          <w:lang w:val="zh-CN" w:eastAsia="zh-CN"/>
        </w:rPr>
        <w:t>。其中：因公出国（境）费支出0.00万元，占0.00%，比上年增加0.00万元，</w:t>
      </w:r>
      <w:r>
        <w:rPr>
          <w:rFonts w:hint="eastAsia" w:ascii="仿宋_GB2312" w:hAnsi="仿宋_GB2312" w:eastAsia="仿宋_GB2312" w:cs="仿宋_GB2312"/>
          <w:color w:val="auto"/>
          <w:sz w:val="32"/>
          <w:szCs w:val="32"/>
          <w:highlight w:val="none"/>
          <w:lang w:val="en-US" w:eastAsia="zh-CN"/>
        </w:rPr>
        <w:t>增长0.00%,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本年无因公出国（出境）费</w:t>
      </w:r>
      <w:r>
        <w:rPr>
          <w:rFonts w:hint="eastAsia" w:ascii="仿宋_GB2312" w:hAnsi="仿宋_GB2312" w:eastAsia="仿宋_GB2312" w:cs="仿宋_GB2312"/>
          <w:color w:val="auto"/>
          <w:sz w:val="32"/>
          <w:szCs w:val="32"/>
          <w:highlight w:val="none"/>
          <w:lang w:val="zh-CN" w:eastAsia="zh-CN"/>
        </w:rPr>
        <w:t>；公务用车购置及运行维护费支出8.17万元，占47.31%，比上年增加</w:t>
      </w:r>
      <w:r>
        <w:rPr>
          <w:rFonts w:hint="eastAsia" w:ascii="仿宋_GB2312" w:hAnsi="仿宋_GB2312" w:eastAsia="仿宋_GB2312" w:cs="仿宋_GB2312"/>
          <w:color w:val="auto"/>
          <w:sz w:val="32"/>
          <w:szCs w:val="32"/>
          <w:highlight w:val="none"/>
          <w:lang w:val="en-US" w:eastAsia="zh-CN"/>
        </w:rPr>
        <w:t>5.61</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增长219.14%,</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加大招商力度、下企业考察频繁</w:t>
      </w:r>
      <w:r>
        <w:rPr>
          <w:rFonts w:hint="eastAsia" w:ascii="仿宋_GB2312" w:hAnsi="仿宋_GB2312" w:eastAsia="仿宋_GB2312" w:cs="仿宋_GB2312"/>
          <w:color w:val="auto"/>
          <w:sz w:val="32"/>
          <w:szCs w:val="32"/>
          <w:highlight w:val="none"/>
          <w:lang w:val="en-US" w:eastAsia="zh-CN"/>
        </w:rPr>
        <w:t>车辆使用次数增加，相关汽油费、维修费增加；</w:t>
      </w:r>
      <w:r>
        <w:rPr>
          <w:rFonts w:hint="eastAsia" w:ascii="仿宋_GB2312" w:hAnsi="仿宋_GB2312" w:eastAsia="仿宋_GB2312" w:cs="仿宋_GB2312"/>
          <w:color w:val="auto"/>
          <w:sz w:val="32"/>
          <w:szCs w:val="32"/>
          <w:highlight w:val="none"/>
          <w:lang w:val="zh-CN" w:eastAsia="zh-CN"/>
        </w:rPr>
        <w:t>公务接待费支出9.1</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zh-CN" w:eastAsia="zh-CN"/>
        </w:rPr>
        <w:t>万元，占52.75%，比上年增加</w:t>
      </w:r>
      <w:r>
        <w:rPr>
          <w:rFonts w:hint="eastAsia" w:ascii="仿宋_GB2312" w:hAnsi="仿宋_GB2312" w:eastAsia="仿宋_GB2312" w:cs="仿宋_GB2312"/>
          <w:color w:val="auto"/>
          <w:sz w:val="32"/>
          <w:szCs w:val="32"/>
          <w:highlight w:val="none"/>
          <w:lang w:val="en-US" w:eastAsia="zh-CN"/>
        </w:rPr>
        <w:t>8.24</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增长947.13%,</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本市加大招商引资力度，积极对接外地各企业来本市投资，招商接待费用增加，同时，本年支付2023以前接待费用</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具体情况如下：</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因公出国（境）费支出0.00万元，开支内容包括因公出国（境）费支出，</w:t>
      </w:r>
      <w:r>
        <w:rPr>
          <w:rFonts w:hint="eastAsia" w:ascii="仿宋_GB2312" w:hAnsi="仿宋_GB2312" w:eastAsia="仿宋_GB2312" w:cs="仿宋_GB2312"/>
          <w:color w:val="auto"/>
          <w:sz w:val="32"/>
          <w:szCs w:val="32"/>
          <w:highlight w:val="none"/>
          <w:lang w:val="en-US" w:eastAsia="zh-CN"/>
        </w:rPr>
        <w:t>我单位无因公出国（境）费支出。</w:t>
      </w:r>
      <w:r>
        <w:rPr>
          <w:rFonts w:hint="eastAsia" w:ascii="仿宋_GB2312" w:hAnsi="仿宋_GB2312" w:eastAsia="仿宋_GB2312" w:cs="仿宋_GB2312"/>
          <w:color w:val="auto"/>
          <w:sz w:val="32"/>
          <w:szCs w:val="32"/>
          <w:highlight w:val="none"/>
          <w:lang w:val="zh-CN" w:eastAsia="zh-CN"/>
        </w:rPr>
        <w:t>单位全年安排的因公出国（境）团组0个，因公出国（境）0人次。</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公务用车购置及运行维护费8.17万元，其中：公务用车购置费0.00万元，公务用车运行维护费8.17万元。公务用车运行维护费开支内容包括</w:t>
      </w:r>
      <w:r>
        <w:rPr>
          <w:rFonts w:hint="eastAsia" w:ascii="仿宋_GB2312" w:hAnsi="仿宋_GB2312" w:eastAsia="仿宋_GB2312" w:cs="仿宋_GB2312"/>
          <w:color w:val="auto"/>
          <w:sz w:val="32"/>
          <w:szCs w:val="32"/>
          <w:highlight w:val="none"/>
          <w:lang w:val="en-US" w:eastAsia="zh-CN"/>
        </w:rPr>
        <w:t>车辆燃油费、车辆充电费、车辆维修费、车辆检测费、车辆保险费以及过路过桥费。</w:t>
      </w:r>
      <w:r>
        <w:rPr>
          <w:rFonts w:hint="eastAsia" w:ascii="仿宋_GB2312" w:hAnsi="仿宋_GB2312" w:eastAsia="仿宋_GB2312" w:cs="仿宋_GB2312"/>
          <w:color w:val="auto"/>
          <w:sz w:val="32"/>
          <w:szCs w:val="32"/>
          <w:highlight w:val="none"/>
          <w:lang w:val="zh-CN" w:eastAsia="zh-CN"/>
        </w:rPr>
        <w:t>公务用车购置数0辆，公务用车保有量2辆。国有资产占用情况</w:t>
      </w:r>
      <w:r>
        <w:rPr>
          <w:rFonts w:hint="eastAsia" w:ascii="仿宋_GB2312" w:hAnsi="仿宋_GB2312" w:eastAsia="仿宋_GB2312" w:cs="仿宋_GB2312"/>
          <w:color w:val="auto"/>
          <w:sz w:val="32"/>
          <w:szCs w:val="32"/>
          <w:highlight w:val="none"/>
          <w:lang w:val="en-US" w:eastAsia="zh-CN"/>
        </w:rPr>
        <w:t>中固定资产车辆</w:t>
      </w:r>
      <w:r>
        <w:rPr>
          <w:rFonts w:hint="eastAsia" w:ascii="仿宋_GB2312" w:hAnsi="仿宋_GB2312" w:eastAsia="仿宋_GB2312" w:cs="仿宋_GB2312"/>
          <w:color w:val="auto"/>
          <w:sz w:val="32"/>
          <w:szCs w:val="32"/>
          <w:highlight w:val="none"/>
          <w:lang w:val="zh-CN" w:eastAsia="zh-CN"/>
        </w:rPr>
        <w:t>2辆，</w:t>
      </w:r>
      <w:r>
        <w:rPr>
          <w:rFonts w:hint="eastAsia" w:ascii="仿宋_GB2312" w:hAnsi="仿宋_GB2312" w:eastAsia="仿宋_GB2312" w:cs="仿宋_GB2312"/>
          <w:color w:val="auto"/>
          <w:sz w:val="32"/>
          <w:szCs w:val="32"/>
          <w:highlight w:val="none"/>
          <w:lang w:val="en-US" w:eastAsia="zh-CN"/>
        </w:rPr>
        <w:t>与</w:t>
      </w:r>
      <w:r>
        <w:rPr>
          <w:rFonts w:hint="eastAsia" w:ascii="仿宋_GB2312" w:hAnsi="仿宋_GB2312" w:eastAsia="仿宋_GB2312" w:cs="仿宋_GB2312"/>
          <w:color w:val="auto"/>
          <w:sz w:val="32"/>
          <w:szCs w:val="32"/>
          <w:highlight w:val="none"/>
          <w:lang w:val="zh-CN" w:eastAsia="zh-CN"/>
        </w:rPr>
        <w:t>公务用车</w:t>
      </w:r>
      <w:r>
        <w:rPr>
          <w:rFonts w:hint="eastAsia" w:ascii="仿宋_GB2312" w:hAnsi="仿宋_GB2312" w:eastAsia="仿宋_GB2312" w:cs="仿宋_GB2312"/>
          <w:color w:val="auto"/>
          <w:sz w:val="32"/>
          <w:szCs w:val="32"/>
          <w:highlight w:val="none"/>
          <w:lang w:val="en-US" w:eastAsia="zh-CN"/>
        </w:rPr>
        <w:t>保有量无差异</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公务接待费9.11万元，开支内容包括</w:t>
      </w:r>
      <w:r>
        <w:rPr>
          <w:rFonts w:hint="eastAsia" w:ascii="仿宋_GB2312" w:hAnsi="仿宋_GB2312" w:eastAsia="仿宋_GB2312" w:cs="仿宋_GB2312"/>
          <w:color w:val="auto"/>
          <w:sz w:val="32"/>
          <w:szCs w:val="32"/>
          <w:highlight w:val="none"/>
          <w:lang w:val="en-US" w:eastAsia="zh-CN"/>
        </w:rPr>
        <w:t>公务接待费0.26万元、招商引资商务接待8.85万元</w:t>
      </w:r>
      <w:r>
        <w:rPr>
          <w:rFonts w:hint="eastAsia" w:ascii="仿宋_GB2312" w:hAnsi="仿宋_GB2312" w:eastAsia="仿宋_GB2312" w:cs="仿宋_GB2312"/>
          <w:color w:val="auto"/>
          <w:sz w:val="32"/>
          <w:szCs w:val="32"/>
          <w:highlight w:val="none"/>
          <w:lang w:val="zh-CN" w:eastAsia="zh-CN"/>
        </w:rPr>
        <w:t>。单位全年安排的国内接待161批次，1494人次。</w:t>
      </w:r>
      <w:r>
        <w:rPr>
          <w:rFonts w:hint="eastAsia" w:ascii="仿宋_GB2312" w:hAnsi="仿宋_GB2312" w:eastAsia="仿宋_GB2312" w:cs="仿宋_GB2312"/>
          <w:color w:val="auto"/>
          <w:sz w:val="32"/>
          <w:szCs w:val="32"/>
          <w:highlight w:val="none"/>
          <w:lang w:val="en-US" w:eastAsia="zh-CN"/>
        </w:rPr>
        <w:t>原因为本市加大招商引资力度，积极对接外地各企业来本市投资，招商接待费用增加。</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与</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财政拨款“三公”经费支出</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w:t>
      </w:r>
      <w:r>
        <w:rPr>
          <w:rFonts w:hint="eastAsia" w:ascii="仿宋_GB2312" w:hAnsi="仿宋_GB2312" w:eastAsia="仿宋_GB2312" w:cs="仿宋_GB2312"/>
          <w:color w:val="auto"/>
          <w:sz w:val="32"/>
          <w:szCs w:val="32"/>
          <w:highlight w:val="none"/>
          <w:lang w:val="en-US" w:eastAsia="zh-CN"/>
        </w:rPr>
        <w:t>17.27</w:t>
      </w:r>
      <w:r>
        <w:rPr>
          <w:rFonts w:hint="eastAsia" w:ascii="仿宋_GB2312" w:hAnsi="仿宋_GB2312" w:eastAsia="仿宋_GB2312" w:cs="仿宋_GB2312"/>
          <w:color w:val="auto"/>
          <w:sz w:val="32"/>
          <w:szCs w:val="32"/>
          <w:highlight w:val="none"/>
          <w:lang w:val="zh-CN" w:eastAsia="zh-CN"/>
        </w:rPr>
        <w:t>万元，决算数17.27万元，预决算差异率</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CN" w:eastAsia="zh-CN"/>
        </w:rPr>
        <w:t>%，主要原因是：财政拨款“三公”经费支出预算数和决算数无变化，预决算无差异。其中：因公出国（境）费</w:t>
      </w:r>
      <w:r>
        <w:rPr>
          <w:rFonts w:hint="eastAsia" w:ascii="仿宋_GB2312" w:hAnsi="仿宋_GB2312" w:eastAsia="仿宋_GB2312" w:cs="仿宋_GB2312"/>
          <w:color w:val="auto"/>
          <w:sz w:val="32"/>
          <w:szCs w:val="32"/>
          <w:highlight w:val="none"/>
          <w:lang w:val="en-US" w:eastAsia="zh-CN"/>
        </w:rPr>
        <w:t>全年预算数</w:t>
      </w:r>
      <w:r>
        <w:rPr>
          <w:rFonts w:hint="eastAsia" w:ascii="仿宋_GB2312" w:hAnsi="仿宋_GB2312" w:eastAsia="仿宋_GB2312" w:cs="仿宋_GB2312"/>
          <w:color w:val="auto"/>
          <w:sz w:val="32"/>
          <w:szCs w:val="32"/>
          <w:highlight w:val="none"/>
          <w:lang w:val="zh-CN" w:eastAsia="zh-CN"/>
        </w:rPr>
        <w:t>0.00万元，决算数0.00万元，预决算差异率0.00%，主要原因是：</w:t>
      </w:r>
      <w:r>
        <w:rPr>
          <w:rFonts w:hint="eastAsia" w:ascii="仿宋_GB2312" w:hAnsi="仿宋_GB2312" w:eastAsia="仿宋_GB2312" w:cs="仿宋_GB2312"/>
          <w:color w:val="auto"/>
          <w:sz w:val="32"/>
          <w:szCs w:val="32"/>
          <w:highlight w:val="none"/>
          <w:lang w:val="en-US" w:eastAsia="zh-CN"/>
        </w:rPr>
        <w:t>本年度</w:t>
      </w:r>
      <w:r>
        <w:rPr>
          <w:rFonts w:hint="eastAsia" w:ascii="仿宋_GB2312" w:hAnsi="仿宋_GB2312" w:eastAsia="仿宋_GB2312" w:cs="仿宋_GB2312"/>
          <w:color w:val="auto"/>
          <w:sz w:val="32"/>
          <w:szCs w:val="32"/>
          <w:highlight w:val="none"/>
          <w:lang w:val="zh-CN" w:eastAsia="zh-CN"/>
        </w:rPr>
        <w:t>我单位未安排因公出国（境）费；公务用车购置费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预算数0.00万元，决算数0.00万元，预决算差异率0.00%，主要原因是：主要原因是</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我单位未安排公务用车购置费，预决算无差异；公务用车运行费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w:t>
      </w:r>
      <w:r>
        <w:rPr>
          <w:rFonts w:hint="eastAsia" w:ascii="仿宋_GB2312" w:hAnsi="仿宋_GB2312" w:eastAsia="仿宋_GB2312" w:cs="仿宋_GB2312"/>
          <w:color w:val="auto"/>
          <w:sz w:val="32"/>
          <w:szCs w:val="32"/>
          <w:highlight w:val="none"/>
          <w:lang w:val="en-US" w:eastAsia="zh-CN"/>
        </w:rPr>
        <w:t>8.17</w:t>
      </w:r>
      <w:r>
        <w:rPr>
          <w:rFonts w:hint="eastAsia" w:ascii="仿宋_GB2312" w:hAnsi="仿宋_GB2312" w:eastAsia="仿宋_GB2312" w:cs="仿宋_GB2312"/>
          <w:color w:val="auto"/>
          <w:sz w:val="32"/>
          <w:szCs w:val="32"/>
          <w:highlight w:val="none"/>
          <w:lang w:val="zh-CN" w:eastAsia="zh-CN"/>
        </w:rPr>
        <w:t>万元，决算数8.17万元，预决算差异率</w:t>
      </w:r>
      <w:r>
        <w:rPr>
          <w:rFonts w:hint="eastAsia" w:ascii="仿宋_GB2312" w:hAnsi="仿宋_GB2312" w:eastAsia="仿宋_GB2312" w:cs="仿宋_GB2312"/>
          <w:color w:val="auto"/>
          <w:sz w:val="32"/>
          <w:szCs w:val="32"/>
          <w:highlight w:val="none"/>
          <w:lang w:val="en-US" w:eastAsia="zh-CN"/>
        </w:rPr>
        <w:t>0.00</w:t>
      </w:r>
      <w:r>
        <w:rPr>
          <w:rFonts w:hint="eastAsia" w:ascii="仿宋_GB2312" w:hAnsi="仿宋_GB2312" w:eastAsia="仿宋_GB2312" w:cs="仿宋_GB2312"/>
          <w:color w:val="auto"/>
          <w:sz w:val="32"/>
          <w:szCs w:val="32"/>
          <w:highlight w:val="none"/>
          <w:lang w:val="zh-CN" w:eastAsia="zh-CN"/>
        </w:rPr>
        <w:t>%，主要原因是：公务用车运行费预算数和决算数无变化，预决算无差异；公务接待费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w:t>
      </w:r>
      <w:r>
        <w:rPr>
          <w:rFonts w:hint="eastAsia" w:ascii="仿宋_GB2312" w:hAnsi="仿宋_GB2312" w:eastAsia="仿宋_GB2312" w:cs="仿宋_GB2312"/>
          <w:color w:val="auto"/>
          <w:sz w:val="32"/>
          <w:szCs w:val="32"/>
          <w:highlight w:val="none"/>
          <w:lang w:val="en-US" w:eastAsia="zh-CN"/>
        </w:rPr>
        <w:t>9.11</w:t>
      </w:r>
      <w:r>
        <w:rPr>
          <w:rFonts w:hint="eastAsia" w:ascii="仿宋_GB2312" w:hAnsi="仿宋_GB2312" w:eastAsia="仿宋_GB2312" w:cs="仿宋_GB2312"/>
          <w:color w:val="auto"/>
          <w:sz w:val="32"/>
          <w:szCs w:val="32"/>
          <w:highlight w:val="none"/>
          <w:lang w:val="zh-CN" w:eastAsia="zh-CN"/>
        </w:rPr>
        <w:t>万元，决算数9.11万元，预决算差异率</w:t>
      </w:r>
      <w:r>
        <w:rPr>
          <w:rFonts w:hint="eastAsia" w:ascii="仿宋_GB2312" w:hAnsi="仿宋_GB2312" w:eastAsia="仿宋_GB2312" w:cs="仿宋_GB2312"/>
          <w:color w:val="auto"/>
          <w:sz w:val="32"/>
          <w:szCs w:val="32"/>
          <w:highlight w:val="none"/>
          <w:lang w:val="en-US" w:eastAsia="zh-CN"/>
        </w:rPr>
        <w:t>0.00</w:t>
      </w:r>
      <w:r>
        <w:rPr>
          <w:rFonts w:hint="eastAsia" w:ascii="仿宋_GB2312" w:hAnsi="仿宋_GB2312" w:eastAsia="仿宋_GB2312" w:cs="仿宋_GB2312"/>
          <w:color w:val="auto"/>
          <w:sz w:val="32"/>
          <w:szCs w:val="32"/>
          <w:highlight w:val="none"/>
          <w:lang w:val="zh-CN" w:eastAsia="zh-CN"/>
        </w:rPr>
        <w:t>%，主要原因是：我单位本年支出严格执行预算管理办法，无超预算情形，</w:t>
      </w:r>
      <w:r>
        <w:rPr>
          <w:rFonts w:hint="eastAsia" w:ascii="仿宋_GB2312" w:hAnsi="仿宋_GB2312" w:eastAsia="仿宋_GB2312" w:cs="仿宋_GB2312"/>
          <w:color w:val="auto"/>
          <w:sz w:val="32"/>
          <w:szCs w:val="32"/>
          <w:highlight w:val="none"/>
          <w:lang w:val="en-US" w:eastAsia="zh-CN"/>
        </w:rPr>
        <w:t>公务接待</w:t>
      </w:r>
      <w:r>
        <w:rPr>
          <w:rFonts w:hint="eastAsia" w:ascii="仿宋_GB2312" w:hAnsi="仿宋_GB2312" w:eastAsia="仿宋_GB2312" w:cs="仿宋_GB2312"/>
          <w:color w:val="auto"/>
          <w:sz w:val="32"/>
          <w:szCs w:val="32"/>
          <w:highlight w:val="none"/>
          <w:lang w:val="zh-CN" w:eastAsia="zh-CN"/>
        </w:rPr>
        <w:t>费预算数和决算数无变化，预决算无差异。</w:t>
      </w:r>
      <w:bookmarkStart w:id="18" w:name="_Toc5810"/>
      <w:bookmarkStart w:id="19" w:name="_Toc7927"/>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2023年度政府性基金预算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eastAsia="zh-CN"/>
        </w:rPr>
        <w:t>收入</w:t>
      </w:r>
      <w:r>
        <w:rPr>
          <w:rFonts w:hint="eastAsia" w:ascii="仿宋_GB2312" w:hAnsi="仿宋_GB2312" w:eastAsia="仿宋_GB2312" w:cs="仿宋_GB2312"/>
          <w:color w:val="auto"/>
          <w:sz w:val="32"/>
          <w:szCs w:val="32"/>
          <w:highlight w:val="none"/>
          <w:lang w:val="en-US" w:eastAsia="zh-CN"/>
        </w:rPr>
        <w:t>总计1,592.04</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其中：年初结转和结余0.00</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本年收入1,592.04</w:t>
      </w:r>
      <w:r>
        <w:rPr>
          <w:rFonts w:hint="eastAsia" w:ascii="仿宋_GB2312" w:hAnsi="仿宋_GB2312" w:eastAsia="仿宋_GB2312" w:cs="仿宋_GB2312"/>
          <w:color w:val="auto"/>
          <w:sz w:val="32"/>
          <w:szCs w:val="32"/>
          <w:highlight w:val="none"/>
          <w:lang w:val="zh-CN" w:eastAsia="zh-CN"/>
        </w:rPr>
        <w:t>万元。政府性基金预算财政拨款支出</w:t>
      </w:r>
      <w:r>
        <w:rPr>
          <w:rFonts w:hint="eastAsia" w:ascii="仿宋_GB2312" w:hAnsi="仿宋_GB2312" w:eastAsia="仿宋_GB2312" w:cs="仿宋_GB2312"/>
          <w:color w:val="auto"/>
          <w:sz w:val="32"/>
          <w:szCs w:val="32"/>
          <w:highlight w:val="none"/>
          <w:lang w:val="en-US" w:eastAsia="zh-CN"/>
        </w:rPr>
        <w:t>总计1,592.04</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其中：年末结转和结余0.00</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本年支出1,592.04</w:t>
      </w:r>
      <w:r>
        <w:rPr>
          <w:rFonts w:hint="eastAsia" w:ascii="仿宋_GB2312" w:hAnsi="仿宋_GB2312" w:eastAsia="仿宋_GB2312" w:cs="仿宋_GB2312"/>
          <w:color w:val="auto"/>
          <w:sz w:val="32"/>
          <w:szCs w:val="32"/>
          <w:highlight w:val="none"/>
          <w:lang w:val="zh-CN" w:eastAsia="zh-CN"/>
        </w:rPr>
        <w:t>万元。</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val="0"/>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政府性基金预算财政拨款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eastAsia="zh-CN"/>
        </w:rPr>
        <w:t>与上年相比，</w:t>
      </w:r>
      <w:r>
        <w:rPr>
          <w:rFonts w:hint="eastAsia" w:ascii="仿宋_GB2312" w:hAnsi="仿宋_GB2312" w:eastAsia="仿宋_GB2312" w:cs="仿宋_GB2312"/>
          <w:color w:val="auto"/>
          <w:sz w:val="32"/>
          <w:szCs w:val="32"/>
          <w:highlight w:val="none"/>
          <w:lang w:val="en-US" w:eastAsia="zh-CN"/>
        </w:rPr>
        <w:t>减少4615.77</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,下降74.35</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沙湾综合产业园区基础设施建设项目-产业园区至S115省道连接道路建设项目工程款支付减少</w:t>
      </w:r>
      <w:r>
        <w:rPr>
          <w:rFonts w:hint="eastAsia" w:ascii="仿宋_GB2312" w:hAnsi="仿宋_GB2312" w:eastAsia="仿宋_GB2312" w:cs="仿宋_GB2312"/>
          <w:color w:val="auto"/>
          <w:sz w:val="32"/>
          <w:szCs w:val="32"/>
          <w:highlight w:val="none"/>
          <w:lang w:val="zh-CN" w:eastAsia="zh-CN"/>
        </w:rPr>
        <w:t>。与年初预算相比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年初预算数</w:t>
      </w:r>
      <w:r>
        <w:rPr>
          <w:rFonts w:hint="eastAsia" w:ascii="仿宋_GB2312" w:hAnsi="仿宋_GB2312" w:eastAsia="仿宋_GB2312" w:cs="仿宋_GB2312"/>
          <w:color w:val="auto"/>
          <w:sz w:val="32"/>
          <w:szCs w:val="32"/>
          <w:highlight w:val="none"/>
          <w:lang w:val="en-US" w:eastAsia="zh-CN"/>
        </w:rPr>
        <w:t>3,792.19</w:t>
      </w:r>
      <w:r>
        <w:rPr>
          <w:rFonts w:hint="eastAsia" w:ascii="仿宋_GB2312" w:hAnsi="仿宋_GB2312" w:eastAsia="仿宋_GB2312" w:cs="仿宋_GB2312"/>
          <w:color w:val="auto"/>
          <w:sz w:val="32"/>
          <w:szCs w:val="32"/>
          <w:highlight w:val="none"/>
          <w:lang w:val="zh-CN" w:eastAsia="zh-CN"/>
        </w:rPr>
        <w:t>万元，决算数</w:t>
      </w:r>
      <w:r>
        <w:rPr>
          <w:rFonts w:hint="eastAsia" w:ascii="仿宋_GB2312" w:hAnsi="仿宋_GB2312" w:eastAsia="仿宋_GB2312" w:cs="仿宋_GB2312"/>
          <w:color w:val="auto"/>
          <w:sz w:val="32"/>
          <w:szCs w:val="32"/>
          <w:highlight w:val="none"/>
          <w:lang w:val="en-US" w:eastAsia="zh-CN"/>
        </w:rPr>
        <w:t>1,592.04</w:t>
      </w:r>
      <w:r>
        <w:rPr>
          <w:rFonts w:hint="eastAsia" w:ascii="仿宋_GB2312" w:hAnsi="仿宋_GB2312" w:eastAsia="仿宋_GB2312" w:cs="仿宋_GB2312"/>
          <w:color w:val="auto"/>
          <w:sz w:val="32"/>
          <w:szCs w:val="32"/>
          <w:highlight w:val="none"/>
          <w:lang w:val="zh-CN" w:eastAsia="zh-CN"/>
        </w:rPr>
        <w:t>万元，预决算差异率-58.02%，主要原因是：</w:t>
      </w:r>
      <w:r>
        <w:rPr>
          <w:rFonts w:hint="eastAsia" w:ascii="仿宋_GB2312" w:hAnsi="仿宋_GB2312" w:eastAsia="仿宋_GB2312" w:cs="仿宋_GB2312"/>
          <w:color w:val="auto"/>
          <w:sz w:val="32"/>
          <w:szCs w:val="32"/>
          <w:highlight w:val="none"/>
          <w:lang w:val="en-US" w:eastAsia="zh-CN"/>
        </w:rPr>
        <w:t>年初预算数是将沙湾综合产业园区基础设施建设项目-产业园区至S115省道连接道路建设项目建设完成，但在实际支付时是根据该工程的实际工程进度来进行支付，故预决算有差异</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政府性基金预算财政拨款支出1,592.04万元。</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仿宋_GB2312" w:hAnsi="仿宋_GB2312" w:eastAsia="仿宋_GB2312" w:cs="仿宋_GB2312"/>
          <w:color w:val="auto"/>
          <w:sz w:val="32"/>
          <w:szCs w:val="32"/>
          <w:highlight w:val="none"/>
          <w:lang w:val="zh-CN" w:eastAsia="zh-CN"/>
        </w:rPr>
        <w:t>1.其他支出（类）其他政府性基金及对应专项债务收入安排的支出（款）其他地方自行试点项目收益专项债券收入安排的支出（项）:支出决算数为1,592.04</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eastAsia="zh-CN"/>
        </w:rPr>
        <w:t>，比上年决算</w:t>
      </w:r>
      <w:r>
        <w:rPr>
          <w:rFonts w:hint="eastAsia" w:ascii="仿宋_GB2312" w:hAnsi="仿宋_GB2312" w:eastAsia="仿宋_GB2312" w:cs="仿宋_GB2312"/>
          <w:color w:val="auto"/>
          <w:sz w:val="32"/>
          <w:szCs w:val="32"/>
          <w:highlight w:val="none"/>
          <w:lang w:val="en-US" w:eastAsia="zh-CN"/>
        </w:rPr>
        <w:t>减少4615.77</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,下降74.35</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沙湾综合产业园区基础设施建设项目-产业园区至S115省道连接道路建设项目工程款是根据项目的实际完成进度给予拨付资金</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我</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lang w:val="zh-CN" w:eastAsia="zh-CN"/>
        </w:rPr>
        <w:t>本年度无国有资本经营预算财政拨款收入、支出</w:t>
      </w:r>
      <w:r>
        <w:rPr>
          <w:rFonts w:hint="eastAsia" w:ascii="仿宋_GB2312" w:hAnsi="仿宋_GB2312" w:eastAsia="仿宋_GB2312" w:cs="仿宋_GB2312"/>
          <w:color w:val="auto"/>
          <w:sz w:val="32"/>
          <w:szCs w:val="32"/>
          <w:highlight w:val="none"/>
          <w:lang w:val="en-US" w:eastAsia="zh-CN"/>
        </w:rPr>
        <w:t>及结转和结余</w:t>
      </w:r>
      <w:r>
        <w:rPr>
          <w:rFonts w:hint="eastAsia" w:ascii="仿宋_GB2312" w:hAnsi="仿宋_GB2312" w:eastAsia="仿宋_GB2312" w:cs="仿宋_GB2312"/>
          <w:color w:val="auto"/>
          <w:sz w:val="32"/>
          <w:szCs w:val="32"/>
          <w:highlight w:val="none"/>
          <w:lang w:val="zh-CN" w:eastAsia="zh-CN"/>
        </w:rPr>
        <w:t>，国有资本经营预算财政拨款收入支出决算表为空表。</w:t>
      </w:r>
      <w:bookmarkStart w:id="20" w:name="_Toc1235"/>
      <w:bookmarkStart w:id="21" w:name="_Toc7314"/>
    </w:p>
    <w:p>
      <w:pPr>
        <w:keepNext w:val="0"/>
        <w:keepLines w:val="0"/>
        <w:pageBreakBefore w:val="0"/>
        <w:widowControl w:val="0"/>
        <w:numPr>
          <w:ilvl w:val="0"/>
          <w:numId w:val="2"/>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bookmarkStart w:id="22" w:name="_Toc13105"/>
      <w:bookmarkStart w:id="23" w:name="_Toc14519"/>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2023年度</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沙湾市商务和工业信息化局</w:t>
      </w:r>
      <w:r>
        <w:rPr>
          <w:rFonts w:hint="eastAsia" w:ascii="仿宋_GB2312" w:hAnsi="仿宋_GB2312" w:eastAsia="仿宋_GB2312" w:cs="仿宋_GB2312"/>
          <w:color w:val="auto"/>
          <w:sz w:val="32"/>
          <w:szCs w:val="32"/>
          <w:highlight w:val="none"/>
          <w:lang w:val="en-US" w:eastAsia="zh-CN"/>
        </w:rPr>
        <w:t>（行政单位和参照公务员法管理事业单位）机关运行经费支出24.71万元，</w:t>
      </w:r>
      <w:r>
        <w:rPr>
          <w:rFonts w:hint="eastAsia" w:ascii="仿宋_GB2312" w:hAnsi="仿宋_GB2312" w:eastAsia="仿宋_GB2312" w:cs="仿宋_GB2312"/>
          <w:color w:val="auto"/>
          <w:sz w:val="32"/>
          <w:szCs w:val="32"/>
          <w:highlight w:val="none"/>
          <w:lang w:val="zh-CN" w:eastAsia="zh-CN"/>
        </w:rPr>
        <w:t>比上年</w:t>
      </w:r>
      <w:r>
        <w:rPr>
          <w:rFonts w:hint="eastAsia" w:ascii="仿宋_GB2312" w:hAnsi="仿宋_GB2312" w:eastAsia="仿宋_GB2312" w:cs="仿宋_GB2312"/>
          <w:color w:val="auto"/>
          <w:sz w:val="32"/>
          <w:szCs w:val="32"/>
          <w:highlight w:val="none"/>
          <w:lang w:val="en-US" w:eastAsia="zh-CN"/>
        </w:rPr>
        <w:t>增加8.20</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增长49.67</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本单位严格执行中央八项规定，严控不必要的开支，精简支出</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numPr>
          <w:ilvl w:val="0"/>
          <w:numId w:val="3"/>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政府采购情况</w:t>
      </w:r>
      <w:bookmarkEnd w:id="24"/>
      <w:bookmarkEnd w:id="25"/>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2023年度政府采购支出总额6.7</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zh-CN" w:eastAsia="zh-CN"/>
        </w:rPr>
        <w:t>万元，其中：政府采购货物支出3.7</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zh-CN" w:eastAsia="zh-CN"/>
        </w:rPr>
        <w:t>万元、政府采购工程支出0.00万元、政府采购服务支出3.02万元。</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授予中小企业合同金额6.73万元，占政府采购支出总额的100.00%，其中：授予小微企业合同金额6.73万元，占政府采购支出总额的100.00%</w:t>
      </w:r>
      <w:r>
        <w:rPr>
          <w:rFonts w:hint="eastAsia" w:ascii="仿宋_GB2312" w:hAnsi="仿宋_GB2312" w:eastAsia="仿宋_GB2312" w:cs="仿宋_GB2312"/>
          <w:color w:val="auto"/>
          <w:sz w:val="32"/>
          <w:szCs w:val="32"/>
          <w:highlight w:val="none"/>
          <w:lang w:val="en-US" w:eastAsia="zh-CN"/>
        </w:rPr>
        <w:t>。</w:t>
      </w:r>
      <w:bookmarkStart w:id="26" w:name="_Toc8391"/>
      <w:bookmarkStart w:id="27" w:name="_Toc4591"/>
    </w:p>
    <w:p>
      <w:pPr>
        <w:keepNext w:val="0"/>
        <w:keepLines w:val="0"/>
        <w:pageBreakBefore w:val="0"/>
        <w:widowControl w:val="0"/>
        <w:numPr>
          <w:ilvl w:val="0"/>
          <w:numId w:val="3"/>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left="0" w:leftChars="0" w:firstLine="640" w:firstLineChars="200"/>
        <w:jc w:val="left"/>
        <w:textAlignment w:val="auto"/>
        <w:rPr>
          <w:rFonts w:hint="eastAsia" w:ascii="仿宋_GB2312" w:hAnsi="仿宋_GB2312" w:eastAsia="仿宋_GB2312" w:cs="仿宋_GB2312"/>
          <w:color w:val="auto"/>
          <w:sz w:val="32"/>
          <w:szCs w:val="30"/>
          <w:highlight w:val="none"/>
          <w:lang w:val="zh-CN" w:eastAsia="zh-CN"/>
        </w:rPr>
      </w:pPr>
      <w:r>
        <w:rPr>
          <w:rFonts w:hint="eastAsia" w:ascii="仿宋_GB2312" w:hAnsi="仿宋_GB2312" w:eastAsia="仿宋_GB2312" w:cs="仿宋_GB2312"/>
          <w:color w:val="auto"/>
          <w:sz w:val="32"/>
          <w:szCs w:val="30"/>
          <w:highlight w:val="none"/>
          <w:lang w:val="zh-CN" w:eastAsia="zh-CN"/>
        </w:rPr>
        <w:t>国有资产占用情况说明</w:t>
      </w:r>
      <w:bookmarkEnd w:id="26"/>
      <w:bookmarkEnd w:id="27"/>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259.48</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屋0.00平方米，价值0.00万元。车辆2辆，价值55.88万元，其中：副部（省）级及以上领导用车0辆、主要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CN" w:eastAsia="zh-CN"/>
        </w:rPr>
        <w:t>辆、机要通信用车0辆、应急保障用车0辆、执法执勤用车1辆、特种专业技术用车0辆、离退休干部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zh-CN" w:eastAsia="zh-CN"/>
        </w:rPr>
        <w:t>辆，其他用车主要是：办公业务保障用车；单价100万元（含）以上设备（不含车辆）0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bookmarkStart w:id="28" w:name="_Toc11283"/>
      <w:bookmarkStart w:id="29" w:name="_Toc435"/>
      <w:r>
        <w:rPr>
          <w:rFonts w:hint="eastAsia" w:ascii="仿宋_GB2312" w:hAnsi="仿宋_GB2312" w:eastAsia="仿宋_GB2312" w:cs="仿宋_GB2312"/>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十一、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根据预算绩效管理要求，我单位2023年度预算绩效管理整体支出绩效自评表1个，全年预算总额9994.19万元，实际执行总额7791.25万元；预算绩效评价项目7个，全年预算数7215.65</w:t>
      </w:r>
      <w:bookmarkStart w:id="48" w:name="_GoBack"/>
      <w:bookmarkEnd w:id="48"/>
      <w:r>
        <w:rPr>
          <w:rFonts w:hint="eastAsia" w:ascii="仿宋_GB2312" w:hAnsi="仿宋_GB2312" w:eastAsia="仿宋_GB2312" w:cs="仿宋_GB2312"/>
          <w:color w:val="auto"/>
          <w:sz w:val="32"/>
          <w:szCs w:val="32"/>
          <w:highlight w:val="none"/>
          <w:lang w:val="en-US" w:eastAsia="zh-CN"/>
        </w:rPr>
        <w:t>万元，全年执行数7215.65万元。其中：本单位共有sm项目3个，全年预算数6727.11万元，全年执行数6727.11万元，不予以公开。</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绩效管理取得的成效：一是保障了单位26人的工资、社保、公积金及生活补助等支出的正常发放，提升沙湾市基层治理能力和为民服务能力；二是保障了市工信局的正常运转，提高了市工信局运转效能。保障了市工信局按照年初计划如期推进，对于实施进度缓慢的项目，通过调度、约谈等方式推进项目建设和提高项目质量，以发挥资金使用效益。</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存在的问题：存在较多单位对决算重视不够、认识不足，认为年终决算只是会计的一项业务工作，只是对财务状况支出资金的一个汇总，不能通过决算系统的分析本单位资金使用效率以及发挥的社会效益。预算、会计账务、决算没有一体化闭环式管理，存在重复工作。</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意见和建议：理清预算、决算两者的关系，把预、决算结合起来，相辅相成、密不可分，决算应为今后更科学安排预算提供依据，为政府更好地实施宏观调控提供服务。确保预算执行和经济健康发展。</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left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十二、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Style w:val="24"/>
          <w:rFonts w:hint="eastAsia" w:ascii="黑体" w:hAnsi="黑体" w:eastAsia="黑体" w:cs="黑体"/>
          <w:sz w:val="32"/>
          <w:szCs w:val="32"/>
        </w:rPr>
      </w:pPr>
      <w:bookmarkStart w:id="30" w:name="_Toc3250"/>
      <w:bookmarkStart w:id="31" w:name="_Toc24143"/>
      <w:r>
        <w:rPr>
          <w:rFonts w:hint="eastAsia" w:ascii="仿宋_GB2312" w:hAnsi="仿宋_GB2312" w:eastAsia="仿宋_GB2312" w:cs="仿宋_GB2312"/>
          <w:color w:val="auto"/>
          <w:sz w:val="32"/>
          <w:szCs w:val="32"/>
          <w:highlight w:val="none"/>
          <w:lang w:val="en-US" w:eastAsia="zh-CN"/>
        </w:rPr>
        <w:t>单位共有sm项目3个，全年预算数6727.11万元，全年执行数6727.11万元，不予以公开绩效自评表。</w:t>
      </w:r>
      <w:r>
        <w:rPr>
          <w:rFonts w:hint="eastAsia" w:ascii="黑体" w:hAnsi="黑体" w:eastAsia="黑体"/>
          <w:color w:val="auto"/>
          <w:sz w:val="32"/>
          <w:szCs w:val="32"/>
          <w:highlight w:val="none"/>
        </w:rPr>
        <w:br w:type="page"/>
      </w:r>
      <w:r>
        <w:rPr>
          <w:rStyle w:val="24"/>
          <w:rFonts w:hint="eastAsia" w:ascii="黑体" w:hAnsi="黑体" w:eastAsia="黑体" w:cs="黑体"/>
          <w:sz w:val="32"/>
          <w:szCs w:val="32"/>
        </w:rPr>
        <w:t>第</w:t>
      </w:r>
      <w:r>
        <w:rPr>
          <w:rStyle w:val="24"/>
          <w:rFonts w:hint="eastAsia" w:ascii="黑体" w:hAnsi="黑体" w:eastAsia="黑体" w:cs="黑体"/>
          <w:sz w:val="32"/>
          <w:szCs w:val="32"/>
          <w:lang w:val="en-US" w:eastAsia="zh-CN"/>
        </w:rPr>
        <w:t>三</w:t>
      </w:r>
      <w:r>
        <w:rPr>
          <w:rStyle w:val="24"/>
          <w:rFonts w:hint="eastAsia" w:ascii="黑体" w:hAnsi="黑体" w:eastAsia="黑体" w:cs="黑体"/>
          <w:sz w:val="32"/>
          <w:szCs w:val="32"/>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FE38F4"/>
    <w:multiLevelType w:val="singleLevel"/>
    <w:tmpl w:val="C1FE38F4"/>
    <w:lvl w:ilvl="0" w:tentative="0">
      <w:start w:val="10"/>
      <w:numFmt w:val="chineseCounting"/>
      <w:suff w:val="nothing"/>
      <w:lvlText w:val="%1、"/>
      <w:lvlJc w:val="left"/>
      <w:rPr>
        <w:rFonts w:hint="eastAsia"/>
      </w:rPr>
    </w:lvl>
  </w:abstractNum>
  <w:abstractNum w:abstractNumId="1">
    <w:nsid w:val="4555CE42"/>
    <w:multiLevelType w:val="singleLevel"/>
    <w:tmpl w:val="4555CE42"/>
    <w:lvl w:ilvl="0" w:tentative="0">
      <w:start w:val="2"/>
      <w:numFmt w:val="chineseCounting"/>
      <w:suff w:val="nothing"/>
      <w:lvlText w:val="（%1）"/>
      <w:lvlJc w:val="left"/>
      <w:rPr>
        <w:rFonts w:hint="eastAsia"/>
      </w:rPr>
    </w:lvl>
  </w:abstractNum>
  <w:abstractNum w:abstractNumId="2">
    <w:nsid w:val="5701503C"/>
    <w:multiLevelType w:val="singleLevel"/>
    <w:tmpl w:val="5701503C"/>
    <w:lvl w:ilvl="0" w:tentative="0">
      <w:start w:val="3"/>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jNDBhMzE3MTRmMjgzMGM1MTdjNDY2ODhjMWY1YTYifQ=="/>
    <w:docVar w:name="KSO_WPS_MARK_KEY" w:val="41ee2a61-2d54-4f93-83be-afdb9a40d732"/>
  </w:docVars>
  <w:rsids>
    <w:rsidRoot w:val="00000000"/>
    <w:rsid w:val="00213C59"/>
    <w:rsid w:val="002F3DA8"/>
    <w:rsid w:val="003210CE"/>
    <w:rsid w:val="00B70D59"/>
    <w:rsid w:val="00F52A8D"/>
    <w:rsid w:val="019404F8"/>
    <w:rsid w:val="01C30B6B"/>
    <w:rsid w:val="01C55045"/>
    <w:rsid w:val="01ED22F2"/>
    <w:rsid w:val="029F3301"/>
    <w:rsid w:val="02BD3108"/>
    <w:rsid w:val="02F73D26"/>
    <w:rsid w:val="03361B75"/>
    <w:rsid w:val="034D4FEF"/>
    <w:rsid w:val="035D1785"/>
    <w:rsid w:val="039F47CE"/>
    <w:rsid w:val="03BD5310"/>
    <w:rsid w:val="03E05CE8"/>
    <w:rsid w:val="03F973EE"/>
    <w:rsid w:val="043E5B56"/>
    <w:rsid w:val="0442411D"/>
    <w:rsid w:val="04B736E8"/>
    <w:rsid w:val="04C04386"/>
    <w:rsid w:val="04D1736D"/>
    <w:rsid w:val="04D96608"/>
    <w:rsid w:val="04F210E4"/>
    <w:rsid w:val="04FA68C4"/>
    <w:rsid w:val="053973EC"/>
    <w:rsid w:val="053F5AE6"/>
    <w:rsid w:val="05485F2A"/>
    <w:rsid w:val="057C0B0F"/>
    <w:rsid w:val="05EF4B48"/>
    <w:rsid w:val="05F76ECA"/>
    <w:rsid w:val="06183A24"/>
    <w:rsid w:val="065D194F"/>
    <w:rsid w:val="06792773"/>
    <w:rsid w:val="06FD75CA"/>
    <w:rsid w:val="07093795"/>
    <w:rsid w:val="070F1B59"/>
    <w:rsid w:val="07457BAD"/>
    <w:rsid w:val="077E1A2E"/>
    <w:rsid w:val="07804730"/>
    <w:rsid w:val="079052BE"/>
    <w:rsid w:val="079C0D33"/>
    <w:rsid w:val="08145C21"/>
    <w:rsid w:val="08422688"/>
    <w:rsid w:val="085854ED"/>
    <w:rsid w:val="0879188F"/>
    <w:rsid w:val="08A0354D"/>
    <w:rsid w:val="08CD4C49"/>
    <w:rsid w:val="09114954"/>
    <w:rsid w:val="09554A11"/>
    <w:rsid w:val="095A5B83"/>
    <w:rsid w:val="096466E3"/>
    <w:rsid w:val="0968304D"/>
    <w:rsid w:val="09AF3D17"/>
    <w:rsid w:val="0A2C751F"/>
    <w:rsid w:val="0A7809B7"/>
    <w:rsid w:val="0A7B4867"/>
    <w:rsid w:val="0A840954"/>
    <w:rsid w:val="0A9928ED"/>
    <w:rsid w:val="0B104CA9"/>
    <w:rsid w:val="0B61769D"/>
    <w:rsid w:val="0B6947A3"/>
    <w:rsid w:val="0B8C3ECC"/>
    <w:rsid w:val="0B9C639D"/>
    <w:rsid w:val="0BB052B2"/>
    <w:rsid w:val="0BD33FFC"/>
    <w:rsid w:val="0BE97AC1"/>
    <w:rsid w:val="0C1C4780"/>
    <w:rsid w:val="0C3613A3"/>
    <w:rsid w:val="0C5E519C"/>
    <w:rsid w:val="0C7227A7"/>
    <w:rsid w:val="0CA52EE8"/>
    <w:rsid w:val="0CB64711"/>
    <w:rsid w:val="0CBD6988"/>
    <w:rsid w:val="0CC37CAE"/>
    <w:rsid w:val="0CD208AC"/>
    <w:rsid w:val="0D172DAA"/>
    <w:rsid w:val="0D255FCF"/>
    <w:rsid w:val="0D4903E8"/>
    <w:rsid w:val="0D7A4A46"/>
    <w:rsid w:val="0E640559"/>
    <w:rsid w:val="0F1113DA"/>
    <w:rsid w:val="0F16370F"/>
    <w:rsid w:val="0F78534A"/>
    <w:rsid w:val="0F89358A"/>
    <w:rsid w:val="0F8C6D51"/>
    <w:rsid w:val="0F9D3D2C"/>
    <w:rsid w:val="105B0B5E"/>
    <w:rsid w:val="10F66259"/>
    <w:rsid w:val="111F7DDE"/>
    <w:rsid w:val="112E58D0"/>
    <w:rsid w:val="11731CAC"/>
    <w:rsid w:val="119500A0"/>
    <w:rsid w:val="11B524F0"/>
    <w:rsid w:val="11C0733B"/>
    <w:rsid w:val="11D50D17"/>
    <w:rsid w:val="120E0809"/>
    <w:rsid w:val="12394ECF"/>
    <w:rsid w:val="127F665A"/>
    <w:rsid w:val="12F7068C"/>
    <w:rsid w:val="13EC5F71"/>
    <w:rsid w:val="141310B6"/>
    <w:rsid w:val="14207DC0"/>
    <w:rsid w:val="144456EF"/>
    <w:rsid w:val="14B932DA"/>
    <w:rsid w:val="150A66AF"/>
    <w:rsid w:val="154C1139"/>
    <w:rsid w:val="158C5B77"/>
    <w:rsid w:val="15E83F24"/>
    <w:rsid w:val="15F6400D"/>
    <w:rsid w:val="160D1149"/>
    <w:rsid w:val="163563C0"/>
    <w:rsid w:val="164315EF"/>
    <w:rsid w:val="16557DFE"/>
    <w:rsid w:val="167268FB"/>
    <w:rsid w:val="16770D0A"/>
    <w:rsid w:val="169A0039"/>
    <w:rsid w:val="16C92A0B"/>
    <w:rsid w:val="16D50C50"/>
    <w:rsid w:val="16E120E1"/>
    <w:rsid w:val="17385A05"/>
    <w:rsid w:val="173B3901"/>
    <w:rsid w:val="176747F9"/>
    <w:rsid w:val="17954A6E"/>
    <w:rsid w:val="17B2302E"/>
    <w:rsid w:val="17BE2C86"/>
    <w:rsid w:val="17C75000"/>
    <w:rsid w:val="180059E9"/>
    <w:rsid w:val="183B4506"/>
    <w:rsid w:val="183F1D57"/>
    <w:rsid w:val="184510FD"/>
    <w:rsid w:val="190648B0"/>
    <w:rsid w:val="19071D6C"/>
    <w:rsid w:val="19D26CD4"/>
    <w:rsid w:val="19E60D19"/>
    <w:rsid w:val="1A257A5A"/>
    <w:rsid w:val="1A3E3450"/>
    <w:rsid w:val="1A6A259F"/>
    <w:rsid w:val="1AD807E5"/>
    <w:rsid w:val="1B39345B"/>
    <w:rsid w:val="1B4B3D49"/>
    <w:rsid w:val="1BFB2A1F"/>
    <w:rsid w:val="1C015D4A"/>
    <w:rsid w:val="1C290ED5"/>
    <w:rsid w:val="1C317E4F"/>
    <w:rsid w:val="1C472464"/>
    <w:rsid w:val="1CB57848"/>
    <w:rsid w:val="1D22799A"/>
    <w:rsid w:val="1D5C1A72"/>
    <w:rsid w:val="1DAF458D"/>
    <w:rsid w:val="1E086ACE"/>
    <w:rsid w:val="1E62130A"/>
    <w:rsid w:val="1E841ACD"/>
    <w:rsid w:val="1E97358B"/>
    <w:rsid w:val="1EAA4A5F"/>
    <w:rsid w:val="1EE869A7"/>
    <w:rsid w:val="1F102F5E"/>
    <w:rsid w:val="1F1408E4"/>
    <w:rsid w:val="1F3F37CF"/>
    <w:rsid w:val="1FA15E62"/>
    <w:rsid w:val="1FED69B6"/>
    <w:rsid w:val="2064678E"/>
    <w:rsid w:val="20D868A6"/>
    <w:rsid w:val="20DC1AB9"/>
    <w:rsid w:val="20DD6197"/>
    <w:rsid w:val="20F71527"/>
    <w:rsid w:val="212631E0"/>
    <w:rsid w:val="2138666F"/>
    <w:rsid w:val="21742080"/>
    <w:rsid w:val="21A53757"/>
    <w:rsid w:val="21E06F46"/>
    <w:rsid w:val="21F879E1"/>
    <w:rsid w:val="221236C6"/>
    <w:rsid w:val="22401962"/>
    <w:rsid w:val="22D7662C"/>
    <w:rsid w:val="22EA5D72"/>
    <w:rsid w:val="22F664C5"/>
    <w:rsid w:val="23326B7F"/>
    <w:rsid w:val="235356C5"/>
    <w:rsid w:val="2380045B"/>
    <w:rsid w:val="23AB7C55"/>
    <w:rsid w:val="23BC04D2"/>
    <w:rsid w:val="23EF1892"/>
    <w:rsid w:val="24303C58"/>
    <w:rsid w:val="24482D50"/>
    <w:rsid w:val="2483647E"/>
    <w:rsid w:val="24A32D55"/>
    <w:rsid w:val="24CE6D9A"/>
    <w:rsid w:val="25292727"/>
    <w:rsid w:val="252E5CA9"/>
    <w:rsid w:val="253E7A71"/>
    <w:rsid w:val="25661781"/>
    <w:rsid w:val="256F7692"/>
    <w:rsid w:val="25BA2154"/>
    <w:rsid w:val="25C8773F"/>
    <w:rsid w:val="26235823"/>
    <w:rsid w:val="2629185F"/>
    <w:rsid w:val="264A7253"/>
    <w:rsid w:val="26DC7157"/>
    <w:rsid w:val="26F0170C"/>
    <w:rsid w:val="26FE3B9A"/>
    <w:rsid w:val="27201D62"/>
    <w:rsid w:val="27286E73"/>
    <w:rsid w:val="27CF2642"/>
    <w:rsid w:val="27E777F5"/>
    <w:rsid w:val="27EA1D4C"/>
    <w:rsid w:val="27EA2E41"/>
    <w:rsid w:val="27EC6230"/>
    <w:rsid w:val="28187924"/>
    <w:rsid w:val="282459E2"/>
    <w:rsid w:val="283A7FE5"/>
    <w:rsid w:val="285F51FF"/>
    <w:rsid w:val="28A47795"/>
    <w:rsid w:val="28DA4193"/>
    <w:rsid w:val="28DF2665"/>
    <w:rsid w:val="29072599"/>
    <w:rsid w:val="291029F3"/>
    <w:rsid w:val="29825048"/>
    <w:rsid w:val="29B36EBE"/>
    <w:rsid w:val="29CB58F0"/>
    <w:rsid w:val="2A053397"/>
    <w:rsid w:val="2A145E96"/>
    <w:rsid w:val="2A2131BB"/>
    <w:rsid w:val="2A222295"/>
    <w:rsid w:val="2A5B2770"/>
    <w:rsid w:val="2A7553D8"/>
    <w:rsid w:val="2AF5378F"/>
    <w:rsid w:val="2B0F150F"/>
    <w:rsid w:val="2B746B21"/>
    <w:rsid w:val="2BB94DBF"/>
    <w:rsid w:val="2BC83FD4"/>
    <w:rsid w:val="2BF37410"/>
    <w:rsid w:val="2C181A9C"/>
    <w:rsid w:val="2C6F314E"/>
    <w:rsid w:val="2CB52F4D"/>
    <w:rsid w:val="2CC206BE"/>
    <w:rsid w:val="2D1136DF"/>
    <w:rsid w:val="2D20606D"/>
    <w:rsid w:val="2D6729FE"/>
    <w:rsid w:val="2D6D4692"/>
    <w:rsid w:val="2DB87198"/>
    <w:rsid w:val="2DB93C54"/>
    <w:rsid w:val="2E3D144C"/>
    <w:rsid w:val="2E891204"/>
    <w:rsid w:val="2F3F0A28"/>
    <w:rsid w:val="2FBF7029"/>
    <w:rsid w:val="2FCC2A87"/>
    <w:rsid w:val="2FD0187F"/>
    <w:rsid w:val="2FD27414"/>
    <w:rsid w:val="2FFE4BB0"/>
    <w:rsid w:val="300E7B60"/>
    <w:rsid w:val="300F6E18"/>
    <w:rsid w:val="305B7F04"/>
    <w:rsid w:val="30862F5F"/>
    <w:rsid w:val="30A4775A"/>
    <w:rsid w:val="31184A31"/>
    <w:rsid w:val="314029C9"/>
    <w:rsid w:val="316A07AA"/>
    <w:rsid w:val="31C63837"/>
    <w:rsid w:val="31C82E39"/>
    <w:rsid w:val="32317519"/>
    <w:rsid w:val="32601BAD"/>
    <w:rsid w:val="329F6389"/>
    <w:rsid w:val="32A93554"/>
    <w:rsid w:val="332D4455"/>
    <w:rsid w:val="3389023A"/>
    <w:rsid w:val="33CB74FA"/>
    <w:rsid w:val="343642F2"/>
    <w:rsid w:val="343F3010"/>
    <w:rsid w:val="345D0A00"/>
    <w:rsid w:val="34713BFD"/>
    <w:rsid w:val="34C13589"/>
    <w:rsid w:val="350417E9"/>
    <w:rsid w:val="353369E3"/>
    <w:rsid w:val="35B21E0B"/>
    <w:rsid w:val="35E00D72"/>
    <w:rsid w:val="35EA077D"/>
    <w:rsid w:val="35FC1D4E"/>
    <w:rsid w:val="35FC78A0"/>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291793"/>
    <w:rsid w:val="3B6716E3"/>
    <w:rsid w:val="3B6C6B2D"/>
    <w:rsid w:val="3B9C64DC"/>
    <w:rsid w:val="3C242659"/>
    <w:rsid w:val="3C96719C"/>
    <w:rsid w:val="3CA72BE8"/>
    <w:rsid w:val="3CDC1E1E"/>
    <w:rsid w:val="3CF37F8C"/>
    <w:rsid w:val="3D137554"/>
    <w:rsid w:val="3D5275AC"/>
    <w:rsid w:val="3DCC2473"/>
    <w:rsid w:val="3DEB0883"/>
    <w:rsid w:val="3DF53A85"/>
    <w:rsid w:val="3E2527BF"/>
    <w:rsid w:val="3E70484C"/>
    <w:rsid w:val="3E731662"/>
    <w:rsid w:val="3E8168DD"/>
    <w:rsid w:val="3EA7725F"/>
    <w:rsid w:val="3EB03713"/>
    <w:rsid w:val="3EBF1A11"/>
    <w:rsid w:val="3EC52607"/>
    <w:rsid w:val="3EEC6CEF"/>
    <w:rsid w:val="3F183429"/>
    <w:rsid w:val="3F4E229F"/>
    <w:rsid w:val="3F571491"/>
    <w:rsid w:val="3FB77A1D"/>
    <w:rsid w:val="3FDC3674"/>
    <w:rsid w:val="3FDE6257"/>
    <w:rsid w:val="3FED7F8A"/>
    <w:rsid w:val="40094AEF"/>
    <w:rsid w:val="403C77B5"/>
    <w:rsid w:val="405470BD"/>
    <w:rsid w:val="40794A29"/>
    <w:rsid w:val="40834692"/>
    <w:rsid w:val="40E116F9"/>
    <w:rsid w:val="41431AD5"/>
    <w:rsid w:val="414B3C0F"/>
    <w:rsid w:val="417C1CE7"/>
    <w:rsid w:val="41900018"/>
    <w:rsid w:val="41944406"/>
    <w:rsid w:val="41C07F72"/>
    <w:rsid w:val="41CE128F"/>
    <w:rsid w:val="41DA6F12"/>
    <w:rsid w:val="41DF2AEE"/>
    <w:rsid w:val="42171FB1"/>
    <w:rsid w:val="42C10D7B"/>
    <w:rsid w:val="434E6957"/>
    <w:rsid w:val="43A1277F"/>
    <w:rsid w:val="43BA0E31"/>
    <w:rsid w:val="43C15147"/>
    <w:rsid w:val="43E14DD2"/>
    <w:rsid w:val="43F800E9"/>
    <w:rsid w:val="443A7E4B"/>
    <w:rsid w:val="444A7D08"/>
    <w:rsid w:val="44AB6CB7"/>
    <w:rsid w:val="452F5B3A"/>
    <w:rsid w:val="4534504B"/>
    <w:rsid w:val="454E7FD2"/>
    <w:rsid w:val="46061BDC"/>
    <w:rsid w:val="461404F8"/>
    <w:rsid w:val="46413018"/>
    <w:rsid w:val="464B7E04"/>
    <w:rsid w:val="468041AA"/>
    <w:rsid w:val="468123C6"/>
    <w:rsid w:val="46890DB4"/>
    <w:rsid w:val="46901EEE"/>
    <w:rsid w:val="469C74D2"/>
    <w:rsid w:val="47445515"/>
    <w:rsid w:val="474B4782"/>
    <w:rsid w:val="47D90D14"/>
    <w:rsid w:val="47DE1152"/>
    <w:rsid w:val="48387FB0"/>
    <w:rsid w:val="483A6114"/>
    <w:rsid w:val="48766BE3"/>
    <w:rsid w:val="488727DB"/>
    <w:rsid w:val="48A576A7"/>
    <w:rsid w:val="48B82268"/>
    <w:rsid w:val="48C354B3"/>
    <w:rsid w:val="49137521"/>
    <w:rsid w:val="493D58B5"/>
    <w:rsid w:val="494A7A04"/>
    <w:rsid w:val="49605EF7"/>
    <w:rsid w:val="4A0A26D2"/>
    <w:rsid w:val="4A2019A5"/>
    <w:rsid w:val="4A241A0B"/>
    <w:rsid w:val="4A3F22A4"/>
    <w:rsid w:val="4A5C2BD7"/>
    <w:rsid w:val="4A7B2875"/>
    <w:rsid w:val="4A934476"/>
    <w:rsid w:val="4AAA220A"/>
    <w:rsid w:val="4AE12E67"/>
    <w:rsid w:val="4AE42F23"/>
    <w:rsid w:val="4B4C0111"/>
    <w:rsid w:val="4B8553A9"/>
    <w:rsid w:val="4BDB3730"/>
    <w:rsid w:val="4C200F7A"/>
    <w:rsid w:val="4CC1104B"/>
    <w:rsid w:val="4CEE3180"/>
    <w:rsid w:val="4D0F4AF6"/>
    <w:rsid w:val="4DF94F37"/>
    <w:rsid w:val="4E0A1DD5"/>
    <w:rsid w:val="4E3160E5"/>
    <w:rsid w:val="4E4D37AF"/>
    <w:rsid w:val="4E8C6496"/>
    <w:rsid w:val="4EFD18DE"/>
    <w:rsid w:val="4F144236"/>
    <w:rsid w:val="4F663C87"/>
    <w:rsid w:val="4F7E29A8"/>
    <w:rsid w:val="4F9E1FFC"/>
    <w:rsid w:val="4FBD3D43"/>
    <w:rsid w:val="4FCB6460"/>
    <w:rsid w:val="50447CC2"/>
    <w:rsid w:val="50874A7C"/>
    <w:rsid w:val="50895EE7"/>
    <w:rsid w:val="50921B9D"/>
    <w:rsid w:val="50D16158"/>
    <w:rsid w:val="50DB5F45"/>
    <w:rsid w:val="51025EB1"/>
    <w:rsid w:val="51141503"/>
    <w:rsid w:val="513C450E"/>
    <w:rsid w:val="518D0ED5"/>
    <w:rsid w:val="51A06B66"/>
    <w:rsid w:val="51A20AA3"/>
    <w:rsid w:val="525C687F"/>
    <w:rsid w:val="52A3740A"/>
    <w:rsid w:val="52EC6549"/>
    <w:rsid w:val="52F647F7"/>
    <w:rsid w:val="52F92565"/>
    <w:rsid w:val="53AE735E"/>
    <w:rsid w:val="53D03877"/>
    <w:rsid w:val="542F73CA"/>
    <w:rsid w:val="5430786D"/>
    <w:rsid w:val="543F11CA"/>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A77F5C"/>
    <w:rsid w:val="57B96C24"/>
    <w:rsid w:val="57D1482F"/>
    <w:rsid w:val="57D2680D"/>
    <w:rsid w:val="58175352"/>
    <w:rsid w:val="581F2200"/>
    <w:rsid w:val="583059FA"/>
    <w:rsid w:val="584A0929"/>
    <w:rsid w:val="58CD2491"/>
    <w:rsid w:val="591B41B2"/>
    <w:rsid w:val="59254A26"/>
    <w:rsid w:val="59326325"/>
    <w:rsid w:val="595C505B"/>
    <w:rsid w:val="595E55C3"/>
    <w:rsid w:val="596E7E20"/>
    <w:rsid w:val="5A5D23AA"/>
    <w:rsid w:val="5A60780B"/>
    <w:rsid w:val="5A9C7376"/>
    <w:rsid w:val="5AA61FA3"/>
    <w:rsid w:val="5AB34579"/>
    <w:rsid w:val="5AB40E78"/>
    <w:rsid w:val="5AF80B40"/>
    <w:rsid w:val="5AFC6609"/>
    <w:rsid w:val="5B113480"/>
    <w:rsid w:val="5B2829B8"/>
    <w:rsid w:val="5BD456CE"/>
    <w:rsid w:val="5BE92883"/>
    <w:rsid w:val="5C0D1F49"/>
    <w:rsid w:val="5CBB0CE2"/>
    <w:rsid w:val="5CC17177"/>
    <w:rsid w:val="5CF306BC"/>
    <w:rsid w:val="5D3F3D64"/>
    <w:rsid w:val="5D833043"/>
    <w:rsid w:val="5DD92690"/>
    <w:rsid w:val="5DDB1CFD"/>
    <w:rsid w:val="5E0701FF"/>
    <w:rsid w:val="5E58571E"/>
    <w:rsid w:val="5E714676"/>
    <w:rsid w:val="5E7E6D93"/>
    <w:rsid w:val="5E82459B"/>
    <w:rsid w:val="5ED44800"/>
    <w:rsid w:val="5F1B7D56"/>
    <w:rsid w:val="5F350BDE"/>
    <w:rsid w:val="5F61632C"/>
    <w:rsid w:val="5F9D5D88"/>
    <w:rsid w:val="5FA17648"/>
    <w:rsid w:val="5FE705CB"/>
    <w:rsid w:val="6007714E"/>
    <w:rsid w:val="60251BBC"/>
    <w:rsid w:val="603D5080"/>
    <w:rsid w:val="606842D0"/>
    <w:rsid w:val="60D0261B"/>
    <w:rsid w:val="618E3791"/>
    <w:rsid w:val="61947DCA"/>
    <w:rsid w:val="61A46A97"/>
    <w:rsid w:val="61D1382F"/>
    <w:rsid w:val="61F114A2"/>
    <w:rsid w:val="6219297F"/>
    <w:rsid w:val="622B0ABA"/>
    <w:rsid w:val="622D4E1B"/>
    <w:rsid w:val="62512BB4"/>
    <w:rsid w:val="625D7D1A"/>
    <w:rsid w:val="62660469"/>
    <w:rsid w:val="62DD7D21"/>
    <w:rsid w:val="62E36596"/>
    <w:rsid w:val="637D586B"/>
    <w:rsid w:val="63A5560B"/>
    <w:rsid w:val="63E9091F"/>
    <w:rsid w:val="640C0212"/>
    <w:rsid w:val="64322AF9"/>
    <w:rsid w:val="646E7A01"/>
    <w:rsid w:val="64D6010D"/>
    <w:rsid w:val="64D82665"/>
    <w:rsid w:val="64E47C96"/>
    <w:rsid w:val="651E5741"/>
    <w:rsid w:val="655D7702"/>
    <w:rsid w:val="658A4877"/>
    <w:rsid w:val="65A00902"/>
    <w:rsid w:val="65AC6EDD"/>
    <w:rsid w:val="65D97752"/>
    <w:rsid w:val="66085536"/>
    <w:rsid w:val="66105BF7"/>
    <w:rsid w:val="66150023"/>
    <w:rsid w:val="6628010D"/>
    <w:rsid w:val="669B4528"/>
    <w:rsid w:val="66B2241C"/>
    <w:rsid w:val="66CC12D7"/>
    <w:rsid w:val="67134CEF"/>
    <w:rsid w:val="671F1ABD"/>
    <w:rsid w:val="672614BA"/>
    <w:rsid w:val="674F6245"/>
    <w:rsid w:val="67521A59"/>
    <w:rsid w:val="67A45ABC"/>
    <w:rsid w:val="67C304AB"/>
    <w:rsid w:val="683F0658"/>
    <w:rsid w:val="689C6793"/>
    <w:rsid w:val="68DB0208"/>
    <w:rsid w:val="68FB170C"/>
    <w:rsid w:val="691B3D98"/>
    <w:rsid w:val="693748F0"/>
    <w:rsid w:val="6979254E"/>
    <w:rsid w:val="69846A0E"/>
    <w:rsid w:val="69AA1366"/>
    <w:rsid w:val="69AD798C"/>
    <w:rsid w:val="69D005C0"/>
    <w:rsid w:val="69D80B96"/>
    <w:rsid w:val="69F47AD7"/>
    <w:rsid w:val="69FA7AFA"/>
    <w:rsid w:val="6A2C39D4"/>
    <w:rsid w:val="6B68175F"/>
    <w:rsid w:val="6BDA4707"/>
    <w:rsid w:val="6BFD799F"/>
    <w:rsid w:val="6C4A2E5A"/>
    <w:rsid w:val="6C554BE3"/>
    <w:rsid w:val="6C8138D0"/>
    <w:rsid w:val="6CEF0725"/>
    <w:rsid w:val="6D4B2604"/>
    <w:rsid w:val="6D77358F"/>
    <w:rsid w:val="6D8030E4"/>
    <w:rsid w:val="6DAB5B50"/>
    <w:rsid w:val="6E0E35C4"/>
    <w:rsid w:val="6E0F7A08"/>
    <w:rsid w:val="6E3947F5"/>
    <w:rsid w:val="6E6733A0"/>
    <w:rsid w:val="6E6E3938"/>
    <w:rsid w:val="6E9C74ED"/>
    <w:rsid w:val="6EF72976"/>
    <w:rsid w:val="6F677479"/>
    <w:rsid w:val="6F795A80"/>
    <w:rsid w:val="6F7C1D2E"/>
    <w:rsid w:val="6F8E0407"/>
    <w:rsid w:val="6FDD069F"/>
    <w:rsid w:val="702B4D16"/>
    <w:rsid w:val="70AA6621"/>
    <w:rsid w:val="7111480F"/>
    <w:rsid w:val="71261F49"/>
    <w:rsid w:val="712E6956"/>
    <w:rsid w:val="71473612"/>
    <w:rsid w:val="71504F32"/>
    <w:rsid w:val="7152309F"/>
    <w:rsid w:val="718F7F65"/>
    <w:rsid w:val="71A93B76"/>
    <w:rsid w:val="71DA6992"/>
    <w:rsid w:val="727B234E"/>
    <w:rsid w:val="728A58B0"/>
    <w:rsid w:val="72D068C7"/>
    <w:rsid w:val="72E42ED8"/>
    <w:rsid w:val="72F1592E"/>
    <w:rsid w:val="72FC34C3"/>
    <w:rsid w:val="732A5C3A"/>
    <w:rsid w:val="735F4CB9"/>
    <w:rsid w:val="73674C62"/>
    <w:rsid w:val="73845865"/>
    <w:rsid w:val="739B6D9E"/>
    <w:rsid w:val="73BC1D76"/>
    <w:rsid w:val="73FB6630"/>
    <w:rsid w:val="748D790E"/>
    <w:rsid w:val="749820CC"/>
    <w:rsid w:val="74AC5241"/>
    <w:rsid w:val="74CE04EC"/>
    <w:rsid w:val="74E76DCD"/>
    <w:rsid w:val="751D7C0A"/>
    <w:rsid w:val="75722D56"/>
    <w:rsid w:val="757F36C5"/>
    <w:rsid w:val="75DB5477"/>
    <w:rsid w:val="75EB2B08"/>
    <w:rsid w:val="75FC6AC3"/>
    <w:rsid w:val="7616619B"/>
    <w:rsid w:val="76660D7C"/>
    <w:rsid w:val="766C5968"/>
    <w:rsid w:val="76BE0C8F"/>
    <w:rsid w:val="76CD53B2"/>
    <w:rsid w:val="76E6594C"/>
    <w:rsid w:val="770719AC"/>
    <w:rsid w:val="7726029C"/>
    <w:rsid w:val="776526CC"/>
    <w:rsid w:val="77A262E1"/>
    <w:rsid w:val="77B13C33"/>
    <w:rsid w:val="77DC095A"/>
    <w:rsid w:val="77ED6F44"/>
    <w:rsid w:val="77F45548"/>
    <w:rsid w:val="77FC440B"/>
    <w:rsid w:val="780659D7"/>
    <w:rsid w:val="78300CA6"/>
    <w:rsid w:val="784E7CA6"/>
    <w:rsid w:val="78574801"/>
    <w:rsid w:val="7873527F"/>
    <w:rsid w:val="790A6425"/>
    <w:rsid w:val="790E2D96"/>
    <w:rsid w:val="791B54B2"/>
    <w:rsid w:val="793C0F89"/>
    <w:rsid w:val="795A0A34"/>
    <w:rsid w:val="797339C3"/>
    <w:rsid w:val="79D57D57"/>
    <w:rsid w:val="79F00650"/>
    <w:rsid w:val="7A2922EB"/>
    <w:rsid w:val="7A6242BF"/>
    <w:rsid w:val="7A6E5FF3"/>
    <w:rsid w:val="7A794513"/>
    <w:rsid w:val="7A8A28F0"/>
    <w:rsid w:val="7A9B3811"/>
    <w:rsid w:val="7AB467DA"/>
    <w:rsid w:val="7AB9318D"/>
    <w:rsid w:val="7AE952D2"/>
    <w:rsid w:val="7B9F26AF"/>
    <w:rsid w:val="7BB607FE"/>
    <w:rsid w:val="7BF5086D"/>
    <w:rsid w:val="7C7248A0"/>
    <w:rsid w:val="7C976D69"/>
    <w:rsid w:val="7CD752DA"/>
    <w:rsid w:val="7CDE40AB"/>
    <w:rsid w:val="7CF057E2"/>
    <w:rsid w:val="7D1548B5"/>
    <w:rsid w:val="7D4A1583"/>
    <w:rsid w:val="7DF84014"/>
    <w:rsid w:val="7E207949"/>
    <w:rsid w:val="7E5C0A47"/>
    <w:rsid w:val="7E670C75"/>
    <w:rsid w:val="7EE24272"/>
    <w:rsid w:val="7EEA6053"/>
    <w:rsid w:val="7F1A5AAC"/>
    <w:rsid w:val="7F1D6E08"/>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link w:val="23"/>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6">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7">
    <w:name w:val="Default Paragraph Font"/>
    <w:semiHidden/>
    <w:qFormat/>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7">
    <w:name w:val="Normal Indent"/>
    <w:basedOn w:val="1"/>
    <w:qFormat/>
    <w:uiPriority w:val="0"/>
    <w:pPr>
      <w:ind w:firstLine="420" w:firstLineChars="200"/>
    </w:pPr>
    <w:rPr>
      <w:rFonts w:eastAsia="仿宋"/>
    </w:rPr>
  </w:style>
  <w:style w:type="paragraph" w:styleId="8">
    <w:name w:val="Body Text Indent"/>
    <w:basedOn w:val="1"/>
    <w:next w:val="7"/>
    <w:qFormat/>
    <w:uiPriority w:val="0"/>
    <w:pPr>
      <w:spacing w:after="120" w:line="560" w:lineRule="exact"/>
      <w:ind w:left="420" w:leftChars="200"/>
    </w:pPr>
    <w:rPr>
      <w:spacing w:val="-4"/>
      <w:sz w:val="32"/>
    </w:rPr>
  </w:style>
  <w:style w:type="paragraph" w:styleId="9">
    <w:name w:val="toc 3"/>
    <w:basedOn w:val="1"/>
    <w:next w:val="1"/>
    <w:qFormat/>
    <w:uiPriority w:val="0"/>
    <w:pPr>
      <w:ind w:left="840" w:leftChars="4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Body Text First Indent 2"/>
    <w:basedOn w:val="8"/>
    <w:next w:val="1"/>
    <w:qFormat/>
    <w:uiPriority w:val="0"/>
    <w:pPr>
      <w:spacing w:line="240" w:lineRule="auto"/>
      <w:ind w:firstLine="420" w:firstLineChars="200"/>
    </w:pPr>
    <w:rPr>
      <w:rFonts w:ascii="Calibri" w:hAnsi="Calibri" w:eastAsia="方正仿宋_GBK"/>
      <w:spacing w:val="0"/>
    </w:rPr>
  </w:style>
  <w:style w:type="character" w:styleId="18">
    <w:name w:val="Strong"/>
    <w:basedOn w:val="17"/>
    <w:qFormat/>
    <w:uiPriority w:val="0"/>
    <w:rPr>
      <w:b/>
    </w:rPr>
  </w:style>
  <w:style w:type="paragraph" w:customStyle="1" w:styleId="19">
    <w:name w:val="WPSOffice手动目录 3"/>
    <w:qFormat/>
    <w:uiPriority w:val="0"/>
    <w:pPr>
      <w:ind w:leftChars="400"/>
    </w:pPr>
    <w:rPr>
      <w:rFonts w:ascii="Times New Roman" w:hAnsi="Times New Roman" w:eastAsia="宋体" w:cs="Times New Roman"/>
      <w:sz w:val="20"/>
      <w:szCs w:val="20"/>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样式1"/>
    <w:basedOn w:val="1"/>
    <w:qFormat/>
    <w:uiPriority w:val="0"/>
    <w:pPr>
      <w:spacing w:line="560" w:lineRule="exact"/>
    </w:pPr>
    <w:rPr>
      <w:rFonts w:ascii="Calibri" w:hAnsi="Calibri" w:eastAsia="仿宋_GB2312"/>
      <w:sz w:val="32"/>
    </w:rPr>
  </w:style>
  <w:style w:type="character" w:customStyle="1" w:styleId="23">
    <w:name w:val="标题 2 Char"/>
    <w:link w:val="4"/>
    <w:qFormat/>
    <w:uiPriority w:val="0"/>
    <w:rPr>
      <w:rFonts w:ascii="Arial" w:hAnsi="Arial" w:eastAsia="黑体"/>
      <w:b/>
      <w:sz w:val="32"/>
    </w:rPr>
  </w:style>
  <w:style w:type="character" w:customStyle="1" w:styleId="24">
    <w:name w:val="标题 1 Char"/>
    <w:link w:val="3"/>
    <w:qFormat/>
    <w:uiPriority w:val="0"/>
    <w:rPr>
      <w:b/>
      <w:kern w:val="44"/>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8978</Words>
  <Characters>10029</Characters>
  <Lines>0</Lines>
  <Paragraphs>0</Paragraphs>
  <TotalTime>0</TotalTime>
  <ScaleCrop>false</ScaleCrop>
  <LinksUpToDate>false</LinksUpToDate>
  <CharactersWithSpaces>10584</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2025-04-11T02:50:38Z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5F0A8CB6C5C8420DB008B6BB1D639F08</vt:lpwstr>
  </property>
  <property fmtid="{D5CDD505-2E9C-101B-9397-08002B2CF9AE}" pid="4" name="KSOTemplateDocerSaveRecord">
    <vt:lpwstr>eyJoZGlkIjoiZDU4MmQ2ZWMyMDZlYzhmM2M0MmMwNGNmYmFiY2Q3YTQiLCJ1c2VySWQiOiI1Mzk1NTEzNjcifQ==</vt:lpwstr>
  </property>
</Properties>
</file>