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32A18">
      <w:pPr>
        <w:spacing w:line="240" w:lineRule="atLeast"/>
        <w:ind w:firstLine="960"/>
        <w:jc w:val="center"/>
        <w:rPr>
          <w:rFonts w:ascii="方正小标宋简体" w:hAnsi="黑体" w:eastAsia="方正小标宋简体" w:cs="黑体"/>
          <w:bCs/>
          <w:sz w:val="48"/>
          <w:szCs w:val="48"/>
        </w:rPr>
      </w:pPr>
    </w:p>
    <w:p w14:paraId="3C027EC6">
      <w:pPr>
        <w:spacing w:line="240" w:lineRule="atLeast"/>
        <w:ind w:firstLine="960"/>
        <w:jc w:val="center"/>
        <w:rPr>
          <w:rFonts w:ascii="方正小标宋简体" w:hAnsi="黑体" w:eastAsia="方正小标宋简体" w:cs="黑体"/>
          <w:bCs/>
          <w:sz w:val="48"/>
          <w:szCs w:val="48"/>
        </w:rPr>
      </w:pPr>
    </w:p>
    <w:p w14:paraId="214DFD1B">
      <w:pPr>
        <w:spacing w:line="240" w:lineRule="atLeast"/>
        <w:ind w:firstLine="960"/>
        <w:jc w:val="center"/>
        <w:rPr>
          <w:rFonts w:ascii="方正小标宋简体" w:hAnsi="黑体" w:eastAsia="方正小标宋简体" w:cs="黑体"/>
          <w:bCs/>
          <w:sz w:val="48"/>
          <w:szCs w:val="48"/>
        </w:rPr>
      </w:pPr>
    </w:p>
    <w:p w14:paraId="5820C848">
      <w:pPr>
        <w:spacing w:line="240" w:lineRule="atLeast"/>
        <w:ind w:firstLine="0" w:firstLineChars="0"/>
        <w:jc w:val="center"/>
        <w:rPr>
          <w:rFonts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lang w:val="en-US" w:eastAsia="zh-CN"/>
        </w:rPr>
        <w:t>沙湾市发展和改革委员会2023年地方储备粮补贴费用</w:t>
      </w:r>
      <w:r>
        <w:rPr>
          <w:rFonts w:hint="eastAsia" w:ascii="方正小标宋简体" w:hAnsi="黑体" w:eastAsia="方正小标宋简体" w:cs="黑体"/>
          <w:bCs/>
          <w:color w:val="auto"/>
          <w:sz w:val="48"/>
          <w:szCs w:val="48"/>
        </w:rPr>
        <w:t>项目支出绩效评价报告</w:t>
      </w:r>
    </w:p>
    <w:p w14:paraId="0B61D750">
      <w:pPr>
        <w:spacing w:line="240" w:lineRule="atLeast"/>
        <w:ind w:firstLine="960"/>
        <w:jc w:val="center"/>
        <w:rPr>
          <w:rFonts w:ascii="方正小标宋简体" w:hAnsi="黑体" w:eastAsia="方正小标宋简体" w:cs="黑体"/>
          <w:bCs/>
          <w:color w:val="auto"/>
          <w:sz w:val="48"/>
          <w:szCs w:val="48"/>
        </w:rPr>
      </w:pPr>
    </w:p>
    <w:p w14:paraId="580C7589">
      <w:pPr>
        <w:spacing w:line="240" w:lineRule="atLeast"/>
        <w:ind w:firstLine="960"/>
        <w:jc w:val="center"/>
        <w:rPr>
          <w:rFonts w:ascii="方正小标宋简体" w:hAnsi="黑体" w:eastAsia="方正小标宋简体" w:cs="黑体"/>
          <w:bCs/>
          <w:color w:val="auto"/>
          <w:sz w:val="48"/>
          <w:szCs w:val="48"/>
        </w:rPr>
      </w:pPr>
    </w:p>
    <w:p w14:paraId="4B976AD4">
      <w:pPr>
        <w:spacing w:line="240" w:lineRule="atLeast"/>
        <w:ind w:firstLine="960"/>
        <w:jc w:val="center"/>
        <w:rPr>
          <w:rFonts w:ascii="方正小标宋简体" w:hAnsi="黑体" w:eastAsia="方正小标宋简体" w:cs="黑体"/>
          <w:bCs/>
          <w:color w:val="auto"/>
          <w:sz w:val="48"/>
          <w:szCs w:val="48"/>
        </w:rPr>
      </w:pPr>
    </w:p>
    <w:p w14:paraId="69AAA679">
      <w:pPr>
        <w:spacing w:line="240" w:lineRule="atLeast"/>
        <w:ind w:firstLine="960"/>
        <w:jc w:val="center"/>
        <w:rPr>
          <w:rFonts w:ascii="方正小标宋简体" w:hAnsi="黑体" w:eastAsia="方正小标宋简体" w:cs="黑体"/>
          <w:bCs/>
          <w:color w:val="auto"/>
          <w:sz w:val="48"/>
          <w:szCs w:val="48"/>
        </w:rPr>
      </w:pPr>
    </w:p>
    <w:p w14:paraId="27AB2D36">
      <w:pPr>
        <w:spacing w:line="240" w:lineRule="atLeast"/>
        <w:ind w:left="0" w:leftChars="0" w:firstLine="0" w:firstLineChars="0"/>
        <w:jc w:val="both"/>
        <w:rPr>
          <w:rFonts w:ascii="方正小标宋简体" w:hAnsi="黑体" w:eastAsia="方正小标宋简体" w:cs="黑体"/>
          <w:bCs/>
          <w:color w:val="auto"/>
          <w:sz w:val="48"/>
          <w:szCs w:val="48"/>
        </w:rPr>
      </w:pPr>
    </w:p>
    <w:p w14:paraId="1AFD39AA">
      <w:pPr>
        <w:spacing w:line="240" w:lineRule="atLeast"/>
        <w:ind w:firstLine="960"/>
        <w:jc w:val="center"/>
        <w:rPr>
          <w:rFonts w:ascii="方正小标宋简体" w:hAnsi="黑体" w:eastAsia="方正小标宋简体" w:cs="黑体"/>
          <w:bCs/>
          <w:color w:val="auto"/>
          <w:sz w:val="48"/>
          <w:szCs w:val="48"/>
        </w:rPr>
      </w:pPr>
    </w:p>
    <w:p w14:paraId="4C5CA83D">
      <w:pPr>
        <w:pStyle w:val="2"/>
        <w:rPr>
          <w:color w:val="auto"/>
        </w:rPr>
      </w:pPr>
    </w:p>
    <w:p w14:paraId="7B7EBCAA">
      <w:pPr>
        <w:ind w:firstLine="1200" w:firstLineChars="400"/>
        <w:rPr>
          <w:rFonts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ascii="黑体" w:hAnsi="黑体" w:eastAsia="黑体" w:cs="仿宋_GB2312"/>
          <w:color w:val="auto"/>
          <w:sz w:val="30"/>
          <w:szCs w:val="30"/>
        </w:rPr>
        <w:t>202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w:t>
      </w:r>
      <w:r>
        <w:rPr>
          <w:rFonts w:hint="eastAsia" w:ascii="黑体" w:hAnsi="黑体" w:eastAsia="黑体" w:cs="仿宋_GB2312"/>
          <w:color w:val="auto"/>
          <w:sz w:val="30"/>
          <w:szCs w:val="30"/>
          <w:lang w:val="en-US" w:eastAsia="zh-CN"/>
        </w:rPr>
        <w:t>地方储备粮补贴费用</w:t>
      </w:r>
      <w:r>
        <w:rPr>
          <w:rFonts w:hint="eastAsia" w:ascii="黑体" w:hAnsi="黑体" w:eastAsia="黑体" w:cs="仿宋_GB2312"/>
          <w:color w:val="auto"/>
          <w:sz w:val="30"/>
          <w:szCs w:val="30"/>
        </w:rPr>
        <w:t>项目</w:t>
      </w:r>
      <w:bookmarkEnd w:id="0"/>
    </w:p>
    <w:p w14:paraId="0AC2CE26">
      <w:pPr>
        <w:ind w:firstLine="1200" w:firstLineChars="400"/>
        <w:rPr>
          <w:rFonts w:hint="default" w:ascii="黑体" w:hAnsi="黑体" w:eastAsia="黑体" w:cs="宋体"/>
          <w:color w:val="auto"/>
          <w:sz w:val="30"/>
          <w:szCs w:val="30"/>
          <w:lang w:val="en-US"/>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沙湾市发展和改革委员会</w:t>
      </w:r>
    </w:p>
    <w:p w14:paraId="6C909437">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沙湾市发展和改革委员会</w:t>
      </w:r>
    </w:p>
    <w:p w14:paraId="2DA7FFD8">
      <w:pPr>
        <w:ind w:firstLine="1200" w:firstLineChars="400"/>
        <w:rPr>
          <w:rFonts w:hint="eastAsia" w:ascii="黑体" w:hAnsi="黑体" w:eastAsia="黑体" w:cs="宋体"/>
          <w:color w:val="auto"/>
          <w:sz w:val="30"/>
          <w:szCs w:val="30"/>
          <w:lang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董宏生</w:t>
      </w:r>
    </w:p>
    <w:p w14:paraId="584E8E47">
      <w:pPr>
        <w:ind w:firstLine="1200" w:firstLineChars="400"/>
        <w:rPr>
          <w:rFonts w:hint="eastAsia"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28</w:t>
      </w:r>
      <w:r>
        <w:rPr>
          <w:rFonts w:hint="eastAsia" w:ascii="黑体" w:hAnsi="黑体" w:eastAsia="黑体" w:cs="仿宋_GB2312"/>
          <w:color w:val="auto"/>
          <w:sz w:val="30"/>
          <w:szCs w:val="30"/>
        </w:rPr>
        <w:t>日</w:t>
      </w:r>
    </w:p>
    <w:p w14:paraId="028DC214">
      <w:pPr>
        <w:rPr>
          <w:rFonts w:hint="eastAsia"/>
          <w:color w:val="auto"/>
          <w:lang w:val="en-US" w:eastAsia="zh-CN"/>
        </w:rPr>
      </w:pPr>
    </w:p>
    <w:p w14:paraId="08E3EFF7">
      <w:pPr>
        <w:spacing w:after="100" w:afterAutospacing="1" w:line="360" w:lineRule="auto"/>
        <w:ind w:left="0" w:leftChars="0" w:firstLine="0" w:firstLineChars="0"/>
        <w:jc w:val="center"/>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塔城地区沙湾市发展和改革委员会地方储备粮补贴费用</w:t>
      </w:r>
      <w:r>
        <w:rPr>
          <w:rFonts w:hint="eastAsia" w:ascii="方正小标宋_GBK" w:hAnsi="黑体" w:eastAsia="方正小标宋_GBK" w:cs="黑体"/>
          <w:bCs/>
          <w:color w:val="auto"/>
          <w:sz w:val="44"/>
          <w:szCs w:val="44"/>
        </w:rPr>
        <w:t>项目支出绩效评价报告</w:t>
      </w:r>
    </w:p>
    <w:p w14:paraId="3DE7B654">
      <w:pPr>
        <w:pStyle w:val="3"/>
        <w:spacing w:line="600" w:lineRule="exact"/>
        <w:ind w:firstLine="640"/>
        <w:rPr>
          <w:color w:val="auto"/>
          <w:szCs w:val="32"/>
        </w:rPr>
      </w:pPr>
      <w:r>
        <w:rPr>
          <w:rFonts w:hint="eastAsia"/>
          <w:color w:val="auto"/>
          <w:szCs w:val="32"/>
        </w:rPr>
        <w:t>一、基本情况</w:t>
      </w:r>
    </w:p>
    <w:p w14:paraId="0D72E8E1">
      <w:pPr>
        <w:pStyle w:val="4"/>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14:paraId="080E1FC2">
      <w:pPr>
        <w:bidi w:val="0"/>
        <w:rPr>
          <w:rFonts w:hint="eastAsia"/>
          <w:b/>
          <w:bCs/>
          <w:color w:val="auto"/>
          <w:sz w:val="32"/>
          <w:szCs w:val="32"/>
        </w:rPr>
      </w:pPr>
      <w:r>
        <w:rPr>
          <w:rFonts w:hint="eastAsia"/>
          <w:b/>
          <w:bCs/>
          <w:color w:val="auto"/>
          <w:sz w:val="32"/>
          <w:szCs w:val="32"/>
        </w:rPr>
        <w:t>1.项目背景</w:t>
      </w:r>
    </w:p>
    <w:p w14:paraId="710777A2">
      <w:pPr>
        <w:spacing w:line="600" w:lineRule="exact"/>
        <w:ind w:firstLine="640"/>
        <w:rPr>
          <w:rFonts w:hint="eastAsia"/>
          <w:color w:val="auto"/>
          <w:sz w:val="32"/>
          <w:szCs w:val="32"/>
        </w:rPr>
      </w:pPr>
      <w:r>
        <w:rPr>
          <w:rFonts w:hint="eastAsia"/>
          <w:color w:val="auto"/>
          <w:sz w:val="32"/>
          <w:szCs w:val="32"/>
          <w:lang w:val="en-US" w:eastAsia="zh-CN"/>
        </w:rPr>
        <w:t>根据</w:t>
      </w:r>
      <w:r>
        <w:rPr>
          <w:rFonts w:hint="eastAsia"/>
          <w:color w:val="auto"/>
          <w:sz w:val="32"/>
          <w:szCs w:val="32"/>
        </w:rPr>
        <w:t>塔粮安协调办【2020】6号，关于建立县（市）级成品粮油储备的通知；塔粮安协调办【2021】5号，关于将成品粮油储备费用纳入政府预算的提醒函</w:t>
      </w:r>
      <w:r>
        <w:rPr>
          <w:rFonts w:hint="eastAsia"/>
          <w:color w:val="auto"/>
          <w:sz w:val="32"/>
          <w:szCs w:val="32"/>
          <w:lang w:eastAsia="zh-CN"/>
        </w:rPr>
        <w:t>，</w:t>
      </w:r>
      <w:r>
        <w:rPr>
          <w:rFonts w:hint="eastAsia"/>
          <w:color w:val="auto"/>
          <w:sz w:val="32"/>
          <w:szCs w:val="32"/>
        </w:rPr>
        <w:t>新疆维吾尔自治区人民政府令第224号《新疆维吾尔自治区地方储备粮管理办法》</w:t>
      </w:r>
      <w:r>
        <w:rPr>
          <w:rFonts w:hint="eastAsia"/>
          <w:color w:val="auto"/>
          <w:sz w:val="32"/>
          <w:szCs w:val="32"/>
          <w:lang w:eastAsia="zh-CN"/>
        </w:rPr>
        <w:t>，</w:t>
      </w:r>
      <w:r>
        <w:rPr>
          <w:rFonts w:hint="eastAsia"/>
          <w:color w:val="auto"/>
          <w:sz w:val="32"/>
          <w:szCs w:val="32"/>
        </w:rPr>
        <w:t>关于建立县（市）级成品粮油储备的通知，进一步夯实县（市）粮食储备安全管理责任，更好服务宏观调控，有效提升应对自然灾害或突发事件能力，确保全区粮食安全，决定在各县（市）建立县（市）级成品粮油储备。</w:t>
      </w:r>
    </w:p>
    <w:p w14:paraId="24299E90">
      <w:pPr>
        <w:bidi w:val="0"/>
        <w:rPr>
          <w:rFonts w:hint="eastAsia" w:eastAsia="仿宋_GB2312"/>
          <w:color w:val="auto"/>
          <w:sz w:val="32"/>
          <w:szCs w:val="32"/>
          <w:lang w:eastAsia="zh-CN"/>
        </w:rPr>
      </w:pPr>
      <w:r>
        <w:rPr>
          <w:rFonts w:hint="eastAsia"/>
          <w:color w:val="auto"/>
          <w:sz w:val="32"/>
          <w:szCs w:val="32"/>
          <w:lang w:val="en-US" w:eastAsia="zh-CN"/>
        </w:rPr>
        <w:t>2023年</w:t>
      </w:r>
      <w:r>
        <w:rPr>
          <w:rFonts w:hint="eastAsia"/>
          <w:color w:val="auto"/>
          <w:sz w:val="32"/>
          <w:szCs w:val="32"/>
        </w:rPr>
        <w:t>沙湾市发改委依据沙湾市目前消费标准，应建立成品储备面粉1054.2吨，食用油138.5吨。根据地方储备地区县（市）级成品粮油储备要求，市级地方储备由当地国有粮食购销企业承储，储备粮油权属归市人民政府，由人民政府按规定落实市级粮油储备的贷款利息。保管费和轮换费等财政补助资金。对粮油储备企业产生的轮换费、保管费</w:t>
      </w:r>
      <w:r>
        <w:rPr>
          <w:rFonts w:hint="eastAsia"/>
          <w:color w:val="auto"/>
          <w:sz w:val="32"/>
          <w:szCs w:val="32"/>
          <w:lang w:val="en-US" w:eastAsia="zh-CN"/>
        </w:rPr>
        <w:t>等费用</w:t>
      </w:r>
      <w:r>
        <w:rPr>
          <w:rFonts w:hint="eastAsia"/>
          <w:color w:val="auto"/>
          <w:sz w:val="32"/>
          <w:szCs w:val="32"/>
        </w:rPr>
        <w:t>的相关支出，预期达到确保沙湾市粮食安全，保障粮食市场供应和价格基本稳定，从而更好地维护粮食市场秩序的效益。</w:t>
      </w:r>
    </w:p>
    <w:p w14:paraId="6E482A4E">
      <w:pPr>
        <w:bidi w:val="0"/>
        <w:rPr>
          <w:rFonts w:hint="eastAsia"/>
          <w:b/>
          <w:bCs/>
          <w:color w:val="auto"/>
          <w:sz w:val="32"/>
          <w:szCs w:val="32"/>
        </w:rPr>
      </w:pPr>
      <w:r>
        <w:rPr>
          <w:rFonts w:hint="eastAsia"/>
          <w:b/>
          <w:bCs/>
          <w:color w:val="auto"/>
          <w:sz w:val="32"/>
          <w:szCs w:val="32"/>
        </w:rPr>
        <w:t>2.</w:t>
      </w:r>
      <w:r>
        <w:rPr>
          <w:rFonts w:hint="eastAsia"/>
          <w:b/>
          <w:bCs/>
          <w:color w:val="auto"/>
          <w:sz w:val="32"/>
          <w:szCs w:val="32"/>
          <w:lang w:eastAsia="zh-Hans"/>
        </w:rPr>
        <w:t>项目</w:t>
      </w:r>
      <w:r>
        <w:rPr>
          <w:rFonts w:hint="eastAsia"/>
          <w:b/>
          <w:bCs/>
          <w:color w:val="auto"/>
          <w:sz w:val="32"/>
          <w:szCs w:val="32"/>
        </w:rPr>
        <w:t>主要内容及实施情况</w:t>
      </w:r>
    </w:p>
    <w:p w14:paraId="37E44F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ind w:left="0" w:right="-1950" w:firstLine="0"/>
        <w:jc w:val="left"/>
        <w:textAlignment w:val="auto"/>
        <w:rPr>
          <w:rFonts w:hint="eastAsia" w:ascii="宋体" w:hAnsi="宋体" w:eastAsia="仿宋_GB2312" w:cs="宋体"/>
          <w:i w:val="0"/>
          <w:iCs w:val="0"/>
          <w:caps w:val="0"/>
          <w:color w:val="auto"/>
          <w:spacing w:val="0"/>
          <w:sz w:val="21"/>
          <w:szCs w:val="21"/>
          <w:lang w:eastAsia="zh-CN"/>
        </w:rPr>
      </w:pPr>
      <w:r>
        <w:rPr>
          <w:rFonts w:hint="eastAsia" w:ascii="仿宋_GB2312" w:hAnsi="仿宋_GB2312" w:cs="仿宋_GB2312"/>
          <w:color w:val="auto"/>
          <w:sz w:val="32"/>
          <w:szCs w:val="32"/>
        </w:rPr>
        <w:t>本项目主要</w:t>
      </w:r>
      <w:r>
        <w:rPr>
          <w:rFonts w:hint="eastAsia" w:ascii="仿宋_GB2312" w:hAnsi="仿宋_GB2312" w:cs="仿宋_GB2312"/>
          <w:color w:val="auto"/>
          <w:sz w:val="32"/>
          <w:szCs w:val="32"/>
          <w:lang w:eastAsia="zh-Hans"/>
        </w:rPr>
        <w:t>内容为</w:t>
      </w:r>
      <w:r>
        <w:rPr>
          <w:rFonts w:hint="eastAsia" w:ascii="仿宋_GB2312" w:hAnsi="仿宋_GB2312" w:cs="仿宋_GB2312"/>
          <w:color w:val="auto"/>
          <w:sz w:val="32"/>
          <w:szCs w:val="32"/>
          <w:lang w:eastAsia="zh-CN"/>
        </w:rPr>
        <w:t>：</w:t>
      </w:r>
    </w:p>
    <w:p w14:paraId="409B1BF7">
      <w:pPr>
        <w:pStyle w:val="21"/>
        <w:spacing w:line="600" w:lineRule="exact"/>
        <w:ind w:firstLine="640"/>
        <w:rPr>
          <w:rFonts w:hint="eastAsia" w:ascii="宋体" w:hAnsi="宋体" w:eastAsia="宋体" w:cs="宋体"/>
          <w:i w:val="0"/>
          <w:iCs w:val="0"/>
          <w:caps w:val="0"/>
          <w:color w:val="auto"/>
          <w:spacing w:val="0"/>
          <w:sz w:val="21"/>
          <w:szCs w:val="21"/>
          <w:shd w:val="clear" w:fill="FFFFFF"/>
        </w:rPr>
      </w:pPr>
      <w:r>
        <w:rPr>
          <w:rFonts w:hint="eastAsia" w:ascii="仿宋_GB2312" w:hAnsi="仿宋_GB2312" w:eastAsia="仿宋_GB2312" w:cs="仿宋_GB2312"/>
          <w:i w:val="0"/>
          <w:iCs w:val="0"/>
          <w:caps w:val="0"/>
          <w:color w:val="auto"/>
          <w:spacing w:val="0"/>
          <w:sz w:val="32"/>
          <w:szCs w:val="32"/>
          <w:shd w:val="clear" w:fill="FFFFFF"/>
        </w:rPr>
        <w:t>根据</w:t>
      </w:r>
      <w:r>
        <w:rPr>
          <w:rFonts w:hint="eastAsia"/>
          <w:color w:val="auto"/>
          <w:sz w:val="32"/>
          <w:szCs w:val="32"/>
        </w:rPr>
        <w:t>塔粮安协调办【2020】6号，关于建立县（市）级成品粮油储备的通知；塔粮安协调办【2021】5号，</w:t>
      </w:r>
      <w:r>
        <w:rPr>
          <w:rFonts w:hint="eastAsia" w:ascii="仿宋_GB2312" w:hAnsi="仿宋_GB2312" w:eastAsia="仿宋_GB2312" w:cs="仿宋_GB2312"/>
          <w:i w:val="0"/>
          <w:iCs w:val="0"/>
          <w:caps w:val="0"/>
          <w:color w:val="auto"/>
          <w:spacing w:val="0"/>
          <w:sz w:val="32"/>
          <w:szCs w:val="32"/>
          <w:shd w:val="clear" w:fill="FFFFFF"/>
        </w:rPr>
        <w:t>《沙湾市地方粮油储备管理办法》一级沙湾市市级成品粮油储备委托代储合同，确保全市粮食安全，保障粮食市场供应和价格基本稳定，维护好粮食市场秩序，按季度对国有粮油公司支付实际成品粮油轮换费、保管费、存储贷款</w:t>
      </w:r>
      <w:r>
        <w:rPr>
          <w:rFonts w:hint="eastAsia" w:ascii="仿宋_GB2312" w:hAnsi="仿宋_GB2312" w:cs="仿宋_GB2312"/>
          <w:i w:val="0"/>
          <w:iCs w:val="0"/>
          <w:caps w:val="0"/>
          <w:color w:val="auto"/>
          <w:spacing w:val="0"/>
          <w:sz w:val="32"/>
          <w:szCs w:val="32"/>
          <w:shd w:val="clear" w:fill="FFFFFF"/>
          <w:lang w:val="en-US" w:eastAsia="zh-CN"/>
        </w:rPr>
        <w:t>利息</w:t>
      </w:r>
      <w:r>
        <w:rPr>
          <w:rFonts w:hint="eastAsia" w:ascii="仿宋_GB2312" w:hAnsi="仿宋_GB2312" w:eastAsia="仿宋_GB2312" w:cs="仿宋_GB2312"/>
          <w:i w:val="0"/>
          <w:iCs w:val="0"/>
          <w:caps w:val="0"/>
          <w:color w:val="auto"/>
          <w:spacing w:val="0"/>
          <w:sz w:val="32"/>
          <w:szCs w:val="32"/>
          <w:shd w:val="clear" w:fill="FFFFFF"/>
        </w:rPr>
        <w:t>补贴的</w:t>
      </w:r>
      <w:r>
        <w:rPr>
          <w:rFonts w:hint="eastAsia" w:ascii="仿宋_GB2312" w:hAnsi="仿宋_GB2312" w:cs="仿宋_GB2312"/>
          <w:i w:val="0"/>
          <w:iCs w:val="0"/>
          <w:caps w:val="0"/>
          <w:color w:val="auto"/>
          <w:spacing w:val="0"/>
          <w:sz w:val="32"/>
          <w:szCs w:val="32"/>
          <w:shd w:val="clear" w:fill="FFFFFF"/>
          <w:lang w:val="en-US" w:eastAsia="zh-CN"/>
        </w:rPr>
        <w:t>企业</w:t>
      </w:r>
      <w:r>
        <w:rPr>
          <w:rFonts w:hint="eastAsia" w:ascii="仿宋_GB2312" w:hAnsi="仿宋_GB2312" w:eastAsia="仿宋_GB2312" w:cs="仿宋_GB2312"/>
          <w:i w:val="0"/>
          <w:iCs w:val="0"/>
          <w:caps w:val="0"/>
          <w:color w:val="auto"/>
          <w:spacing w:val="0"/>
          <w:sz w:val="32"/>
          <w:szCs w:val="32"/>
          <w:shd w:val="clear" w:fill="FFFFFF"/>
        </w:rPr>
        <w:t>费用补贴，确保沙湾市粮食安全，保障粮食市场供应和价格基本稳定，从而更好地维护粮食市场秩序</w:t>
      </w:r>
      <w:r>
        <w:rPr>
          <w:rFonts w:hint="eastAsia" w:ascii="宋体" w:hAnsi="宋体" w:eastAsia="宋体" w:cs="宋体"/>
          <w:i w:val="0"/>
          <w:iCs w:val="0"/>
          <w:caps w:val="0"/>
          <w:color w:val="auto"/>
          <w:spacing w:val="0"/>
          <w:sz w:val="21"/>
          <w:szCs w:val="21"/>
          <w:shd w:val="clear" w:fill="FFFFFF"/>
        </w:rPr>
        <w:t>。</w:t>
      </w:r>
    </w:p>
    <w:p w14:paraId="4ABFC623">
      <w:pPr>
        <w:pStyle w:val="21"/>
        <w:spacing w:line="600" w:lineRule="exact"/>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由国有粮油公司与代储企业签订代储合同，其中储备市级成品面粉1054.2吨，成品食用油储备138.5吨。沙湾</w:t>
      </w:r>
      <w:r>
        <w:rPr>
          <w:rFonts w:hint="eastAsia" w:ascii="仿宋_GB2312" w:hAnsi="仿宋_GB2312" w:cs="仿宋_GB2312"/>
          <w:i w:val="0"/>
          <w:iCs w:val="0"/>
          <w:caps w:val="0"/>
          <w:color w:val="auto"/>
          <w:spacing w:val="0"/>
          <w:sz w:val="32"/>
          <w:szCs w:val="32"/>
          <w:shd w:val="clear" w:fill="FFFFFF"/>
          <w:lang w:eastAsia="zh-CN"/>
        </w:rPr>
        <w:t>市粮食和物资储备局</w:t>
      </w:r>
      <w:r>
        <w:rPr>
          <w:rFonts w:hint="eastAsia" w:ascii="仿宋_GB2312" w:hAnsi="仿宋_GB2312" w:eastAsia="仿宋_GB2312" w:cs="仿宋_GB2312"/>
          <w:i w:val="0"/>
          <w:iCs w:val="0"/>
          <w:caps w:val="0"/>
          <w:color w:val="auto"/>
          <w:spacing w:val="0"/>
          <w:sz w:val="32"/>
          <w:szCs w:val="32"/>
          <w:shd w:val="clear" w:fill="FFFFFF"/>
        </w:rPr>
        <w:t>全面履行随时监督</w:t>
      </w:r>
      <w:r>
        <w:rPr>
          <w:rFonts w:hint="eastAsia" w:ascii="仿宋_GB2312" w:hAnsi="仿宋_GB2312" w:cs="仿宋_GB2312"/>
          <w:i w:val="0"/>
          <w:iCs w:val="0"/>
          <w:caps w:val="0"/>
          <w:color w:val="auto"/>
          <w:spacing w:val="0"/>
          <w:sz w:val="32"/>
          <w:szCs w:val="32"/>
          <w:shd w:val="clear" w:fill="FFFFFF"/>
          <w:lang w:eastAsia="zh-CN"/>
        </w:rPr>
        <w:t>监</w:t>
      </w:r>
      <w:r>
        <w:rPr>
          <w:rFonts w:hint="eastAsia" w:ascii="仿宋_GB2312" w:hAnsi="仿宋_GB2312" w:eastAsia="仿宋_GB2312" w:cs="仿宋_GB2312"/>
          <w:i w:val="0"/>
          <w:iCs w:val="0"/>
          <w:caps w:val="0"/>
          <w:color w:val="auto"/>
          <w:spacing w:val="0"/>
          <w:sz w:val="32"/>
          <w:szCs w:val="32"/>
          <w:shd w:val="clear" w:fill="FFFFFF"/>
        </w:rPr>
        <w:t>设承储企业</w:t>
      </w:r>
      <w:r>
        <w:rPr>
          <w:rFonts w:hint="eastAsia" w:ascii="仿宋_GB2312" w:hAnsi="仿宋_GB2312" w:cs="仿宋_GB2312"/>
          <w:i w:val="0"/>
          <w:iCs w:val="0"/>
          <w:caps w:val="0"/>
          <w:color w:val="auto"/>
          <w:spacing w:val="0"/>
          <w:sz w:val="32"/>
          <w:szCs w:val="32"/>
          <w:shd w:val="clear" w:fill="FFFFFF"/>
          <w:lang w:eastAsia="zh-CN"/>
        </w:rPr>
        <w:t>与</w:t>
      </w:r>
      <w:r>
        <w:rPr>
          <w:rFonts w:hint="eastAsia" w:ascii="仿宋_GB2312" w:hAnsi="仿宋_GB2312" w:eastAsia="仿宋_GB2312" w:cs="仿宋_GB2312"/>
          <w:i w:val="0"/>
          <w:iCs w:val="0"/>
          <w:caps w:val="0"/>
          <w:color w:val="auto"/>
          <w:spacing w:val="0"/>
          <w:sz w:val="32"/>
          <w:szCs w:val="32"/>
          <w:shd w:val="clear" w:fill="FFFFFF"/>
        </w:rPr>
        <w:t>承储有关的财务、统计、仓储安全等</w:t>
      </w:r>
      <w:r>
        <w:rPr>
          <w:rFonts w:hint="eastAsia" w:ascii="仿宋_GB2312" w:hAnsi="仿宋_GB2312" w:cs="仿宋_GB2312"/>
          <w:i w:val="0"/>
          <w:iCs w:val="0"/>
          <w:caps w:val="0"/>
          <w:color w:val="auto"/>
          <w:spacing w:val="0"/>
          <w:sz w:val="32"/>
          <w:szCs w:val="32"/>
          <w:shd w:val="clear" w:fill="FFFFFF"/>
          <w:lang w:val="en-US" w:eastAsia="zh-CN"/>
        </w:rPr>
        <w:t>工作</w:t>
      </w:r>
      <w:r>
        <w:rPr>
          <w:rFonts w:hint="eastAsia" w:ascii="仿宋_GB2312" w:hAnsi="仿宋_GB2312" w:eastAsia="仿宋_GB2312" w:cs="仿宋_GB2312"/>
          <w:i w:val="0"/>
          <w:iCs w:val="0"/>
          <w:caps w:val="0"/>
          <w:color w:val="auto"/>
          <w:spacing w:val="0"/>
          <w:sz w:val="32"/>
          <w:szCs w:val="32"/>
          <w:shd w:val="clear" w:fill="FFFFFF"/>
        </w:rPr>
        <w:t>，沙湾市粮油购销有限责任公司</w:t>
      </w:r>
      <w:r>
        <w:rPr>
          <w:rFonts w:hint="eastAsia" w:ascii="仿宋_GB2312" w:hAnsi="仿宋_GB2312" w:cs="仿宋_GB2312"/>
          <w:i w:val="0"/>
          <w:iCs w:val="0"/>
          <w:caps w:val="0"/>
          <w:color w:val="auto"/>
          <w:spacing w:val="0"/>
          <w:sz w:val="32"/>
          <w:szCs w:val="32"/>
          <w:shd w:val="clear" w:fill="FFFFFF"/>
          <w:lang w:eastAsia="zh-CN"/>
        </w:rPr>
        <w:t>同时</w:t>
      </w:r>
      <w:r>
        <w:rPr>
          <w:rFonts w:hint="eastAsia" w:ascii="仿宋_GB2312" w:hAnsi="仿宋_GB2312" w:eastAsia="仿宋_GB2312" w:cs="仿宋_GB2312"/>
          <w:i w:val="0"/>
          <w:iCs w:val="0"/>
          <w:caps w:val="0"/>
          <w:color w:val="auto"/>
          <w:spacing w:val="0"/>
          <w:sz w:val="32"/>
          <w:szCs w:val="32"/>
          <w:shd w:val="clear" w:fill="FFFFFF"/>
        </w:rPr>
        <w:t>才有权、监督代储企业的权利；代储企业按照要求负责成品粮油的储备及轮换。</w:t>
      </w:r>
    </w:p>
    <w:p w14:paraId="2AE15949">
      <w:pPr>
        <w:bidi w:val="0"/>
        <w:rPr>
          <w:rFonts w:hint="eastAsia" w:ascii="宋体" w:hAnsi="宋体" w:eastAsia="宋体" w:cs="宋体"/>
          <w:i w:val="0"/>
          <w:iCs w:val="0"/>
          <w:caps w:val="0"/>
          <w:color w:val="auto"/>
          <w:spacing w:val="0"/>
          <w:sz w:val="21"/>
          <w:szCs w:val="21"/>
          <w:shd w:val="clear" w:fill="FFFFFF"/>
        </w:rPr>
      </w:pPr>
      <w:r>
        <w:rPr>
          <w:rFonts w:hint="eastAsia"/>
          <w:color w:val="auto"/>
          <w:sz w:val="32"/>
          <w:szCs w:val="32"/>
          <w:lang w:val="en-US" w:eastAsia="zh-CN"/>
        </w:rPr>
        <w:t>本项目于2023年1月开始实施，截止2023年12月，该项目已实施完成，本</w:t>
      </w:r>
      <w:r>
        <w:rPr>
          <w:rStyle w:val="14"/>
          <w:rFonts w:hint="eastAsia" w:ascii="仿宋" w:hAnsi="仿宋" w:eastAsia="仿宋" w:cs="仿宋"/>
          <w:b w:val="0"/>
          <w:color w:val="auto"/>
          <w:sz w:val="32"/>
          <w:szCs w:val="32"/>
          <w:highlight w:val="none"/>
          <w:lang w:val="en-US" w:eastAsia="zh-CN" w:bidi="ar"/>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万元，执行金额</w:t>
      </w:r>
      <w:r>
        <w:rPr>
          <w:rFonts w:hint="eastAsia" w:ascii="仿宋_GB2312" w:hAnsi="仿宋_GB2312" w:eastAsia="仿宋_GB2312" w:cs="仿宋_GB2312"/>
          <w:color w:val="auto"/>
          <w:sz w:val="32"/>
          <w:szCs w:val="32"/>
          <w:lang w:val="en-US" w:eastAsia="zh-CN"/>
        </w:rPr>
        <w:t>88.37</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因执行金额为当年实际产生的各类费用为准，剩余资金结转下一年度使用</w:t>
      </w:r>
      <w:r>
        <w:rPr>
          <w:rFonts w:hint="eastAsia"/>
          <w:color w:val="auto"/>
          <w:sz w:val="32"/>
          <w:szCs w:val="32"/>
          <w:lang w:val="en-US" w:eastAsia="zh-CN"/>
        </w:rPr>
        <w:t>。通过本项目的实施，有效</w:t>
      </w:r>
      <w:r>
        <w:rPr>
          <w:rFonts w:hint="eastAsia" w:ascii="仿宋_GB2312" w:hAnsi="仿宋_GB2312" w:eastAsia="仿宋_GB2312" w:cs="仿宋_GB2312"/>
          <w:i w:val="0"/>
          <w:iCs w:val="0"/>
          <w:caps w:val="0"/>
          <w:color w:val="auto"/>
          <w:spacing w:val="0"/>
          <w:sz w:val="32"/>
          <w:szCs w:val="32"/>
          <w:shd w:val="clear" w:fill="FFFFFF"/>
        </w:rPr>
        <w:t>确保沙湾市粮食安全，保障粮食市场供应和价格基本稳定，从而更好地维护粮食市场秩序</w:t>
      </w:r>
      <w:r>
        <w:rPr>
          <w:rFonts w:hint="eastAsia" w:ascii="宋体" w:hAnsi="宋体" w:eastAsia="宋体" w:cs="宋体"/>
          <w:i w:val="0"/>
          <w:iCs w:val="0"/>
          <w:caps w:val="0"/>
          <w:color w:val="auto"/>
          <w:spacing w:val="0"/>
          <w:sz w:val="21"/>
          <w:szCs w:val="21"/>
          <w:shd w:val="clear" w:fill="FFFFFF"/>
        </w:rPr>
        <w:t>。</w:t>
      </w:r>
    </w:p>
    <w:p w14:paraId="07FB5BD2">
      <w:pPr>
        <w:bidi w:val="0"/>
        <w:rPr>
          <w:rFonts w:hint="eastAsia"/>
          <w:b/>
          <w:bCs/>
          <w:color w:val="auto"/>
          <w:sz w:val="32"/>
          <w:szCs w:val="32"/>
        </w:rPr>
      </w:pPr>
      <w:r>
        <w:rPr>
          <w:rFonts w:hint="eastAsia"/>
          <w:b/>
          <w:bCs/>
          <w:color w:val="auto"/>
          <w:sz w:val="32"/>
          <w:szCs w:val="32"/>
        </w:rPr>
        <w:t>3.项目实施主体</w:t>
      </w:r>
    </w:p>
    <w:p w14:paraId="4B7EB222">
      <w:pPr>
        <w:pStyle w:val="21"/>
        <w:spacing w:line="57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highlight w:val="none"/>
          <w:lang w:val="en-US" w:eastAsia="zh-CN"/>
        </w:rPr>
        <w:t>地方储备粮补贴费用</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塔城地区</w:t>
      </w:r>
      <w:r>
        <w:rPr>
          <w:rFonts w:hint="eastAsia"/>
          <w:color w:val="auto"/>
          <w:sz w:val="32"/>
          <w:szCs w:val="32"/>
          <w:lang w:val="en-US" w:eastAsia="zh-CN"/>
        </w:rPr>
        <w:t>沙湾市发展和改革委员会</w:t>
      </w:r>
      <w:r>
        <w:rPr>
          <w:rFonts w:hint="eastAsia"/>
          <w:color w:val="auto"/>
          <w:sz w:val="32"/>
          <w:szCs w:val="32"/>
          <w:lang w:eastAsia="zh-Hans"/>
        </w:rPr>
        <w:t>。</w:t>
      </w:r>
    </w:p>
    <w:p w14:paraId="60A10589">
      <w:pPr>
        <w:bidi w:val="0"/>
        <w:rPr>
          <w:rFonts w:hint="eastAsia"/>
          <w:b/>
          <w:bCs/>
          <w:color w:val="auto"/>
          <w:sz w:val="32"/>
          <w:szCs w:val="32"/>
        </w:rPr>
      </w:pPr>
      <w:r>
        <w:rPr>
          <w:rFonts w:hint="eastAsia"/>
          <w:b/>
          <w:bCs/>
          <w:color w:val="auto"/>
          <w:sz w:val="32"/>
          <w:szCs w:val="32"/>
        </w:rPr>
        <w:t>4. 资金投入和使用情况</w:t>
      </w:r>
    </w:p>
    <w:p w14:paraId="6A17C52E">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14:paraId="182D85CF">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塔城地区财政局</w:t>
      </w:r>
      <w:r>
        <w:rPr>
          <w:rFonts w:hint="eastAsia" w:ascii="仿宋_GB2312" w:hAnsi="仿宋_GB2312" w:cs="仿宋_GB2312"/>
          <w:color w:val="auto"/>
          <w:sz w:val="32"/>
          <w:szCs w:val="32"/>
          <w:lang w:eastAsia="zh-Hans"/>
        </w:rPr>
        <w:t>塔地财建[2023]42号沙财建[2023]22号-2023年中央产量大县奖励资金，</w:t>
      </w:r>
      <w:r>
        <w:rPr>
          <w:rFonts w:hint="eastAsia" w:ascii="仿宋_GB2312"/>
          <w:color w:val="auto"/>
          <w:sz w:val="32"/>
          <w:szCs w:val="32"/>
          <w:lang w:val="en-US" w:eastAsia="zh-CN"/>
        </w:rPr>
        <w:t>2023年地方储备粮补贴费用</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100</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100</w:t>
      </w:r>
      <w:r>
        <w:rPr>
          <w:rFonts w:hint="eastAsia" w:ascii="仿宋_GB2312"/>
          <w:color w:val="auto"/>
          <w:sz w:val="32"/>
          <w:szCs w:val="32"/>
        </w:rPr>
        <w:t>万元、其他资金</w:t>
      </w:r>
      <w:r>
        <w:rPr>
          <w:rFonts w:hint="eastAsia" w:ascii="仿宋_GB2312"/>
          <w:color w:val="auto"/>
          <w:sz w:val="32"/>
          <w:szCs w:val="32"/>
          <w:lang w:val="en-US" w:eastAsia="zh-CN"/>
        </w:rPr>
        <w:t>100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100</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14:paraId="29197120">
      <w:pPr>
        <w:spacing w:line="600" w:lineRule="exact"/>
        <w:ind w:firstLine="640"/>
        <w:rPr>
          <w:color w:val="auto"/>
          <w:sz w:val="32"/>
          <w:szCs w:val="32"/>
        </w:rPr>
      </w:pPr>
      <w:r>
        <w:rPr>
          <w:rFonts w:hint="eastAsia"/>
          <w:color w:val="auto"/>
          <w:sz w:val="32"/>
          <w:szCs w:val="32"/>
        </w:rPr>
        <w:t>（2）项目资金实际使用情况</w:t>
      </w:r>
    </w:p>
    <w:p w14:paraId="34BC1469">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88.37</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88.37</w:t>
      </w:r>
      <w:r>
        <w:rPr>
          <w:rFonts w:hint="eastAsia" w:ascii="仿宋_GB2312"/>
          <w:color w:val="auto"/>
          <w:sz w:val="32"/>
          <w:szCs w:val="32"/>
        </w:rPr>
        <w:t>%。项目资金主要用于支付</w:t>
      </w:r>
      <w:r>
        <w:rPr>
          <w:rFonts w:hint="eastAsia" w:ascii="仿宋_GB2312"/>
          <w:color w:val="auto"/>
          <w:sz w:val="32"/>
          <w:szCs w:val="32"/>
          <w:lang w:val="en-US" w:eastAsia="zh-CN"/>
        </w:rPr>
        <w:t>2023年沙湾市县级成品粮油</w:t>
      </w:r>
      <w:r>
        <w:rPr>
          <w:rFonts w:hint="eastAsia" w:ascii="仿宋_GB2312"/>
          <w:color w:val="auto"/>
          <w:sz w:val="32"/>
          <w:szCs w:val="32"/>
          <w:highlight w:val="none"/>
          <w:lang w:val="en-US" w:eastAsia="zh-CN"/>
        </w:rPr>
        <w:t>储备的轮换费、保管</w:t>
      </w:r>
      <w:r>
        <w:rPr>
          <w:rFonts w:hint="eastAsia" w:ascii="仿宋_GB2312"/>
          <w:color w:val="auto"/>
          <w:sz w:val="32"/>
          <w:szCs w:val="32"/>
          <w:highlight w:val="none"/>
        </w:rPr>
        <w:t>费用</w:t>
      </w:r>
      <w:r>
        <w:rPr>
          <w:rFonts w:hint="eastAsia" w:ascii="仿宋_GB2312"/>
          <w:color w:val="auto"/>
          <w:sz w:val="32"/>
          <w:szCs w:val="32"/>
          <w:highlight w:val="none"/>
          <w:lang w:eastAsia="zh-CN"/>
        </w:rPr>
        <w:t>、贷款贴息</w:t>
      </w:r>
      <w:r>
        <w:rPr>
          <w:rFonts w:hint="eastAsia" w:ascii="仿宋_GB2312"/>
          <w:color w:val="auto"/>
          <w:sz w:val="32"/>
          <w:szCs w:val="32"/>
          <w:lang w:val="en-US" w:eastAsia="zh-CN"/>
        </w:rPr>
        <w:t>等各项支出88.37</w:t>
      </w:r>
      <w:r>
        <w:rPr>
          <w:rFonts w:hint="eastAsia" w:ascii="仿宋_GB2312"/>
          <w:color w:val="auto"/>
          <w:sz w:val="32"/>
          <w:szCs w:val="32"/>
        </w:rPr>
        <w:t>万元。</w:t>
      </w:r>
    </w:p>
    <w:p w14:paraId="559A144D">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14:paraId="70AB3880">
      <w:pPr>
        <w:numPr>
          <w:ilvl w:val="0"/>
          <w:numId w:val="3"/>
        </w:numPr>
        <w:bidi w:val="0"/>
        <w:rPr>
          <w:rFonts w:hint="eastAsia"/>
          <w:b/>
          <w:bCs/>
          <w:color w:val="auto"/>
          <w:sz w:val="32"/>
          <w:szCs w:val="32"/>
        </w:rPr>
      </w:pPr>
      <w:r>
        <w:rPr>
          <w:rFonts w:hint="eastAsia"/>
          <w:b/>
          <w:bCs/>
          <w:color w:val="auto"/>
          <w:sz w:val="32"/>
          <w:szCs w:val="32"/>
        </w:rPr>
        <w:t>总体目标</w:t>
      </w:r>
    </w:p>
    <w:p w14:paraId="4B4A130D">
      <w:pPr>
        <w:pStyle w:val="2"/>
        <w:numPr>
          <w:ilvl w:val="0"/>
          <w:numId w:val="0"/>
        </w:numPr>
        <w:rPr>
          <w:rFonts w:hint="eastAsia" w:ascii="仿宋_GB2312" w:hAnsi="仿宋_GB2312" w:eastAsia="仿宋_GB2312" w:cs="仿宋_GB2312"/>
          <w:b w:val="0"/>
          <w:bCs w:val="0"/>
          <w:color w:val="auto"/>
          <w:sz w:val="32"/>
          <w:szCs w:val="32"/>
          <w:lang w:val="en-US" w:eastAsia="zh-CN"/>
        </w:rPr>
      </w:pPr>
      <w:r>
        <w:rPr>
          <w:rFonts w:hint="eastAsia"/>
          <w:color w:val="auto"/>
          <w:lang w:val="en-US" w:eastAsia="zh-CN"/>
        </w:rPr>
        <w:t xml:space="preserve">    </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i w:val="0"/>
          <w:iCs w:val="0"/>
          <w:caps w:val="0"/>
          <w:color w:val="auto"/>
          <w:spacing w:val="0"/>
          <w:sz w:val="32"/>
          <w:szCs w:val="32"/>
          <w:shd w:val="clear" w:fill="FFFFFF"/>
        </w:rPr>
        <w:t>2023年12月20日前支付100万元，完成市级成品小麦面粉数量1054.2吨，市级成品葵花籽油数量138.5吨</w:t>
      </w:r>
      <w:r>
        <w:rPr>
          <w:rFonts w:hint="eastAsia" w:cs="仿宋_GB2312"/>
          <w:b w:val="0"/>
          <w:bCs w:val="0"/>
          <w:i w:val="0"/>
          <w:iCs w:val="0"/>
          <w:caps w:val="0"/>
          <w:color w:val="auto"/>
          <w:spacing w:val="0"/>
          <w:sz w:val="32"/>
          <w:szCs w:val="32"/>
          <w:shd w:val="clear" w:fill="FFFFFF"/>
          <w:lang w:eastAsia="zh-CN"/>
        </w:rPr>
        <w:t>的储备任务</w:t>
      </w:r>
      <w:r>
        <w:rPr>
          <w:rFonts w:hint="eastAsia" w:ascii="仿宋_GB2312" w:hAnsi="仿宋_GB2312" w:eastAsia="仿宋_GB2312" w:cs="仿宋_GB2312"/>
          <w:b w:val="0"/>
          <w:bCs w:val="0"/>
          <w:i w:val="0"/>
          <w:iCs w:val="0"/>
          <w:caps w:val="0"/>
          <w:color w:val="auto"/>
          <w:spacing w:val="0"/>
          <w:sz w:val="32"/>
          <w:szCs w:val="32"/>
          <w:shd w:val="clear" w:fill="FFFFFF"/>
        </w:rPr>
        <w:t>。完成对粮油储备企业产生的轮换费、保管费、储备粮油贷款费用的相关支出，预期达到确保沙湾市粮食安全，保障粮食市场供应和价格基本稳定，从而更好地维护粮食市场秩序的效益。</w:t>
      </w:r>
    </w:p>
    <w:p w14:paraId="3BD90515">
      <w:pPr>
        <w:bidi w:val="0"/>
        <w:rPr>
          <w:rFonts w:hint="eastAsia"/>
          <w:b/>
          <w:bCs/>
          <w:color w:val="auto"/>
          <w:sz w:val="32"/>
          <w:szCs w:val="32"/>
        </w:rPr>
      </w:pPr>
      <w:r>
        <w:rPr>
          <w:rFonts w:hint="eastAsia"/>
          <w:b/>
          <w:bCs/>
          <w:color w:val="auto"/>
          <w:sz w:val="32"/>
          <w:szCs w:val="32"/>
        </w:rPr>
        <w:t>2.阶段性目标</w:t>
      </w:r>
    </w:p>
    <w:p w14:paraId="4ADB68EC">
      <w:pPr>
        <w:spacing w:line="600" w:lineRule="exact"/>
        <w:ind w:firstLine="640"/>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14:paraId="619C7E06">
      <w:pPr>
        <w:numPr>
          <w:ilvl w:val="0"/>
          <w:numId w:val="4"/>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14:paraId="5EDF56E9">
      <w:pPr>
        <w:spacing w:line="600" w:lineRule="exact"/>
        <w:ind w:firstLine="640"/>
        <w:rPr>
          <w:color w:val="auto"/>
          <w:sz w:val="32"/>
          <w:szCs w:val="32"/>
        </w:rPr>
      </w:pPr>
      <w:r>
        <w:rPr>
          <w:rFonts w:hint="eastAsia"/>
          <w:color w:val="auto"/>
          <w:sz w:val="32"/>
          <w:szCs w:val="32"/>
        </w:rPr>
        <w:t>①数量指标</w:t>
      </w:r>
    </w:p>
    <w:p w14:paraId="52B46850">
      <w:pPr>
        <w:spacing w:line="600" w:lineRule="exact"/>
        <w:ind w:firstLine="640"/>
        <w:rPr>
          <w:rFonts w:hint="eastAsia" w:eastAsia="仿宋_GB2312"/>
          <w:color w:val="auto"/>
          <w:sz w:val="32"/>
          <w:szCs w:val="32"/>
          <w:lang w:val="en-US" w:eastAsia="zh-CN"/>
        </w:rPr>
      </w:pPr>
      <w:r>
        <w:rPr>
          <w:rFonts w:hint="eastAsia"/>
          <w:color w:val="auto"/>
          <w:sz w:val="32"/>
          <w:szCs w:val="32"/>
        </w:rPr>
        <w:t>“</w:t>
      </w:r>
      <w:r>
        <w:rPr>
          <w:rFonts w:hint="eastAsia" w:ascii="仿宋_GB2312"/>
          <w:color w:val="auto"/>
          <w:sz w:val="32"/>
          <w:szCs w:val="32"/>
          <w:lang w:val="en-US" w:eastAsia="zh-CN"/>
        </w:rPr>
        <w:t>市级成品小麦面粉数量（吨）</w:t>
      </w:r>
      <w:r>
        <w:rPr>
          <w:rFonts w:hint="eastAsia"/>
          <w:color w:val="auto"/>
          <w:sz w:val="32"/>
          <w:szCs w:val="32"/>
        </w:rPr>
        <w:t>”指标，预期指标值为“</w:t>
      </w:r>
      <w:r>
        <w:rPr>
          <w:rFonts w:hint="eastAsia" w:ascii="宋体" w:hAnsi="宋体" w:eastAsia="宋体"/>
          <w:color w:val="auto"/>
          <w:sz w:val="32"/>
          <w:szCs w:val="32"/>
        </w:rPr>
        <w:t>≥</w:t>
      </w:r>
      <w:r>
        <w:rPr>
          <w:rFonts w:hint="eastAsia" w:ascii="宋体" w:hAnsi="宋体" w:eastAsia="宋体"/>
          <w:color w:val="auto"/>
          <w:sz w:val="32"/>
          <w:szCs w:val="32"/>
          <w:lang w:val="en-US" w:eastAsia="zh-CN"/>
        </w:rPr>
        <w:t>1054.20吨</w:t>
      </w:r>
      <w:r>
        <w:rPr>
          <w:rFonts w:hint="eastAsia"/>
          <w:color w:val="auto"/>
          <w:sz w:val="32"/>
          <w:szCs w:val="32"/>
        </w:rPr>
        <w:t>”</w:t>
      </w:r>
      <w:r>
        <w:rPr>
          <w:rFonts w:hint="eastAsia"/>
          <w:color w:val="auto"/>
          <w:sz w:val="32"/>
          <w:szCs w:val="32"/>
          <w:lang w:eastAsia="zh-CN"/>
        </w:rPr>
        <w:t>。</w:t>
      </w:r>
    </w:p>
    <w:p w14:paraId="6E562F56">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val="en-US" w:eastAsia="zh-CN"/>
        </w:rPr>
        <w:t>市级成品葵花籽油数量（吨）</w:t>
      </w:r>
      <w:r>
        <w:rPr>
          <w:rFonts w:hint="eastAsia"/>
          <w:color w:val="auto"/>
          <w:sz w:val="32"/>
          <w:szCs w:val="32"/>
        </w:rPr>
        <w:t>”指标，预期指标值为“</w:t>
      </w:r>
      <w:r>
        <w:rPr>
          <w:rFonts w:hint="eastAsia" w:ascii="宋体" w:hAnsi="宋体" w:eastAsia="宋体"/>
          <w:color w:val="auto"/>
          <w:sz w:val="32"/>
          <w:szCs w:val="32"/>
        </w:rPr>
        <w:t>≥</w:t>
      </w:r>
      <w:r>
        <w:rPr>
          <w:rFonts w:hint="eastAsia" w:ascii="宋体" w:hAnsi="宋体" w:eastAsia="宋体"/>
          <w:color w:val="auto"/>
          <w:sz w:val="32"/>
          <w:szCs w:val="32"/>
          <w:lang w:val="en-US" w:eastAsia="zh-CN"/>
        </w:rPr>
        <w:t>138.5吨</w:t>
      </w:r>
      <w:r>
        <w:rPr>
          <w:rFonts w:hint="eastAsia"/>
          <w:color w:val="auto"/>
          <w:sz w:val="32"/>
          <w:szCs w:val="32"/>
        </w:rPr>
        <w:t>”</w:t>
      </w:r>
      <w:r>
        <w:rPr>
          <w:rFonts w:hint="eastAsia"/>
          <w:color w:val="auto"/>
          <w:sz w:val="32"/>
          <w:szCs w:val="32"/>
          <w:lang w:eastAsia="zh-CN"/>
        </w:rPr>
        <w:t>。</w:t>
      </w:r>
    </w:p>
    <w:p w14:paraId="18D7B9FB">
      <w:pPr>
        <w:spacing w:line="600" w:lineRule="exact"/>
        <w:ind w:firstLine="640"/>
        <w:rPr>
          <w:color w:val="auto"/>
          <w:sz w:val="32"/>
          <w:szCs w:val="32"/>
        </w:rPr>
      </w:pPr>
      <w:r>
        <w:rPr>
          <w:rFonts w:hint="eastAsia"/>
          <w:color w:val="auto"/>
          <w:sz w:val="32"/>
          <w:szCs w:val="32"/>
        </w:rPr>
        <w:t>②质量指标</w:t>
      </w:r>
    </w:p>
    <w:p w14:paraId="1AA8BAB2">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color w:val="auto"/>
          <w:sz w:val="32"/>
          <w:szCs w:val="32"/>
          <w:lang w:val="en-US" w:eastAsia="zh-CN"/>
        </w:rPr>
        <w:t>成品粮油储备条件达标率</w:t>
      </w:r>
      <w:r>
        <w:rPr>
          <w:rFonts w:hint="eastAsia"/>
          <w:color w:val="auto"/>
          <w:sz w:val="32"/>
          <w:szCs w:val="32"/>
        </w:rPr>
        <w:t>”指标，预期指标值为“</w:t>
      </w:r>
      <w:r>
        <w:rPr>
          <w:rFonts w:hint="eastAsia"/>
          <w:color w:val="auto"/>
          <w:sz w:val="32"/>
          <w:szCs w:val="32"/>
          <w:lang w:val="en-US" w:eastAsia="zh-CN"/>
        </w:rPr>
        <w:t>=</w:t>
      </w:r>
      <w:r>
        <w:rPr>
          <w:rFonts w:hint="eastAsia" w:ascii="仿宋_GB2312"/>
          <w:color w:val="auto"/>
          <w:sz w:val="32"/>
          <w:szCs w:val="32"/>
          <w:lang w:val="en-US" w:eastAsia="zh-CN"/>
        </w:rPr>
        <w:t>100%</w:t>
      </w:r>
      <w:r>
        <w:rPr>
          <w:rFonts w:hint="eastAsia"/>
          <w:color w:val="auto"/>
          <w:sz w:val="32"/>
          <w:szCs w:val="32"/>
        </w:rPr>
        <w:t>”</w:t>
      </w:r>
      <w:r>
        <w:rPr>
          <w:rFonts w:hint="eastAsia"/>
          <w:color w:val="auto"/>
          <w:sz w:val="32"/>
          <w:szCs w:val="32"/>
          <w:lang w:eastAsia="zh-CN"/>
        </w:rPr>
        <w:t>。</w:t>
      </w:r>
    </w:p>
    <w:p w14:paraId="7DF68C05">
      <w:pPr>
        <w:spacing w:line="600" w:lineRule="exact"/>
        <w:ind w:firstLine="640"/>
        <w:rPr>
          <w:color w:val="auto"/>
          <w:sz w:val="32"/>
          <w:szCs w:val="32"/>
        </w:rPr>
      </w:pPr>
      <w:r>
        <w:rPr>
          <w:rFonts w:hint="eastAsia"/>
          <w:color w:val="auto"/>
          <w:sz w:val="32"/>
          <w:szCs w:val="32"/>
        </w:rPr>
        <w:t>③时效指标</w:t>
      </w:r>
    </w:p>
    <w:p w14:paraId="1031E6DC">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val="en-US" w:eastAsia="zh-CN"/>
        </w:rPr>
        <w:t>项目完成时限</w:t>
      </w:r>
      <w:r>
        <w:rPr>
          <w:rFonts w:hint="eastAsia"/>
          <w:color w:val="auto"/>
          <w:sz w:val="32"/>
          <w:szCs w:val="32"/>
        </w:rPr>
        <w:t>”指标，预期指标值为“</w:t>
      </w:r>
      <w:r>
        <w:rPr>
          <w:rFonts w:hint="eastAsia" w:ascii="仿宋_GB2312"/>
          <w:color w:val="auto"/>
          <w:sz w:val="32"/>
          <w:szCs w:val="32"/>
          <w:lang w:val="en-US" w:eastAsia="zh-CN"/>
        </w:rPr>
        <w:t>2023年12月20日前</w:t>
      </w:r>
      <w:r>
        <w:rPr>
          <w:rFonts w:hint="eastAsia"/>
          <w:color w:val="auto"/>
          <w:sz w:val="32"/>
          <w:szCs w:val="32"/>
        </w:rPr>
        <w:t>”</w:t>
      </w:r>
      <w:r>
        <w:rPr>
          <w:rFonts w:hint="eastAsia"/>
          <w:color w:val="auto"/>
          <w:sz w:val="32"/>
          <w:szCs w:val="32"/>
          <w:lang w:eastAsia="zh-CN"/>
        </w:rPr>
        <w:t>。</w:t>
      </w:r>
    </w:p>
    <w:p w14:paraId="62398C54">
      <w:pPr>
        <w:numPr>
          <w:ilvl w:val="0"/>
          <w:numId w:val="4"/>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14:paraId="4CA7B08C">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14:paraId="27F97738">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市级成品小麦保管轮换费用（万元）</w:t>
      </w:r>
      <w:r>
        <w:rPr>
          <w:rFonts w:hint="eastAsia"/>
          <w:color w:val="auto"/>
          <w:sz w:val="32"/>
          <w:szCs w:val="32"/>
          <w:highlight w:val="none"/>
        </w:rPr>
        <w:t>”指标，预期指标值为“</w:t>
      </w:r>
      <w:r>
        <w:rPr>
          <w:rFonts w:hint="eastAsia" w:ascii="宋体" w:hAnsi="宋体" w:eastAsia="宋体" w:cs="宋体"/>
          <w:color w:val="auto"/>
          <w:sz w:val="32"/>
          <w:szCs w:val="32"/>
          <w:highlight w:val="none"/>
          <w:lang w:eastAsia="zh-Hans"/>
        </w:rPr>
        <w:t>≦</w:t>
      </w:r>
      <w:r>
        <w:rPr>
          <w:rFonts w:hint="eastAsia" w:ascii="仿宋_GB2312" w:eastAsia="宋体"/>
          <w:color w:val="auto"/>
          <w:sz w:val="32"/>
          <w:szCs w:val="32"/>
          <w:highlight w:val="none"/>
          <w:lang w:val="en-US" w:eastAsia="zh-CN"/>
        </w:rPr>
        <w:t>60万元</w:t>
      </w:r>
      <w:r>
        <w:rPr>
          <w:rFonts w:hint="eastAsia"/>
          <w:color w:val="auto"/>
          <w:sz w:val="32"/>
          <w:szCs w:val="32"/>
          <w:highlight w:val="none"/>
        </w:rPr>
        <w:t>”；</w:t>
      </w:r>
    </w:p>
    <w:p w14:paraId="6D149FD5">
      <w:pPr>
        <w:spacing w:line="600" w:lineRule="exact"/>
        <w:ind w:firstLine="640"/>
        <w:rPr>
          <w:rFonts w:hint="eastAsia"/>
          <w:color w:val="auto"/>
          <w:sz w:val="32"/>
          <w:szCs w:val="32"/>
        </w:rPr>
      </w:pPr>
      <w:r>
        <w:rPr>
          <w:rFonts w:hint="eastAsia"/>
          <w:color w:val="auto"/>
          <w:sz w:val="32"/>
          <w:szCs w:val="32"/>
          <w:highlight w:val="none"/>
        </w:rPr>
        <w:t>“</w:t>
      </w:r>
      <w:r>
        <w:rPr>
          <w:rFonts w:hint="eastAsia" w:ascii="仿宋_GB2312"/>
          <w:color w:val="auto"/>
          <w:sz w:val="32"/>
          <w:szCs w:val="32"/>
          <w:lang w:val="en-US" w:eastAsia="zh-CN"/>
        </w:rPr>
        <w:t>市级成品葵花籽油保管</w:t>
      </w:r>
      <w:r>
        <w:rPr>
          <w:rFonts w:hint="eastAsia"/>
          <w:color w:val="auto"/>
          <w:sz w:val="32"/>
          <w:szCs w:val="32"/>
          <w:highlight w:val="none"/>
          <w:lang w:val="en-US" w:eastAsia="zh-CN"/>
        </w:rPr>
        <w:t>轮换费用（万元）</w:t>
      </w:r>
      <w:r>
        <w:rPr>
          <w:rFonts w:hint="eastAsia"/>
          <w:color w:val="auto"/>
          <w:sz w:val="32"/>
          <w:szCs w:val="32"/>
          <w:highlight w:val="none"/>
        </w:rPr>
        <w:t>”指标，预期指标值为“</w:t>
      </w:r>
      <w:r>
        <w:rPr>
          <w:rFonts w:hint="eastAsia" w:ascii="宋体" w:hAnsi="宋体" w:eastAsia="宋体" w:cs="宋体"/>
          <w:color w:val="auto"/>
          <w:sz w:val="32"/>
          <w:szCs w:val="32"/>
          <w:highlight w:val="none"/>
          <w:lang w:eastAsia="zh-Hans"/>
        </w:rPr>
        <w:t>≦</w:t>
      </w:r>
      <w:r>
        <w:rPr>
          <w:rFonts w:hint="eastAsia" w:ascii="仿宋_GB2312" w:eastAsia="宋体"/>
          <w:color w:val="auto"/>
          <w:sz w:val="32"/>
          <w:szCs w:val="32"/>
          <w:highlight w:val="none"/>
          <w:lang w:val="en-US" w:eastAsia="zh-CN"/>
        </w:rPr>
        <w:t>40万元</w:t>
      </w:r>
      <w:r>
        <w:rPr>
          <w:rFonts w:hint="eastAsia"/>
          <w:color w:val="auto"/>
          <w:sz w:val="32"/>
          <w:szCs w:val="32"/>
          <w:highlight w:val="none"/>
        </w:rPr>
        <w:t>”。</w:t>
      </w:r>
    </w:p>
    <w:p w14:paraId="4D89AB3B">
      <w:pPr>
        <w:spacing w:line="600" w:lineRule="exact"/>
        <w:ind w:firstLine="64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14:paraId="6BD84AF6">
      <w:pPr>
        <w:spacing w:line="600" w:lineRule="exact"/>
        <w:ind w:firstLine="640"/>
        <w:rPr>
          <w:color w:val="auto"/>
          <w:sz w:val="32"/>
          <w:szCs w:val="32"/>
        </w:rPr>
      </w:pPr>
      <w:r>
        <w:rPr>
          <w:rFonts w:hint="eastAsia"/>
          <w:color w:val="auto"/>
          <w:sz w:val="32"/>
          <w:szCs w:val="32"/>
        </w:rPr>
        <w:t>①社会效益指标</w:t>
      </w:r>
    </w:p>
    <w:p w14:paraId="5756B122">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val="en-US" w:eastAsia="zh-CN"/>
        </w:rPr>
        <w:t>确保突发天气等不可抗力因素时有粮油可用、可调、可供</w:t>
      </w:r>
      <w:r>
        <w:rPr>
          <w:rFonts w:hint="eastAsia"/>
          <w:color w:val="auto"/>
          <w:sz w:val="32"/>
          <w:szCs w:val="32"/>
        </w:rPr>
        <w:t>”指标，预期指标值为“</w:t>
      </w:r>
      <w:r>
        <w:rPr>
          <w:rFonts w:hint="eastAsia" w:ascii="仿宋_GB2312"/>
          <w:color w:val="auto"/>
          <w:sz w:val="32"/>
          <w:szCs w:val="32"/>
          <w:lang w:val="en-US" w:eastAsia="zh-CN"/>
        </w:rPr>
        <w:t>确保供应</w:t>
      </w:r>
      <w:r>
        <w:rPr>
          <w:rFonts w:hint="eastAsia"/>
          <w:color w:val="auto"/>
          <w:sz w:val="32"/>
          <w:szCs w:val="32"/>
        </w:rPr>
        <w:t>”</w:t>
      </w:r>
      <w:r>
        <w:rPr>
          <w:rFonts w:hint="eastAsia"/>
          <w:color w:val="auto"/>
          <w:sz w:val="32"/>
          <w:szCs w:val="32"/>
          <w:lang w:eastAsia="zh-CN"/>
        </w:rPr>
        <w:t>。</w:t>
      </w:r>
    </w:p>
    <w:p w14:paraId="08DBF656">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14:paraId="54D37751">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val="en-US" w:eastAsia="zh-CN"/>
        </w:rPr>
        <w:t>群众满意度</w:t>
      </w:r>
      <w:r>
        <w:rPr>
          <w:rFonts w:hint="eastAsia"/>
          <w:color w:val="auto"/>
          <w:sz w:val="32"/>
          <w:szCs w:val="32"/>
        </w:rPr>
        <w:t>”指标，预期指标值为“</w:t>
      </w:r>
      <w:r>
        <w:rPr>
          <w:rFonts w:hint="eastAsia" w:ascii="宋体" w:hAnsi="宋体" w:eastAsia="宋体" w:cs="宋体"/>
          <w:color w:val="auto"/>
          <w:sz w:val="32"/>
          <w:szCs w:val="32"/>
          <w:lang w:eastAsia="zh-Hans"/>
        </w:rPr>
        <w:t>≧</w:t>
      </w:r>
      <w:r>
        <w:rPr>
          <w:rFonts w:hint="eastAsia" w:ascii="仿宋_GB2312" w:eastAsia="宋体"/>
          <w:color w:val="auto"/>
          <w:sz w:val="32"/>
          <w:szCs w:val="32"/>
          <w:lang w:val="en-US" w:eastAsia="zh-CN"/>
        </w:rPr>
        <w:t>98%</w:t>
      </w:r>
      <w:r>
        <w:rPr>
          <w:rFonts w:hint="eastAsia"/>
          <w:color w:val="auto"/>
          <w:sz w:val="32"/>
          <w:szCs w:val="32"/>
        </w:rPr>
        <w:t>”</w:t>
      </w:r>
      <w:r>
        <w:rPr>
          <w:rFonts w:hint="eastAsia"/>
          <w:color w:val="auto"/>
          <w:sz w:val="32"/>
          <w:szCs w:val="32"/>
          <w:lang w:eastAsia="zh-CN"/>
        </w:rPr>
        <w:t>。</w:t>
      </w:r>
    </w:p>
    <w:p w14:paraId="356171CC">
      <w:pPr>
        <w:pStyle w:val="3"/>
        <w:spacing w:line="600" w:lineRule="exact"/>
        <w:ind w:firstLine="640"/>
        <w:rPr>
          <w:color w:val="auto"/>
          <w:szCs w:val="32"/>
        </w:rPr>
      </w:pPr>
      <w:r>
        <w:rPr>
          <w:rFonts w:hint="eastAsia"/>
          <w:color w:val="auto"/>
          <w:szCs w:val="32"/>
        </w:rPr>
        <w:t>二、绩效评价工作开展情况</w:t>
      </w:r>
    </w:p>
    <w:p w14:paraId="1A00FA41">
      <w:pPr>
        <w:pStyle w:val="4"/>
        <w:numPr>
          <w:ilvl w:val="0"/>
          <w:numId w:val="5"/>
        </w:numPr>
        <w:spacing w:line="600" w:lineRule="exact"/>
        <w:ind w:firstLine="643"/>
        <w:rPr>
          <w:rFonts w:ascii="楷体_GB2312" w:eastAsia="楷体_GB2312"/>
          <w:color w:val="auto"/>
          <w:szCs w:val="32"/>
        </w:rPr>
      </w:pPr>
      <w:bookmarkStart w:id="1" w:name="_Toc22922"/>
      <w:bookmarkStart w:id="2" w:name="_Toc480473081"/>
      <w:bookmarkStart w:id="3" w:name="_Toc5462343"/>
      <w:bookmarkStart w:id="4" w:name="_Toc22169_WPSOffice_Level2"/>
      <w:bookmarkStart w:id="5" w:name="_Toc12868"/>
      <w:bookmarkStart w:id="6" w:name="_Toc26632"/>
      <w:bookmarkStart w:id="7" w:name="_Toc5258"/>
      <w:bookmarkStart w:id="8" w:name="_Toc21664"/>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14:paraId="21C53F0D">
      <w:pPr>
        <w:bidi w:val="0"/>
        <w:rPr>
          <w:rFonts w:hint="eastAsia"/>
          <w:b/>
          <w:bCs/>
          <w:color w:val="auto"/>
          <w:sz w:val="32"/>
          <w:szCs w:val="32"/>
        </w:rPr>
      </w:pPr>
      <w:r>
        <w:rPr>
          <w:rFonts w:hint="eastAsia"/>
          <w:b/>
          <w:bCs/>
          <w:color w:val="auto"/>
          <w:sz w:val="32"/>
          <w:szCs w:val="32"/>
        </w:rPr>
        <w:t>1.绩效评价的目的</w:t>
      </w:r>
    </w:p>
    <w:p w14:paraId="6A303172">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171A4FB2">
      <w:pPr>
        <w:bidi w:val="0"/>
        <w:rPr>
          <w:rFonts w:hint="eastAsia"/>
          <w:b/>
          <w:bCs/>
          <w:color w:val="auto"/>
          <w:sz w:val="32"/>
          <w:szCs w:val="32"/>
        </w:rPr>
      </w:pPr>
      <w:r>
        <w:rPr>
          <w:rFonts w:hint="eastAsia"/>
          <w:b/>
          <w:bCs/>
          <w:color w:val="auto"/>
          <w:sz w:val="32"/>
          <w:szCs w:val="32"/>
        </w:rPr>
        <w:t>2.绩效评价的对象和范围</w:t>
      </w:r>
    </w:p>
    <w:p w14:paraId="27AA4837">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color w:val="auto"/>
          <w:sz w:val="32"/>
          <w:szCs w:val="32"/>
          <w:lang w:val="en-US" w:eastAsia="zh-CN"/>
        </w:rPr>
        <w:t>2023年地方储备粮补贴费用</w:t>
      </w:r>
      <w:r>
        <w:rPr>
          <w:rFonts w:hint="eastAsia" w:ascii="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62355BF4">
      <w:pPr>
        <w:pStyle w:val="4"/>
        <w:numPr>
          <w:ilvl w:val="0"/>
          <w:numId w:val="5"/>
        </w:numPr>
        <w:spacing w:line="600" w:lineRule="exact"/>
        <w:ind w:firstLine="643"/>
        <w:rPr>
          <w:rFonts w:ascii="楷体_GB2312" w:eastAsia="楷体_GB2312"/>
          <w:color w:val="auto"/>
          <w:szCs w:val="32"/>
        </w:rPr>
      </w:pPr>
      <w:r>
        <w:rPr>
          <w:rFonts w:hint="eastAsia" w:ascii="楷体_GB2312" w:eastAsia="楷体_GB2312"/>
          <w:color w:val="auto"/>
          <w:szCs w:val="32"/>
        </w:rPr>
        <w:t>评价工作简述</w:t>
      </w:r>
    </w:p>
    <w:p w14:paraId="31133872">
      <w:pPr>
        <w:bidi w:val="0"/>
        <w:rPr>
          <w:rFonts w:hint="eastAsia"/>
          <w:b/>
          <w:bCs/>
          <w:color w:val="auto"/>
          <w:sz w:val="32"/>
          <w:szCs w:val="32"/>
        </w:rPr>
      </w:pPr>
      <w:r>
        <w:rPr>
          <w:rFonts w:hint="eastAsia"/>
          <w:b/>
          <w:bCs/>
          <w:color w:val="auto"/>
          <w:sz w:val="32"/>
          <w:szCs w:val="32"/>
        </w:rPr>
        <w:t>1.绩效评价原则</w:t>
      </w:r>
    </w:p>
    <w:p w14:paraId="094023FC">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lang w:val="en-US" w:eastAsia="zh-CN"/>
        </w:rPr>
        <w:t>2023年地方储备粮补贴费用</w:t>
      </w:r>
      <w:r>
        <w:rPr>
          <w:rFonts w:hint="eastAsia"/>
          <w:color w:val="auto"/>
          <w:sz w:val="32"/>
          <w:szCs w:val="32"/>
        </w:rPr>
        <w:t>项目实际开展情况，运用定量和定性分析相结合的方法，总结经验做法，反思项目实施和管理中的问题，以切实提升财政资金管理的科学化、规范化和精细化水平。</w:t>
      </w:r>
    </w:p>
    <w:p w14:paraId="259E418E">
      <w:pPr>
        <w:spacing w:line="600" w:lineRule="exact"/>
        <w:ind w:firstLine="640"/>
        <w:rPr>
          <w:color w:val="auto"/>
          <w:sz w:val="32"/>
          <w:szCs w:val="32"/>
        </w:rPr>
      </w:pPr>
      <w:r>
        <w:rPr>
          <w:rFonts w:hint="eastAsia"/>
          <w:color w:val="auto"/>
          <w:sz w:val="32"/>
          <w:szCs w:val="32"/>
        </w:rPr>
        <w:t>根据以上原则，绩效评价遵循如下具体要求：</w:t>
      </w:r>
    </w:p>
    <w:p w14:paraId="01798891">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14:paraId="690F413C">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14:paraId="472F7479">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14:paraId="32065054">
      <w:pPr>
        <w:bidi w:val="0"/>
        <w:rPr>
          <w:rFonts w:hint="eastAsia"/>
          <w:b/>
          <w:bCs/>
          <w:color w:val="auto"/>
          <w:sz w:val="32"/>
          <w:szCs w:val="32"/>
        </w:rPr>
      </w:pPr>
      <w:bookmarkStart w:id="9" w:name="_Toc1913"/>
      <w:bookmarkStart w:id="10" w:name="_Toc419984722"/>
      <w:bookmarkStart w:id="11" w:name="_Toc26131"/>
      <w:bookmarkStart w:id="12" w:name="_Toc428278230"/>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14:paraId="31EDC864">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14:paraId="54CA5C7A">
      <w:pPr>
        <w:spacing w:line="600" w:lineRule="exact"/>
        <w:ind w:firstLine="640"/>
        <w:rPr>
          <w:rFonts w:ascii="仿宋_GB2312"/>
          <w:color w:val="auto"/>
          <w:sz w:val="32"/>
          <w:szCs w:val="32"/>
        </w:rPr>
      </w:pPr>
      <w:r>
        <w:rPr>
          <w:rFonts w:hint="eastAsia" w:ascii="仿宋_GB2312"/>
          <w:color w:val="auto"/>
          <w:sz w:val="32"/>
          <w:szCs w:val="32"/>
        </w:rPr>
        <w:t>一级指标为：决策、过程、产出、</w:t>
      </w:r>
      <w:r>
        <w:rPr>
          <w:rFonts w:hint="eastAsia" w:ascii="仿宋_GB2312"/>
          <w:color w:val="auto"/>
          <w:sz w:val="32"/>
          <w:szCs w:val="32"/>
          <w:lang w:val="en-US" w:eastAsia="zh-CN"/>
        </w:rPr>
        <w:t>成本、</w:t>
      </w:r>
      <w:r>
        <w:rPr>
          <w:rFonts w:hint="eastAsia" w:ascii="仿宋_GB2312"/>
          <w:color w:val="auto"/>
          <w:sz w:val="32"/>
          <w:szCs w:val="32"/>
        </w:rPr>
        <w:t>效益。</w:t>
      </w:r>
    </w:p>
    <w:p w14:paraId="47590E30">
      <w:pPr>
        <w:spacing w:line="600" w:lineRule="exact"/>
        <w:ind w:firstLine="640"/>
        <w:rPr>
          <w:rFonts w:ascii="仿宋_GB2312"/>
          <w:color w:val="auto"/>
          <w:sz w:val="32"/>
          <w:szCs w:val="32"/>
        </w:rPr>
      </w:pPr>
      <w:r>
        <w:rPr>
          <w:rFonts w:hint="eastAsia" w:ascii="仿宋_GB2312"/>
          <w:color w:val="auto"/>
          <w:sz w:val="32"/>
          <w:szCs w:val="32"/>
        </w:rPr>
        <w:t>二级指标为：项目立项、绩效目标、资金投入、资金管理、组织实施、产出数量、产出质量、产出时效、</w:t>
      </w:r>
      <w:r>
        <w:rPr>
          <w:rFonts w:hint="eastAsia" w:ascii="仿宋_GB2312"/>
          <w:color w:val="auto"/>
          <w:sz w:val="32"/>
          <w:szCs w:val="32"/>
          <w:lang w:val="en-US" w:eastAsia="zh-CN"/>
        </w:rPr>
        <w:t>经济</w:t>
      </w:r>
      <w:r>
        <w:rPr>
          <w:rFonts w:hint="eastAsia" w:ascii="仿宋_GB2312"/>
          <w:color w:val="auto"/>
          <w:sz w:val="32"/>
          <w:szCs w:val="32"/>
        </w:rPr>
        <w:t>成本、项目效益。</w:t>
      </w:r>
    </w:p>
    <w:p w14:paraId="33250FE4">
      <w:pPr>
        <w:spacing w:line="600" w:lineRule="exact"/>
        <w:ind w:firstLine="640"/>
        <w:rPr>
          <w:rFonts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61044B6A">
      <w:pPr>
        <w:bidi w:val="0"/>
        <w:rPr>
          <w:rFonts w:hint="eastAsia"/>
          <w:b/>
          <w:bCs/>
          <w:color w:val="auto"/>
          <w:sz w:val="32"/>
          <w:szCs w:val="32"/>
        </w:rPr>
      </w:pPr>
      <w:r>
        <w:rPr>
          <w:rFonts w:hint="eastAsia"/>
          <w:b/>
          <w:bCs/>
          <w:color w:val="auto"/>
          <w:sz w:val="32"/>
          <w:szCs w:val="32"/>
        </w:rPr>
        <w:t>3.评价方法</w:t>
      </w:r>
    </w:p>
    <w:p w14:paraId="7920E06D">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14:paraId="19C20C6B">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37D50BB1">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485787AD">
      <w:pPr>
        <w:bidi w:val="0"/>
        <w:rPr>
          <w:rFonts w:hint="eastAsia"/>
          <w:b/>
          <w:bCs/>
          <w:color w:val="auto"/>
          <w:sz w:val="32"/>
          <w:szCs w:val="32"/>
        </w:rPr>
      </w:pPr>
      <w:r>
        <w:rPr>
          <w:rFonts w:hint="eastAsia"/>
          <w:b/>
          <w:bCs/>
          <w:color w:val="auto"/>
          <w:sz w:val="32"/>
          <w:szCs w:val="32"/>
        </w:rPr>
        <w:t>4.评价标准</w:t>
      </w:r>
    </w:p>
    <w:p w14:paraId="5730FE58">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3CA4D82E">
      <w:pPr>
        <w:pStyle w:val="4"/>
        <w:spacing w:line="600" w:lineRule="exact"/>
        <w:ind w:left="420" w:firstLine="0" w:firstLineChars="0"/>
        <w:rPr>
          <w:color w:val="auto"/>
          <w:szCs w:val="32"/>
        </w:rPr>
      </w:pPr>
      <w:r>
        <w:rPr>
          <w:rFonts w:hint="eastAsia"/>
          <w:color w:val="auto"/>
          <w:szCs w:val="32"/>
        </w:rPr>
        <w:t>（三）绩效评价工作过程</w:t>
      </w:r>
    </w:p>
    <w:p w14:paraId="44319B61">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14:paraId="699F063E">
      <w:pPr>
        <w:pStyle w:val="21"/>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14:paraId="4F41FD86">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沙湾市发展和改革委员会主任董宏生</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14:paraId="6FAC9458">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沙湾市发展和改革委员会财务分管领导雒虎军</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14:paraId="54F1A8A6">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沙湾市发展和改革委员会财务室会计李燕</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14:paraId="1A689AA7">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14:paraId="11720C3F">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14:paraId="17C1AA04">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14:paraId="73FD228F">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14:paraId="7BC54917">
      <w:pPr>
        <w:pStyle w:val="21"/>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14:paraId="208D033C">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14:paraId="76409C02">
      <w:pPr>
        <w:pStyle w:val="21"/>
        <w:spacing w:line="600" w:lineRule="exact"/>
        <w:ind w:firstLine="640"/>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14:paraId="51A4629F">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14:paraId="5D451109">
      <w:pPr>
        <w:pStyle w:val="3"/>
        <w:numPr>
          <w:ilvl w:val="0"/>
          <w:numId w:val="6"/>
        </w:numPr>
        <w:spacing w:line="600" w:lineRule="exact"/>
        <w:ind w:firstLine="640"/>
        <w:rPr>
          <w:color w:val="auto"/>
          <w:szCs w:val="32"/>
        </w:rPr>
      </w:pPr>
      <w:r>
        <w:rPr>
          <w:rFonts w:hint="eastAsia"/>
          <w:color w:val="auto"/>
          <w:szCs w:val="32"/>
        </w:rPr>
        <w:t>综合评价情况及评价结论</w:t>
      </w:r>
    </w:p>
    <w:p w14:paraId="110DB7C4">
      <w:pPr>
        <w:pStyle w:val="23"/>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14:paraId="7BE977B6">
      <w:pPr>
        <w:spacing w:line="600" w:lineRule="exact"/>
        <w:ind w:firstLine="640"/>
        <w:rPr>
          <w:rFonts w:ascii="仿宋_GB2312"/>
          <w:color w:val="auto"/>
          <w:sz w:val="32"/>
          <w:szCs w:val="32"/>
        </w:rPr>
      </w:pPr>
      <w:r>
        <w:rPr>
          <w:rFonts w:hint="eastAsia" w:ascii="仿宋_GB2312"/>
          <w:color w:val="auto"/>
          <w:sz w:val="32"/>
          <w:szCs w:val="32"/>
        </w:rPr>
        <w:t>通过</w:t>
      </w:r>
      <w:r>
        <w:rPr>
          <w:rFonts w:hint="eastAsia" w:ascii="仿宋_GB2312"/>
          <w:color w:val="auto"/>
          <w:sz w:val="32"/>
          <w:szCs w:val="32"/>
          <w:lang w:val="en-US" w:eastAsia="zh-CN"/>
        </w:rPr>
        <w:t>2023年地方储备粮补贴费用</w:t>
      </w:r>
      <w:r>
        <w:rPr>
          <w:rFonts w:hint="eastAsia" w:ascii="仿宋_GB2312"/>
          <w:color w:val="auto"/>
          <w:sz w:val="32"/>
          <w:szCs w:val="32"/>
        </w:rPr>
        <w:t>项目的实施，解决了完成对粮油储备企业产生的轮换费、保管费、储备粮油贷款费用的相关支出问题，实现了沙湾市粮食安全，保障粮食市场供应和价格基本稳定，从而更好地维护粮食市场秩序的效益。该项目预算执行率达</w:t>
      </w:r>
      <w:r>
        <w:rPr>
          <w:rFonts w:hint="eastAsia" w:ascii="仿宋_GB2312"/>
          <w:color w:val="auto"/>
          <w:sz w:val="32"/>
          <w:szCs w:val="32"/>
          <w:lang w:val="en-US" w:eastAsia="zh-CN"/>
        </w:rPr>
        <w:t>88.37</w:t>
      </w:r>
      <w:r>
        <w:rPr>
          <w:rFonts w:ascii="仿宋_GB2312"/>
          <w:color w:val="auto"/>
          <w:sz w:val="32"/>
          <w:szCs w:val="32"/>
        </w:rPr>
        <w:t>%</w:t>
      </w:r>
      <w:r>
        <w:rPr>
          <w:rFonts w:hint="eastAsia" w:ascii="仿宋_GB2312"/>
          <w:color w:val="auto"/>
          <w:sz w:val="32"/>
          <w:szCs w:val="32"/>
        </w:rPr>
        <w:t>，</w:t>
      </w:r>
      <w:r>
        <w:rPr>
          <w:rFonts w:hint="eastAsia" w:ascii="仿宋_GB2312"/>
          <w:color w:val="auto"/>
          <w:sz w:val="32"/>
          <w:szCs w:val="32"/>
          <w:lang w:val="en-US" w:eastAsia="zh-CN"/>
        </w:rPr>
        <w:t>其中经济成本指标中市级成品小麦保管轮换费用（万元）60万元，完成48.37万元，未能全部达成，主要是成品粮油贷款贴息是按照农发行贷款利息计算，按照全年实际发生的贷款利息对企业进行贷款贴息，所以存在偏差。剩余专项资金结转至下一年继续使用。其余</w:t>
      </w:r>
      <w:r>
        <w:rPr>
          <w:rFonts w:hint="eastAsia" w:ascii="仿宋_GB2312"/>
          <w:color w:val="auto"/>
          <w:sz w:val="32"/>
          <w:szCs w:val="32"/>
        </w:rPr>
        <w:t>指标均已全部达成。</w:t>
      </w:r>
    </w:p>
    <w:p w14:paraId="7681586B">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14:paraId="6F04762E">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color w:val="auto"/>
          <w:sz w:val="32"/>
          <w:szCs w:val="32"/>
          <w:lang w:val="en-US" w:eastAsia="zh-CN"/>
        </w:rPr>
        <w:t>2023年地方储备粮补贴费用</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99</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14</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14:paraId="289E92D8">
      <w:pPr>
        <w:pStyle w:val="3"/>
        <w:spacing w:line="600" w:lineRule="exact"/>
        <w:ind w:firstLine="640"/>
        <w:rPr>
          <w:color w:val="auto"/>
          <w:szCs w:val="32"/>
        </w:rPr>
      </w:pPr>
      <w:r>
        <w:rPr>
          <w:rFonts w:hint="eastAsia"/>
          <w:color w:val="auto"/>
          <w:szCs w:val="32"/>
        </w:rPr>
        <w:t>四、绩效评价指标分析</w:t>
      </w:r>
    </w:p>
    <w:p w14:paraId="5BFF6C50">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14:paraId="5CD0ED2E">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0C398C81">
      <w:pPr>
        <w:pStyle w:val="24"/>
        <w:numPr>
          <w:ilvl w:val="0"/>
          <w:numId w:val="7"/>
        </w:numPr>
        <w:spacing w:line="600" w:lineRule="exact"/>
        <w:ind w:firstLine="736"/>
        <w:rPr>
          <w:rFonts w:hint="eastAsia" w:ascii="仿宋_GB2312" w:hAnsi="仿宋_GB2312" w:eastAsia="仿宋_GB2312" w:cs="仿宋_GB2312"/>
          <w:i w:val="0"/>
          <w:iCs w:val="0"/>
          <w:caps w:val="0"/>
          <w:color w:val="auto"/>
          <w:spacing w:val="0"/>
          <w:sz w:val="32"/>
          <w:szCs w:val="32"/>
          <w:shd w:val="clear" w:fill="FFFFFF"/>
        </w:rPr>
      </w:pPr>
      <w:r>
        <w:rPr>
          <w:rFonts w:hint="eastAsia" w:cs="仿宋_GB2312"/>
          <w:b/>
          <w:bCs/>
          <w:color w:val="auto"/>
        </w:rPr>
        <w:t>立项依据充分性：</w:t>
      </w:r>
      <w:r>
        <w:rPr>
          <w:rFonts w:hint="eastAsia" w:ascii="仿宋_GB2312" w:hAnsi="仿宋_GB2312" w:eastAsia="仿宋_GB2312" w:cs="仿宋_GB2312"/>
          <w:i w:val="0"/>
          <w:iCs w:val="0"/>
          <w:caps w:val="0"/>
          <w:color w:val="auto"/>
          <w:spacing w:val="0"/>
          <w:sz w:val="32"/>
          <w:szCs w:val="32"/>
          <w:shd w:val="clear" w:fill="FFFFFF"/>
        </w:rPr>
        <w:t>根据</w:t>
      </w:r>
      <w:r>
        <w:rPr>
          <w:rFonts w:hint="eastAsia"/>
          <w:color w:val="auto"/>
          <w:sz w:val="32"/>
          <w:szCs w:val="32"/>
        </w:rPr>
        <w:t>塔粮安协调办【2020】6号，关于建立县（市）级成品粮油储备的通知；塔粮安协调办【2021】5号，</w:t>
      </w:r>
      <w:r>
        <w:rPr>
          <w:rFonts w:hint="eastAsia" w:ascii="仿宋_GB2312" w:hAnsi="仿宋_GB2312" w:eastAsia="仿宋_GB2312" w:cs="仿宋_GB2312"/>
          <w:i w:val="0"/>
          <w:iCs w:val="0"/>
          <w:caps w:val="0"/>
          <w:color w:val="auto"/>
          <w:spacing w:val="0"/>
          <w:sz w:val="32"/>
          <w:szCs w:val="32"/>
          <w:shd w:val="clear" w:fill="FFFFFF"/>
        </w:rPr>
        <w:t>《沙湾市地方粮油储备管理办法》</w:t>
      </w:r>
    </w:p>
    <w:p w14:paraId="30095F0A">
      <w:pPr>
        <w:pStyle w:val="24"/>
        <w:numPr>
          <w:ilvl w:val="0"/>
          <w:numId w:val="7"/>
        </w:numPr>
        <w:spacing w:line="600" w:lineRule="exact"/>
        <w:ind w:firstLine="736"/>
        <w:rPr>
          <w:rFonts w:cs="仿宋_GB2312"/>
          <w:color w:val="auto"/>
        </w:rPr>
      </w:pPr>
      <w:r>
        <w:rPr>
          <w:rFonts w:hint="eastAsia" w:cs="仿宋_GB2312"/>
          <w:color w:val="auto"/>
          <w:lang w:eastAsia="zh-Hans"/>
        </w:rPr>
        <w:t>本项目是由</w:t>
      </w:r>
      <w:r>
        <w:rPr>
          <w:rFonts w:hint="eastAsia" w:cs="仿宋_GB2312"/>
          <w:color w:val="auto"/>
          <w:lang w:eastAsia="zh-CN"/>
        </w:rPr>
        <w:t>沙湾市发展和改革委员会</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lang w:eastAsia="zh-CN"/>
        </w:rPr>
        <w:t>2023</w:t>
      </w:r>
      <w:r>
        <w:rPr>
          <w:rFonts w:hint="eastAsia" w:cs="仿宋_GB2312"/>
          <w:color w:val="auto"/>
          <w:lang w:eastAsia="zh-Hans"/>
        </w:rPr>
        <w:t>年</w:t>
      </w:r>
      <w:r>
        <w:rPr>
          <w:rFonts w:hint="eastAsia" w:cs="仿宋_GB2312"/>
          <w:color w:val="auto"/>
          <w:lang w:eastAsia="zh-CN"/>
        </w:rPr>
        <w:t>1</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w:t>
      </w:r>
      <w:r>
        <w:rPr>
          <w:rFonts w:hint="eastAsia" w:ascii="仿宋_GB2312" w:hAnsi="仿宋_GB2312" w:eastAsia="仿宋_GB2312" w:cs="仿宋_GB2312"/>
          <w:i w:val="0"/>
          <w:iCs w:val="0"/>
          <w:caps w:val="0"/>
          <w:color w:val="auto"/>
          <w:spacing w:val="0"/>
          <w:sz w:val="32"/>
          <w:szCs w:val="32"/>
          <w:shd w:val="clear" w:fill="FFFFFF"/>
        </w:rPr>
        <w:t>根据</w:t>
      </w:r>
      <w:r>
        <w:rPr>
          <w:rFonts w:hint="eastAsia"/>
          <w:color w:val="auto"/>
          <w:sz w:val="32"/>
          <w:szCs w:val="32"/>
        </w:rPr>
        <w:t>塔粮安协调办【2020】6号，关于建立县（市）级成品粮油储备的通知；塔粮安协调办【2021】5号，</w:t>
      </w:r>
      <w:r>
        <w:rPr>
          <w:rFonts w:hint="eastAsia" w:ascii="仿宋_GB2312" w:hAnsi="仿宋_GB2312" w:eastAsia="仿宋_GB2312" w:cs="仿宋_GB2312"/>
          <w:i w:val="0"/>
          <w:iCs w:val="0"/>
          <w:caps w:val="0"/>
          <w:color w:val="auto"/>
          <w:spacing w:val="0"/>
          <w:sz w:val="32"/>
          <w:szCs w:val="32"/>
          <w:shd w:val="clear" w:fill="FFFFFF"/>
        </w:rPr>
        <w:t>《沙湾市地方粮油储备管理办法》</w:t>
      </w:r>
      <w:r>
        <w:rPr>
          <w:rFonts w:hint="eastAsia" w:hAnsi="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《沙湾市地方粮油储备管理办法》</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14:paraId="4665899E">
      <w:pPr>
        <w:pStyle w:val="24"/>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14:paraId="5C7ACE74">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14:paraId="16C853AC">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14:paraId="72DB22AF">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14:paraId="149AAE4C">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14:paraId="348C1E21">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14:paraId="04F077BA">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14</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93.33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5CA973B8">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14:paraId="4C1428B1">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100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88.37</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88.37</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hAnsi="仿宋_GB2312" w:eastAsia="仿宋_GB2312" w:cs="仿宋_GB2312"/>
          <w:color w:val="auto"/>
          <w:sz w:val="32"/>
          <w:szCs w:val="32"/>
          <w:lang w:val="en-US" w:eastAsia="zh-CN"/>
        </w:rPr>
        <w:t>因执行金额为当年实际产生的各类费用为准，剩余资金结转下一年度使用</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1</w:t>
      </w:r>
      <w:r>
        <w:rPr>
          <w:rFonts w:hint="eastAsia" w:ascii="仿宋_GB2312" w:cs="仿宋_GB2312"/>
          <w:color w:val="auto"/>
          <w:sz w:val="32"/>
          <w:szCs w:val="32"/>
        </w:rPr>
        <w:t>分。</w:t>
      </w:r>
    </w:p>
    <w:p w14:paraId="0D8770A9">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资金使用管理办法</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14:paraId="1A2705FA">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专项资金管理办法</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14:paraId="4B6F9784">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14:paraId="62863C6A">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14:paraId="65229525">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8</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39</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97.5</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2C3FBBB8">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14:paraId="73879778">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“市级成品小麦面粉数量（吨）”指标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eastAsia="zh-Hans"/>
        </w:rPr>
        <w:t>≥</w:t>
      </w:r>
      <w:r>
        <w:rPr>
          <w:rFonts w:hint="eastAsia" w:ascii="仿宋_GB2312" w:hAnsi="仿宋_GB2312" w:eastAsia="宋体" w:cs="仿宋_GB2312"/>
          <w:color w:val="auto"/>
          <w:sz w:val="32"/>
          <w:szCs w:val="32"/>
          <w:lang w:val="en-US" w:eastAsia="zh-CN"/>
        </w:rPr>
        <w:t>1054.2吨</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 xml:space="preserve"> </w:t>
      </w:r>
      <w:r>
        <w:rPr>
          <w:rFonts w:hint="eastAsia" w:ascii="仿宋_GB2312" w:hAnsi="仿宋_GB2312" w:cs="仿宋_GB2312"/>
          <w:color w:val="auto"/>
          <w:sz w:val="32"/>
          <w:szCs w:val="32"/>
          <w:highlight w:val="none"/>
          <w:lang w:val="en-US" w:eastAsia="zh-CN"/>
        </w:rPr>
        <w:t>《沙湾市市级粮油储备合同》</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完成市级成品小麦面粉数量</w:t>
      </w:r>
      <w:r>
        <w:rPr>
          <w:rFonts w:hint="eastAsia" w:ascii="仿宋_GB2312" w:hAnsi="仿宋_GB2312" w:cs="仿宋_GB2312"/>
          <w:color w:val="auto"/>
          <w:sz w:val="32"/>
          <w:szCs w:val="32"/>
          <w:lang w:val="en-US" w:eastAsia="zh-CN"/>
        </w:rPr>
        <w:t>1054.2吨</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14:paraId="7D425E3F">
      <w:pPr>
        <w:spacing w:line="600" w:lineRule="exact"/>
        <w:ind w:firstLine="640"/>
        <w:rPr>
          <w:color w:val="auto"/>
        </w:rPr>
      </w:pPr>
      <w:r>
        <w:rPr>
          <w:rFonts w:hint="eastAsia" w:ascii="仿宋_GB2312" w:hAnsi="仿宋_GB2312" w:cs="仿宋_GB2312"/>
          <w:color w:val="auto"/>
          <w:sz w:val="32"/>
          <w:szCs w:val="32"/>
          <w:lang w:eastAsia="zh-Hans"/>
        </w:rPr>
        <w:t>“市级成品</w:t>
      </w:r>
      <w:r>
        <w:rPr>
          <w:rFonts w:hint="eastAsia" w:ascii="仿宋_GB2312" w:hAnsi="仿宋_GB2312" w:cs="仿宋_GB2312"/>
          <w:color w:val="auto"/>
          <w:sz w:val="32"/>
          <w:szCs w:val="32"/>
          <w:lang w:val="en-US" w:eastAsia="zh-CN"/>
        </w:rPr>
        <w:t>葵花籽油</w:t>
      </w:r>
      <w:r>
        <w:rPr>
          <w:rFonts w:hint="eastAsia" w:ascii="仿宋_GB2312" w:hAnsi="仿宋_GB2312" w:cs="仿宋_GB2312"/>
          <w:color w:val="auto"/>
          <w:sz w:val="32"/>
          <w:szCs w:val="32"/>
          <w:lang w:eastAsia="zh-Hans"/>
        </w:rPr>
        <w:t>数量（吨）”指标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eastAsia="zh-Hans"/>
        </w:rPr>
        <w:t>≥</w:t>
      </w:r>
      <w:r>
        <w:rPr>
          <w:rFonts w:hint="eastAsia" w:ascii="仿宋_GB2312" w:hAnsi="仿宋_GB2312" w:eastAsia="宋体" w:cs="仿宋_GB2312"/>
          <w:color w:val="auto"/>
          <w:sz w:val="32"/>
          <w:szCs w:val="32"/>
          <w:lang w:val="en-US" w:eastAsia="zh-CN"/>
        </w:rPr>
        <w:t>1054.2吨</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highlight w:val="none"/>
          <w:lang w:val="en-US" w:eastAsia="zh-CN"/>
        </w:rPr>
        <w:t>《沙湾市市级粮油储备合同》</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完成“市级成品</w:t>
      </w:r>
      <w:r>
        <w:rPr>
          <w:rFonts w:hint="eastAsia" w:ascii="仿宋_GB2312" w:hAnsi="仿宋_GB2312" w:cs="仿宋_GB2312"/>
          <w:color w:val="auto"/>
          <w:sz w:val="32"/>
          <w:szCs w:val="32"/>
          <w:lang w:val="en-US" w:eastAsia="zh-CN"/>
        </w:rPr>
        <w:t>葵花籽油</w:t>
      </w:r>
      <w:r>
        <w:rPr>
          <w:rFonts w:hint="eastAsia" w:ascii="仿宋_GB2312" w:hAnsi="仿宋_GB2312" w:cs="仿宋_GB2312"/>
          <w:color w:val="auto"/>
          <w:sz w:val="32"/>
          <w:szCs w:val="32"/>
          <w:lang w:eastAsia="zh-Hans"/>
        </w:rPr>
        <w:t>数量</w:t>
      </w:r>
      <w:r>
        <w:rPr>
          <w:rFonts w:hint="eastAsia" w:ascii="仿宋_GB2312" w:hAnsi="仿宋_GB2312" w:cs="仿宋_GB2312"/>
          <w:color w:val="auto"/>
          <w:sz w:val="32"/>
          <w:szCs w:val="32"/>
          <w:lang w:val="en-US" w:eastAsia="zh-CN"/>
        </w:rPr>
        <w:t>138.5</w:t>
      </w:r>
      <w:r>
        <w:rPr>
          <w:rFonts w:hint="eastAsia" w:ascii="仿宋_GB2312" w:hAnsi="仿宋_GB2312" w:cs="仿宋_GB2312"/>
          <w:color w:val="auto"/>
          <w:sz w:val="32"/>
          <w:szCs w:val="32"/>
          <w:lang w:eastAsia="zh-Hans"/>
        </w:rPr>
        <w:t>（吨）”</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14:paraId="23C6249E">
      <w:pPr>
        <w:spacing w:line="600" w:lineRule="exact"/>
        <w:ind w:firstLine="643"/>
        <w:rPr>
          <w:rFonts w:ascii="仿宋_GB2312"/>
          <w:b/>
          <w:bCs/>
          <w:color w:val="auto"/>
          <w:sz w:val="32"/>
        </w:rPr>
      </w:pPr>
      <w:r>
        <w:rPr>
          <w:rFonts w:hint="eastAsia" w:ascii="仿宋_GB2312"/>
          <w:b/>
          <w:bCs/>
          <w:color w:val="auto"/>
          <w:sz w:val="32"/>
        </w:rPr>
        <w:t>2.产出质量</w:t>
      </w:r>
    </w:p>
    <w:p w14:paraId="2B229EF9">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成品粮油储备条件达标率（%）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”，根据现场</w:t>
      </w:r>
      <w:r>
        <w:rPr>
          <w:rFonts w:hint="eastAsia" w:ascii="仿宋_GB2312" w:hAnsi="仿宋_GB2312" w:cs="仿宋_GB2312"/>
          <w:color w:val="auto"/>
          <w:sz w:val="32"/>
          <w:szCs w:val="32"/>
          <w:lang w:val="en-US" w:eastAsia="zh-CN"/>
        </w:rPr>
        <w:t>发改委、财政局等部门联合检查</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承储企业的成品粮油储备条件达标率为100%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color w:val="auto"/>
          <w:sz w:val="32"/>
          <w:szCs w:val="32"/>
          <w:lang w:val="en-US" w:eastAsia="zh-CN"/>
        </w:rPr>
        <w:t>10</w:t>
      </w:r>
      <w:r>
        <w:rPr>
          <w:rFonts w:hint="eastAsia" w:ascii="仿宋_GB2312" w:hAnsi="仿宋_GB2312" w:cs="仿宋_GB2312"/>
          <w:color w:val="auto"/>
          <w:sz w:val="32"/>
          <w:szCs w:val="32"/>
        </w:rPr>
        <w:t>分。</w:t>
      </w:r>
    </w:p>
    <w:p w14:paraId="5CB4D27F">
      <w:pPr>
        <w:pStyle w:val="6"/>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14:paraId="4E158572">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rPr>
        <w:t>项目完成时限</w:t>
      </w:r>
      <w:r>
        <w:rPr>
          <w:rFonts w:hint="eastAsia" w:ascii="仿宋_GB2312" w:cs="仿宋_GB2312"/>
          <w:b w:val="0"/>
          <w:color w:val="auto"/>
          <w:sz w:val="32"/>
          <w:szCs w:val="32"/>
          <w:lang w:eastAsia="zh-Hans"/>
        </w:rPr>
        <w:t>”指标，预期指标值为“</w:t>
      </w:r>
      <w:r>
        <w:rPr>
          <w:rFonts w:hint="eastAsia" w:ascii="仿宋_GB2312" w:cs="仿宋_GB2312"/>
          <w:b w:val="0"/>
          <w:color w:val="auto"/>
          <w:sz w:val="32"/>
          <w:szCs w:val="32"/>
          <w:lang w:val="en-US" w:eastAsia="zh-CN"/>
        </w:rPr>
        <w:t>2023年12月20日前</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eastAsia="zh-CN"/>
        </w:rPr>
        <w:t>，</w:t>
      </w:r>
      <w:r>
        <w:rPr>
          <w:rFonts w:hint="eastAsia" w:ascii="仿宋_GB2312" w:cs="仿宋_GB2312"/>
          <w:b w:val="0"/>
          <w:color w:val="auto"/>
          <w:sz w:val="32"/>
          <w:szCs w:val="32"/>
          <w:lang w:eastAsia="zh-Hans"/>
        </w:rPr>
        <w:t>根据资金支付凭证显示，该项目于</w:t>
      </w:r>
      <w:r>
        <w:rPr>
          <w:rFonts w:hint="eastAsia" w:ascii="仿宋_GB2312" w:cs="仿宋_GB2312"/>
          <w:b w:val="0"/>
          <w:color w:val="auto"/>
          <w:sz w:val="32"/>
          <w:szCs w:val="32"/>
          <w:lang w:val="en-US" w:eastAsia="zh-CN"/>
        </w:rPr>
        <w:t>20</w:t>
      </w:r>
      <w:r>
        <w:rPr>
          <w:rFonts w:hint="eastAsia" w:ascii="仿宋_GB2312" w:cs="仿宋_GB2312"/>
          <w:b w:val="0"/>
          <w:color w:val="auto"/>
          <w:sz w:val="32"/>
          <w:szCs w:val="32"/>
        </w:rPr>
        <w:t>月完成</w:t>
      </w:r>
      <w:r>
        <w:rPr>
          <w:rFonts w:hint="eastAsia" w:ascii="仿宋_GB2312" w:cs="仿宋_GB2312"/>
          <w:b w:val="0"/>
          <w:color w:val="auto"/>
          <w:sz w:val="32"/>
          <w:szCs w:val="32"/>
          <w:lang w:val="en-US" w:eastAsia="zh-CN"/>
        </w:rPr>
        <w:t>支付</w:t>
      </w:r>
      <w:r>
        <w:rPr>
          <w:rFonts w:hint="eastAsia" w:ascii="仿宋_GB2312" w:cs="仿宋_GB2312"/>
          <w:b w:val="0"/>
          <w:color w:val="auto"/>
          <w:sz w:val="32"/>
          <w:szCs w:val="32"/>
        </w:rPr>
        <w:t>验收，按合同约定，</w:t>
      </w:r>
      <w:r>
        <w:rPr>
          <w:rFonts w:hint="eastAsia" w:ascii="仿宋_GB2312" w:cs="仿宋_GB2312"/>
          <w:b w:val="0"/>
          <w:color w:val="auto"/>
          <w:sz w:val="32"/>
          <w:szCs w:val="32"/>
          <w:lang w:val="en-US" w:eastAsia="zh-CN"/>
        </w:rPr>
        <w:t>项目</w:t>
      </w:r>
      <w:r>
        <w:rPr>
          <w:rFonts w:hint="eastAsia" w:ascii="仿宋_GB2312" w:cs="仿宋_GB2312"/>
          <w:b w:val="0"/>
          <w:color w:val="auto"/>
          <w:sz w:val="32"/>
          <w:szCs w:val="32"/>
          <w:lang w:eastAsia="zh-Hans"/>
        </w:rPr>
        <w:t>资金已于</w:t>
      </w:r>
      <w:r>
        <w:rPr>
          <w:rFonts w:ascii="仿宋_GB2312" w:cs="仿宋_GB2312"/>
          <w:b w:val="0"/>
          <w:color w:val="auto"/>
          <w:sz w:val="32"/>
          <w:szCs w:val="32"/>
          <w:lang w:eastAsia="zh-Hans"/>
        </w:rPr>
        <w:t>202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lang w:eastAsia="zh-Hans"/>
        </w:rPr>
        <w:t>年</w:t>
      </w:r>
      <w:r>
        <w:rPr>
          <w:rFonts w:hint="eastAsia" w:ascii="仿宋_GB2312" w:cs="仿宋_GB2312"/>
          <w:b w:val="0"/>
          <w:color w:val="auto"/>
          <w:sz w:val="32"/>
          <w:szCs w:val="32"/>
          <w:lang w:val="en-US" w:eastAsia="zh-CN"/>
        </w:rPr>
        <w:t>12</w:t>
      </w:r>
      <w:r>
        <w:rPr>
          <w:rFonts w:hint="eastAsia" w:ascii="仿宋_GB2312" w:cs="仿宋_GB2312"/>
          <w:b w:val="0"/>
          <w:color w:val="auto"/>
          <w:sz w:val="32"/>
          <w:szCs w:val="32"/>
          <w:lang w:eastAsia="zh-Hans"/>
        </w:rPr>
        <w:t>月</w:t>
      </w:r>
      <w:r>
        <w:rPr>
          <w:rFonts w:hint="eastAsia" w:ascii="仿宋_GB2312" w:cs="仿宋_GB2312"/>
          <w:b w:val="0"/>
          <w:color w:val="auto"/>
          <w:sz w:val="32"/>
          <w:szCs w:val="32"/>
          <w:lang w:val="en-US" w:eastAsia="zh-CN"/>
        </w:rPr>
        <w:t>按照实际发生费用已</w:t>
      </w:r>
      <w:r>
        <w:rPr>
          <w:rFonts w:hint="eastAsia" w:ascii="仿宋_GB2312" w:cs="仿宋_GB2312"/>
          <w:b w:val="0"/>
          <w:color w:val="auto"/>
          <w:sz w:val="32"/>
          <w:szCs w:val="32"/>
          <w:lang w:eastAsia="zh-Hans"/>
        </w:rPr>
        <w:t>全部支付完毕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10</w:t>
      </w:r>
      <w:r>
        <w:rPr>
          <w:rFonts w:hint="eastAsia" w:ascii="仿宋_GB2312" w:cs="仿宋_GB2312"/>
          <w:b w:val="0"/>
          <w:color w:val="auto"/>
          <w:sz w:val="32"/>
          <w:szCs w:val="32"/>
        </w:rPr>
        <w:t>分，得</w:t>
      </w:r>
      <w:r>
        <w:rPr>
          <w:rFonts w:hint="eastAsia" w:ascii="仿宋_GB2312"/>
          <w:color w:val="auto"/>
          <w:sz w:val="32"/>
          <w:szCs w:val="32"/>
          <w:lang w:val="en-US" w:eastAsia="zh-CN"/>
        </w:rPr>
        <w:t>10</w:t>
      </w:r>
      <w:r>
        <w:rPr>
          <w:rFonts w:hint="eastAsia" w:ascii="仿宋_GB2312" w:cs="仿宋_GB2312"/>
          <w:b w:val="0"/>
          <w:color w:val="auto"/>
          <w:sz w:val="32"/>
          <w:szCs w:val="32"/>
        </w:rPr>
        <w:t>分。</w:t>
      </w:r>
    </w:p>
    <w:p w14:paraId="6E89F3DC">
      <w:pPr>
        <w:pStyle w:val="6"/>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14:paraId="40F860FC">
      <w:pPr>
        <w:spacing w:line="600" w:lineRule="exact"/>
        <w:rPr>
          <w:rFonts w:hint="eastAsia" w:ascii="仿宋_GB2312" w:cs="仿宋_GB2312"/>
          <w:color w:val="auto"/>
          <w:sz w:val="32"/>
          <w:szCs w:val="32"/>
          <w:lang w:eastAsia="zh-Hans"/>
        </w:rPr>
      </w:pPr>
      <w:r>
        <w:rPr>
          <w:rFonts w:hint="eastAsia" w:ascii="仿宋_GB2312" w:cs="仿宋_GB2312"/>
          <w:color w:val="auto"/>
          <w:sz w:val="32"/>
          <w:szCs w:val="32"/>
          <w:lang w:eastAsia="zh-Hans"/>
        </w:rPr>
        <w:t>“市级成品小麦保管轮换费用（万元）”指标，预期指标值为“≤</w:t>
      </w:r>
      <w:r>
        <w:rPr>
          <w:rFonts w:hint="eastAsia" w:ascii="仿宋_GB2312" w:cs="仿宋_GB2312"/>
          <w:color w:val="auto"/>
          <w:sz w:val="32"/>
          <w:szCs w:val="32"/>
          <w:lang w:val="en-US" w:eastAsia="zh-CN"/>
        </w:rPr>
        <w:t>60</w:t>
      </w:r>
      <w:r>
        <w:rPr>
          <w:rFonts w:hint="eastAsia" w:ascii="仿宋_GB2312" w:cs="仿宋_GB2312"/>
          <w:color w:val="auto"/>
          <w:sz w:val="32"/>
          <w:szCs w:val="32"/>
          <w:lang w:eastAsia="zh-Hans"/>
        </w:rPr>
        <w:t>万元”，根据项目合同和资金支付凭证显示，本项目202</w:t>
      </w:r>
      <w:r>
        <w:rPr>
          <w:rFonts w:hint="default" w:ascii="仿宋_GB2312" w:cs="仿宋_GB2312"/>
          <w:color w:val="auto"/>
          <w:sz w:val="32"/>
          <w:szCs w:val="32"/>
          <w:lang w:val="en-US" w:eastAsia="zh-Hans"/>
        </w:rPr>
        <w:t>3</w:t>
      </w:r>
      <w:r>
        <w:rPr>
          <w:rFonts w:hint="eastAsia" w:ascii="仿宋_GB2312" w:cs="仿宋_GB2312"/>
          <w:color w:val="auto"/>
          <w:sz w:val="32"/>
          <w:szCs w:val="32"/>
          <w:lang w:eastAsia="zh-Hans"/>
        </w:rPr>
        <w:t>年共计支付</w:t>
      </w:r>
      <w:r>
        <w:rPr>
          <w:rFonts w:hint="eastAsia" w:ascii="仿宋_GB2312" w:cs="仿宋_GB2312"/>
          <w:color w:val="auto"/>
          <w:sz w:val="32"/>
          <w:szCs w:val="32"/>
          <w:lang w:val="en-US" w:eastAsia="zh-CN"/>
        </w:rPr>
        <w:t>48.37</w:t>
      </w:r>
      <w:r>
        <w:rPr>
          <w:rFonts w:hint="eastAsia" w:ascii="仿宋_GB2312" w:cs="仿宋_GB2312"/>
          <w:color w:val="auto"/>
          <w:sz w:val="32"/>
          <w:szCs w:val="32"/>
          <w:lang w:eastAsia="zh-Hans"/>
        </w:rPr>
        <w:t>万元，经费支出能够控制在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lang w:eastAsia="zh-Hans"/>
        </w:rPr>
        <w:t>围内，根据评分标准，该指标</w:t>
      </w:r>
      <w:r>
        <w:rPr>
          <w:rFonts w:hint="eastAsia" w:ascii="仿宋_GB2312" w:cs="仿宋_GB2312"/>
          <w:color w:val="auto"/>
          <w:sz w:val="32"/>
          <w:szCs w:val="32"/>
          <w:lang w:val="en-US" w:eastAsia="zh-CN"/>
        </w:rPr>
        <w:t>5</w:t>
      </w:r>
      <w:r>
        <w:rPr>
          <w:rFonts w:hint="eastAsia" w:ascii="仿宋_GB2312" w:cs="仿宋_GB2312"/>
          <w:color w:val="auto"/>
          <w:sz w:val="32"/>
          <w:szCs w:val="32"/>
          <w:lang w:eastAsia="zh-Hans"/>
        </w:rPr>
        <w:t>分，得</w:t>
      </w:r>
      <w:r>
        <w:rPr>
          <w:rFonts w:hint="eastAsia" w:ascii="仿宋_GB2312" w:cs="仿宋_GB2312"/>
          <w:color w:val="auto"/>
          <w:sz w:val="32"/>
          <w:szCs w:val="32"/>
          <w:lang w:val="en-US" w:eastAsia="zh-CN"/>
        </w:rPr>
        <w:t>4</w:t>
      </w:r>
      <w:r>
        <w:rPr>
          <w:rFonts w:hint="eastAsia" w:ascii="仿宋_GB2312" w:cs="仿宋_GB2312"/>
          <w:color w:val="auto"/>
          <w:sz w:val="32"/>
          <w:szCs w:val="32"/>
          <w:lang w:eastAsia="zh-Hans"/>
        </w:rPr>
        <w:t>分。</w:t>
      </w:r>
    </w:p>
    <w:p w14:paraId="626D213E">
      <w:pPr>
        <w:spacing w:line="600" w:lineRule="exact"/>
        <w:ind w:firstLine="640"/>
        <w:rPr>
          <w:rFonts w:ascii="仿宋_GB2312" w:cs="仿宋_GB2312"/>
          <w:color w:val="auto"/>
          <w:sz w:val="32"/>
          <w:szCs w:val="32"/>
        </w:rPr>
      </w:pPr>
      <w:r>
        <w:rPr>
          <w:rFonts w:hint="eastAsia" w:ascii="仿宋_GB2312" w:cs="仿宋_GB2312"/>
          <w:color w:val="auto"/>
          <w:sz w:val="32"/>
          <w:szCs w:val="32"/>
          <w:lang w:eastAsia="zh-Hans"/>
        </w:rPr>
        <w:t>“市级成品</w:t>
      </w:r>
      <w:r>
        <w:rPr>
          <w:rFonts w:hint="eastAsia" w:ascii="仿宋_GB2312" w:cs="仿宋_GB2312"/>
          <w:color w:val="auto"/>
          <w:sz w:val="32"/>
          <w:szCs w:val="32"/>
          <w:lang w:val="en-US" w:eastAsia="zh-CN"/>
        </w:rPr>
        <w:t>葵花籽油</w:t>
      </w:r>
      <w:r>
        <w:rPr>
          <w:rFonts w:hint="eastAsia" w:ascii="仿宋_GB2312" w:cs="仿宋_GB2312"/>
          <w:color w:val="auto"/>
          <w:sz w:val="32"/>
          <w:szCs w:val="32"/>
          <w:lang w:eastAsia="zh-Hans"/>
        </w:rPr>
        <w:t>保管轮换费用（万元）”指标，预期指标值为“≤</w:t>
      </w:r>
      <w:r>
        <w:rPr>
          <w:rFonts w:hint="eastAsia" w:ascii="仿宋_GB2312" w:cs="仿宋_GB2312"/>
          <w:color w:val="auto"/>
          <w:sz w:val="32"/>
          <w:szCs w:val="32"/>
          <w:lang w:val="en-US" w:eastAsia="zh-CN"/>
        </w:rPr>
        <w:t>40</w:t>
      </w:r>
      <w:r>
        <w:rPr>
          <w:rFonts w:hint="eastAsia" w:ascii="仿宋_GB2312" w:cs="仿宋_GB2312"/>
          <w:color w:val="auto"/>
          <w:sz w:val="32"/>
          <w:szCs w:val="32"/>
          <w:lang w:eastAsia="zh-Hans"/>
        </w:rPr>
        <w:t>万元”，根据项目合同和资金支付凭证显示，本项目202</w:t>
      </w:r>
      <w:r>
        <w:rPr>
          <w:rFonts w:hint="default" w:ascii="仿宋_GB2312" w:cs="仿宋_GB2312"/>
          <w:color w:val="auto"/>
          <w:sz w:val="32"/>
          <w:szCs w:val="32"/>
          <w:lang w:val="en-US" w:eastAsia="zh-Hans"/>
        </w:rPr>
        <w:t>3</w:t>
      </w:r>
      <w:r>
        <w:rPr>
          <w:rFonts w:hint="eastAsia" w:ascii="仿宋_GB2312" w:cs="仿宋_GB2312"/>
          <w:color w:val="auto"/>
          <w:sz w:val="32"/>
          <w:szCs w:val="32"/>
          <w:lang w:eastAsia="zh-Hans"/>
        </w:rPr>
        <w:t>年共计支付</w:t>
      </w:r>
      <w:r>
        <w:rPr>
          <w:rFonts w:hint="eastAsia" w:ascii="仿宋_GB2312" w:cs="仿宋_GB2312"/>
          <w:color w:val="auto"/>
          <w:sz w:val="32"/>
          <w:szCs w:val="32"/>
          <w:lang w:val="en-US" w:eastAsia="zh-CN"/>
        </w:rPr>
        <w:t>40</w:t>
      </w:r>
      <w:r>
        <w:rPr>
          <w:rFonts w:hint="eastAsia" w:ascii="仿宋_GB2312" w:cs="仿宋_GB2312"/>
          <w:color w:val="auto"/>
          <w:sz w:val="32"/>
          <w:szCs w:val="32"/>
          <w:lang w:eastAsia="zh-Hans"/>
        </w:rPr>
        <w:t>万元，经费支出</w:t>
      </w:r>
      <w:r>
        <w:rPr>
          <w:rFonts w:hint="eastAsia" w:ascii="仿宋_GB2312" w:cs="仿宋_GB2312"/>
          <w:color w:val="auto"/>
          <w:sz w:val="32"/>
          <w:szCs w:val="32"/>
        </w:rPr>
        <w:t>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5</w:t>
      </w:r>
      <w:r>
        <w:rPr>
          <w:rFonts w:hint="eastAsia" w:ascii="仿宋_GB2312" w:cs="仿宋_GB2312"/>
          <w:color w:val="auto"/>
          <w:sz w:val="32"/>
          <w:szCs w:val="32"/>
        </w:rPr>
        <w:t>分，得</w:t>
      </w:r>
      <w:r>
        <w:rPr>
          <w:rFonts w:hint="eastAsia" w:ascii="仿宋_GB2312" w:cs="仿宋_GB2312"/>
          <w:color w:val="auto"/>
          <w:sz w:val="32"/>
          <w:szCs w:val="32"/>
          <w:lang w:val="en-US" w:eastAsia="zh-CN"/>
        </w:rPr>
        <w:t>5</w:t>
      </w:r>
      <w:r>
        <w:rPr>
          <w:rFonts w:hint="eastAsia" w:ascii="仿宋_GB2312" w:cs="仿宋_GB2312"/>
          <w:color w:val="auto"/>
          <w:sz w:val="32"/>
          <w:szCs w:val="32"/>
        </w:rPr>
        <w:t>分。</w:t>
      </w:r>
    </w:p>
    <w:p w14:paraId="348188EE">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14:paraId="2B2495C2">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社会效益1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0C12AA85">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14:paraId="153A1452">
      <w:pPr>
        <w:spacing w:line="600" w:lineRule="exact"/>
        <w:ind w:firstLine="640"/>
        <w:rPr>
          <w:color w:val="auto"/>
        </w:rPr>
      </w:pPr>
      <w:r>
        <w:rPr>
          <w:rFonts w:hint="eastAsia" w:ascii="仿宋_GB2312"/>
          <w:color w:val="auto"/>
          <w:sz w:val="32"/>
          <w:szCs w:val="32"/>
          <w:lang w:eastAsia="zh-Hans"/>
        </w:rPr>
        <w:t>“</w:t>
      </w:r>
      <w:r>
        <w:rPr>
          <w:rFonts w:hint="default" w:ascii="仿宋_GB2312"/>
          <w:color w:val="auto"/>
          <w:sz w:val="32"/>
          <w:szCs w:val="32"/>
          <w:lang w:val="en-US" w:eastAsia="zh-CN"/>
        </w:rPr>
        <w:t>确保突发天气等不可抗力因素时有粮油可用、可调、可供</w:t>
      </w:r>
      <w:r>
        <w:rPr>
          <w:rFonts w:hint="eastAsia" w:ascii="仿宋_GB2312"/>
          <w:color w:val="auto"/>
          <w:sz w:val="32"/>
          <w:szCs w:val="32"/>
          <w:lang w:eastAsia="zh-Hans"/>
        </w:rPr>
        <w:t>”指标，预期指标值为“确保供应”，根据本单位年度考核情况</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20</w:t>
      </w:r>
      <w:r>
        <w:rPr>
          <w:rFonts w:hint="eastAsia" w:ascii="仿宋_GB2312"/>
          <w:color w:val="auto"/>
          <w:sz w:val="32"/>
          <w:szCs w:val="32"/>
        </w:rPr>
        <w:t>分。</w:t>
      </w:r>
    </w:p>
    <w:p w14:paraId="41E2BFA9">
      <w:pPr>
        <w:spacing w:line="600" w:lineRule="exact"/>
        <w:ind w:firstLine="640"/>
        <w:rPr>
          <w:rFonts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14:paraId="70874EC0">
      <w:pPr>
        <w:spacing w:line="600" w:lineRule="exact"/>
        <w:ind w:firstLine="643"/>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本项目无</w:t>
      </w:r>
      <w:r>
        <w:rPr>
          <w:rFonts w:hint="eastAsia" w:ascii="Times New Roman" w:hAnsi="Times New Roman" w:eastAsia="仿宋_GB2312" w:cs="Times New Roman"/>
          <w:b w:val="0"/>
          <w:color w:val="auto"/>
          <w:kern w:val="2"/>
          <w:sz w:val="32"/>
          <w:szCs w:val="32"/>
          <w:lang w:val="en-US" w:eastAsia="zh-Hans" w:bidi="ar-SA"/>
        </w:rPr>
        <w:t>该项</w:t>
      </w:r>
      <w:r>
        <w:rPr>
          <w:rFonts w:hint="eastAsia" w:ascii="Times New Roman" w:hAnsi="Times New Roman" w:eastAsia="仿宋_GB2312" w:cs="Times New Roman"/>
          <w:b w:val="0"/>
          <w:color w:val="auto"/>
          <w:kern w:val="2"/>
          <w:sz w:val="32"/>
          <w:szCs w:val="32"/>
          <w:lang w:val="en-US" w:eastAsia="zh-CN" w:bidi="ar-SA"/>
        </w:rPr>
        <w:t>指标</w:t>
      </w:r>
    </w:p>
    <w:p w14:paraId="38107388">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14:paraId="2F3EA157">
      <w:pPr>
        <w:pStyle w:val="4"/>
        <w:spacing w:line="600" w:lineRule="exact"/>
        <w:ind w:left="560" w:leftChars="200" w:firstLine="0" w:firstLineChars="0"/>
        <w:rPr>
          <w:rFonts w:hint="eastAsia" w:ascii="仿宋_GB2312"/>
          <w:color w:val="auto"/>
          <w:sz w:val="32"/>
          <w:szCs w:val="32"/>
        </w:rPr>
      </w:pPr>
      <w:r>
        <w:rPr>
          <w:rFonts w:hint="eastAsia" w:ascii="Times New Roman" w:hAnsi="Times New Roman" w:eastAsia="仿宋_GB2312" w:cs="Times New Roman"/>
          <w:b w:val="0"/>
          <w:color w:val="auto"/>
          <w:kern w:val="2"/>
          <w:sz w:val="32"/>
          <w:szCs w:val="32"/>
          <w:lang w:val="en-US" w:eastAsia="zh-CN" w:bidi="ar-SA"/>
        </w:rPr>
        <w:t>本项目无</w:t>
      </w:r>
      <w:r>
        <w:rPr>
          <w:rFonts w:hint="eastAsia" w:ascii="Times New Roman" w:hAnsi="Times New Roman" w:eastAsia="仿宋_GB2312" w:cs="Times New Roman"/>
          <w:b w:val="0"/>
          <w:color w:val="auto"/>
          <w:kern w:val="2"/>
          <w:sz w:val="32"/>
          <w:szCs w:val="32"/>
          <w:lang w:val="en-US" w:eastAsia="zh-Hans" w:bidi="ar-SA"/>
        </w:rPr>
        <w:t>该项</w:t>
      </w:r>
      <w:r>
        <w:rPr>
          <w:rFonts w:hint="eastAsia" w:ascii="Times New Roman" w:hAnsi="Times New Roman" w:eastAsia="仿宋_GB2312" w:cs="Times New Roman"/>
          <w:b w:val="0"/>
          <w:color w:val="auto"/>
          <w:kern w:val="2"/>
          <w:sz w:val="32"/>
          <w:szCs w:val="32"/>
          <w:lang w:val="en-US" w:eastAsia="zh-CN" w:bidi="ar-SA"/>
        </w:rPr>
        <w:t>指标</w:t>
      </w:r>
    </w:p>
    <w:p w14:paraId="057227C1">
      <w:pPr>
        <w:pStyle w:val="4"/>
        <w:spacing w:line="600" w:lineRule="exact"/>
        <w:ind w:left="560" w:leftChars="200" w:firstLine="0" w:firstLineChars="0"/>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14:paraId="0438C2E0">
      <w:pPr>
        <w:pStyle w:val="21"/>
        <w:spacing w:line="600" w:lineRule="exact"/>
        <w:ind w:firstLine="640"/>
        <w:rPr>
          <w:rFonts w:hint="eastAsia" w:ascii="仿宋_GB2312" w:cs="仿宋_GB2312"/>
          <w:color w:val="auto"/>
          <w:kern w:val="2"/>
          <w:sz w:val="32"/>
          <w:szCs w:val="32"/>
        </w:rPr>
      </w:pPr>
      <w:bookmarkStart w:id="16" w:name="_Toc1921"/>
      <w:bookmarkStart w:id="17" w:name="_Toc28290"/>
      <w:r>
        <w:rPr>
          <w:rFonts w:hint="eastAsia" w:ascii="仿宋_GB2312" w:cs="仿宋_GB2312"/>
          <w:color w:val="auto"/>
          <w:kern w:val="2"/>
          <w:sz w:val="32"/>
          <w:szCs w:val="32"/>
          <w:lang w:eastAsia="zh-Hans"/>
        </w:rPr>
        <w:t>“群众满意度（%）”</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eastAsia="zh-Hans"/>
        </w:rPr>
        <w:t>≥</w:t>
      </w:r>
      <w:r>
        <w:rPr>
          <w:rFonts w:ascii="仿宋_GB2312" w:cs="仿宋_GB2312"/>
          <w:color w:val="auto"/>
          <w:kern w:val="2"/>
          <w:sz w:val="32"/>
          <w:szCs w:val="32"/>
          <w:lang w:eastAsia="zh-Hans"/>
        </w:rPr>
        <w:t>9</w:t>
      </w:r>
      <w:r>
        <w:rPr>
          <w:rFonts w:hint="eastAsia" w:ascii="仿宋_GB2312" w:cs="仿宋_GB2312"/>
          <w:color w:val="auto"/>
          <w:kern w:val="2"/>
          <w:sz w:val="32"/>
          <w:szCs w:val="32"/>
          <w:lang w:val="en-US" w:eastAsia="zh-CN"/>
        </w:rPr>
        <w:t>8</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val="en-US" w:eastAsia="zh-CN"/>
        </w:rPr>
        <w:t>沙湾市市民</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市民</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98</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14:paraId="587191D7">
      <w:pPr>
        <w:pStyle w:val="3"/>
        <w:spacing w:line="600" w:lineRule="exact"/>
        <w:ind w:firstLine="640"/>
        <w:rPr>
          <w:color w:val="auto"/>
          <w:szCs w:val="32"/>
        </w:rPr>
      </w:pPr>
      <w:r>
        <w:rPr>
          <w:rFonts w:hint="eastAsia"/>
          <w:color w:val="auto"/>
          <w:szCs w:val="32"/>
        </w:rPr>
        <w:t>五、预算执行进度与绩效指标偏差情况</w:t>
      </w:r>
    </w:p>
    <w:p w14:paraId="7201DA49">
      <w:pPr>
        <w:pStyle w:val="4"/>
        <w:numPr>
          <w:ilvl w:val="0"/>
          <w:numId w:val="8"/>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14:paraId="389A2027">
      <w:pPr>
        <w:pStyle w:val="21"/>
        <w:spacing w:line="600" w:lineRule="exact"/>
        <w:ind w:firstLine="640"/>
        <w:rPr>
          <w:rFonts w:hint="default" w:ascii="仿宋_GB2312" w:eastAsia="仿宋_GB2312"/>
          <w:color w:val="auto"/>
          <w:sz w:val="32"/>
          <w:szCs w:val="32"/>
          <w:lang w:val="en-US" w:eastAsia="zh-CN"/>
        </w:rPr>
      </w:pPr>
      <w:r>
        <w:rPr>
          <w:rFonts w:hint="eastAsia" w:ascii="仿宋_GB2312"/>
          <w:color w:val="auto"/>
          <w:sz w:val="32"/>
          <w:szCs w:val="32"/>
          <w:lang w:val="en-US" w:eastAsia="zh-CN"/>
        </w:rPr>
        <w:t>2023年地方储备粮补贴费用</w:t>
      </w:r>
      <w:r>
        <w:rPr>
          <w:rFonts w:hint="eastAsia" w:ascii="仿宋_GB2312"/>
          <w:color w:val="auto"/>
          <w:sz w:val="32"/>
          <w:szCs w:val="32"/>
          <w:lang w:eastAsia="zh-Hans"/>
        </w:rPr>
        <w:t>项目预算金额</w:t>
      </w:r>
      <w:r>
        <w:rPr>
          <w:rFonts w:hint="eastAsia" w:ascii="仿宋_GB2312"/>
          <w:color w:val="auto"/>
          <w:sz w:val="32"/>
          <w:szCs w:val="32"/>
          <w:lang w:val="en-US" w:eastAsia="zh-CN"/>
        </w:rPr>
        <w:t>100</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100</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88.37</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88.37</w:t>
      </w:r>
      <w:r>
        <w:rPr>
          <w:rFonts w:hint="eastAsia" w:ascii="仿宋_GB2312"/>
          <w:color w:val="auto"/>
          <w:sz w:val="32"/>
          <w:szCs w:val="32"/>
          <w:lang w:eastAsia="zh-Hans"/>
        </w:rPr>
        <w:t>%。项目绩效指标总体完成率为</w:t>
      </w:r>
      <w:r>
        <w:rPr>
          <w:rFonts w:hint="eastAsia" w:ascii="仿宋_GB2312"/>
          <w:color w:val="auto"/>
          <w:sz w:val="32"/>
          <w:szCs w:val="32"/>
          <w:lang w:val="en-US" w:eastAsia="zh-CN"/>
        </w:rPr>
        <w:t>98</w:t>
      </w:r>
      <w:r>
        <w:rPr>
          <w:rFonts w:hint="eastAsia" w:ascii="仿宋_GB2312"/>
          <w:color w:val="auto"/>
          <w:sz w:val="32"/>
          <w:szCs w:val="32"/>
          <w:lang w:eastAsia="zh-Hans"/>
        </w:rPr>
        <w:t>%，偏差率为</w:t>
      </w:r>
      <w:r>
        <w:rPr>
          <w:rFonts w:hint="eastAsia" w:ascii="仿宋_GB2312"/>
          <w:color w:val="auto"/>
          <w:sz w:val="32"/>
          <w:szCs w:val="32"/>
          <w:lang w:val="en-US" w:eastAsia="zh-CN"/>
        </w:rPr>
        <w:t>2</w:t>
      </w:r>
      <w:r>
        <w:rPr>
          <w:rFonts w:hint="eastAsia" w:ascii="仿宋_GB2312"/>
          <w:color w:val="auto"/>
          <w:sz w:val="32"/>
          <w:szCs w:val="32"/>
          <w:lang w:eastAsia="zh-Hans"/>
        </w:rPr>
        <w:t>%</w:t>
      </w:r>
      <w:r>
        <w:rPr>
          <w:rFonts w:hint="eastAsia" w:ascii="仿宋_GB2312"/>
          <w:color w:val="auto"/>
          <w:sz w:val="32"/>
          <w:szCs w:val="32"/>
        </w:rPr>
        <w:t>,偏差原因是</w:t>
      </w:r>
      <w:r>
        <w:rPr>
          <w:rFonts w:hint="eastAsia" w:ascii="仿宋_GB2312"/>
          <w:color w:val="auto"/>
          <w:sz w:val="32"/>
          <w:szCs w:val="32"/>
          <w:lang w:eastAsia="zh-CN"/>
        </w:rPr>
        <w:t>：</w:t>
      </w:r>
      <w:r>
        <w:rPr>
          <w:rFonts w:hint="eastAsia" w:ascii="仿宋_GB2312"/>
          <w:color w:val="auto"/>
          <w:sz w:val="32"/>
          <w:szCs w:val="32"/>
          <w:lang w:val="en-US" w:eastAsia="zh-CN"/>
        </w:rPr>
        <w:t>2023年地方储备粮补贴费用补贴按照实际产生的费用进行费用补贴，所以存在偏差</w:t>
      </w:r>
      <w:r>
        <w:rPr>
          <w:rFonts w:hint="eastAsia" w:ascii="仿宋_GB2312"/>
          <w:color w:val="auto"/>
          <w:sz w:val="32"/>
          <w:szCs w:val="32"/>
          <w:lang w:eastAsia="zh-CN"/>
        </w:rPr>
        <w:t>；</w:t>
      </w:r>
      <w:r>
        <w:rPr>
          <w:rFonts w:hint="eastAsia" w:ascii="仿宋_GB2312"/>
          <w:color w:val="auto"/>
          <w:sz w:val="32"/>
          <w:szCs w:val="32"/>
        </w:rPr>
        <w:t>拟采取的措施是</w:t>
      </w:r>
      <w:r>
        <w:rPr>
          <w:rFonts w:hint="eastAsia" w:ascii="仿宋_GB2312"/>
          <w:color w:val="auto"/>
          <w:sz w:val="32"/>
          <w:szCs w:val="32"/>
          <w:lang w:eastAsia="zh-CN"/>
        </w:rPr>
        <w:t>：</w:t>
      </w:r>
      <w:r>
        <w:rPr>
          <w:rFonts w:hint="eastAsia" w:ascii="仿宋_GB2312"/>
          <w:color w:val="auto"/>
          <w:sz w:val="32"/>
          <w:szCs w:val="32"/>
          <w:lang w:val="en-US" w:eastAsia="zh-CN"/>
        </w:rPr>
        <w:t>剩余项目资金结转至下一年度继续使用。</w:t>
      </w:r>
    </w:p>
    <w:p w14:paraId="39B560CF">
      <w:pPr>
        <w:pStyle w:val="4"/>
        <w:numPr>
          <w:ilvl w:val="0"/>
          <w:numId w:val="8"/>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14:paraId="0FB5B54C">
      <w:pPr>
        <w:spacing w:line="600" w:lineRule="exact"/>
        <w:ind w:left="0" w:leftChars="0" w:firstLine="640" w:firstLineChars="200"/>
        <w:rPr>
          <w:rFonts w:hint="eastAsia"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color w:val="auto"/>
          <w:sz w:val="32"/>
          <w:szCs w:val="32"/>
          <w:lang w:val="en-US" w:eastAsia="zh-CN"/>
        </w:rPr>
        <w:t>2023年地方储备粮补贴费用</w:t>
      </w:r>
      <w:r>
        <w:rPr>
          <w:rFonts w:hint="eastAsia" w:ascii="仿宋_GB2312"/>
          <w:color w:val="auto"/>
          <w:sz w:val="32"/>
          <w:szCs w:val="32"/>
        </w:rPr>
        <w:t>项目当中，</w:t>
      </w:r>
      <w:r>
        <w:rPr>
          <w:rFonts w:hint="eastAsia" w:ascii="仿宋_GB2312"/>
          <w:color w:val="auto"/>
          <w:sz w:val="32"/>
          <w:szCs w:val="32"/>
          <w:lang w:val="en-US" w:eastAsia="zh-CN"/>
        </w:rPr>
        <w:t>成本</w:t>
      </w:r>
      <w:r>
        <w:rPr>
          <w:rFonts w:hint="eastAsia" w:ascii="仿宋_GB2312"/>
          <w:color w:val="auto"/>
          <w:sz w:val="32"/>
          <w:szCs w:val="32"/>
        </w:rPr>
        <w:t>指标的实际完成情况未能达到预算指标值，存在偏差的原因如下：</w:t>
      </w:r>
    </w:p>
    <w:p w14:paraId="27FE0383">
      <w:pPr>
        <w:spacing w:line="600" w:lineRule="exact"/>
        <w:ind w:firstLine="640"/>
        <w:rPr>
          <w:rFonts w:ascii="仿宋_GB2312" w:hAnsi="仿宋_GB2312" w:cs="仿宋_GB2312"/>
          <w:b/>
          <w:bCs/>
          <w:color w:val="auto"/>
          <w:sz w:val="32"/>
          <w:szCs w:val="32"/>
        </w:rPr>
      </w:pPr>
      <w:r>
        <w:rPr>
          <w:rFonts w:hint="eastAsia" w:ascii="仿宋_GB2312" w:hAnsi="仿宋_GB2312" w:cs="仿宋_GB2312"/>
          <w:color w:val="auto"/>
          <w:sz w:val="32"/>
          <w:szCs w:val="32"/>
        </w:rPr>
        <w:t>1</w:t>
      </w:r>
      <w:r>
        <w:rPr>
          <w:rFonts w:ascii="仿宋_GB2312" w:hAnsi="仿宋_GB2312" w:cs="仿宋_GB2312"/>
          <w:color w:val="auto"/>
          <w:sz w:val="32"/>
          <w:szCs w:val="32"/>
        </w:rPr>
        <w:t>.</w:t>
      </w:r>
      <w:r>
        <w:rPr>
          <w:rFonts w:hint="eastAsia" w:ascii="仿宋_GB2312" w:hAnsi="仿宋_GB2312" w:cs="仿宋_GB2312"/>
          <w:color w:val="auto"/>
          <w:sz w:val="32"/>
          <w:szCs w:val="32"/>
          <w:lang w:eastAsia="zh-Hans"/>
        </w:rPr>
        <w:t>“</w:t>
      </w:r>
      <w:r>
        <w:rPr>
          <w:rFonts w:hint="eastAsia" w:ascii="仿宋_GB2312" w:cs="仿宋_GB2312"/>
          <w:color w:val="auto"/>
          <w:sz w:val="32"/>
          <w:szCs w:val="32"/>
          <w:lang w:eastAsia="zh-Hans"/>
        </w:rPr>
        <w:t>市级成品小麦保管轮换费用（万元）</w:t>
      </w:r>
      <w:r>
        <w:rPr>
          <w:rFonts w:hint="eastAsia" w:ascii="仿宋_GB2312" w:hAnsi="仿宋_GB2312" w:cs="仿宋_GB2312"/>
          <w:color w:val="auto"/>
          <w:sz w:val="32"/>
          <w:szCs w:val="32"/>
          <w:lang w:eastAsia="zh-Hans"/>
        </w:rPr>
        <w:t>”指标</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预期指标值为“</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60</w:t>
      </w:r>
      <w:r>
        <w:rPr>
          <w:rFonts w:hint="eastAsia" w:ascii="仿宋_GB2312" w:cs="仿宋_GB2312"/>
          <w:color w:val="auto"/>
          <w:sz w:val="32"/>
          <w:szCs w:val="32"/>
          <w:lang w:eastAsia="zh-Hans"/>
        </w:rPr>
        <w:t>万元</w:t>
      </w:r>
      <w:r>
        <w:rPr>
          <w:rFonts w:hint="eastAsia" w:ascii="仿宋_GB2312" w:hAnsi="仿宋_GB2312" w:cs="仿宋_GB2312"/>
          <w:color w:val="auto"/>
          <w:sz w:val="32"/>
          <w:szCs w:val="32"/>
          <w:lang w:eastAsia="zh-Hans"/>
        </w:rPr>
        <w:t>”</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rPr>
        <w:t>实际完成值为</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48.37万元</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存在</w:t>
      </w:r>
      <w:r>
        <w:rPr>
          <w:rFonts w:hint="eastAsia" w:ascii="仿宋_GB2312" w:hAnsi="仿宋_GB2312" w:cs="仿宋_GB2312"/>
          <w:color w:val="auto"/>
          <w:sz w:val="32"/>
          <w:szCs w:val="32"/>
        </w:rPr>
        <w:t>偏差</w:t>
      </w:r>
      <w:r>
        <w:rPr>
          <w:rFonts w:hint="eastAsia" w:ascii="仿宋_GB2312" w:hAnsi="仿宋_GB2312" w:cs="仿宋_GB2312"/>
          <w:color w:val="auto"/>
          <w:sz w:val="32"/>
          <w:szCs w:val="32"/>
          <w:lang w:eastAsia="zh-CN"/>
        </w:rPr>
        <w:t>原因是</w:t>
      </w:r>
      <w:r>
        <w:rPr>
          <w:rFonts w:hint="eastAsia" w:ascii="仿宋_GB2312" w:hAnsi="仿宋_GB2312" w:cs="仿宋_GB2312"/>
          <w:color w:val="auto"/>
          <w:sz w:val="32"/>
          <w:szCs w:val="32"/>
          <w:lang w:val="en-US" w:eastAsia="zh-CN"/>
        </w:rPr>
        <w:t>当年执行资金为当年产生的实际费用为准，剩余资金结转下年使用</w:t>
      </w:r>
      <w:r>
        <w:rPr>
          <w:rFonts w:ascii="仿宋_GB2312" w:hAnsi="仿宋_GB2312" w:cs="仿宋_GB2312"/>
          <w:color w:val="auto"/>
          <w:sz w:val="32"/>
          <w:szCs w:val="32"/>
        </w:rPr>
        <w:t>。</w:t>
      </w:r>
    </w:p>
    <w:bookmarkEnd w:id="16"/>
    <w:bookmarkEnd w:id="17"/>
    <w:p w14:paraId="4448B8A9">
      <w:pPr>
        <w:pStyle w:val="3"/>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14:paraId="10CD3DAE">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（一）主要经验及做法</w:t>
      </w:r>
    </w:p>
    <w:p w14:paraId="30DD1C45">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14:paraId="7EFAE0B1">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67DA966B">
      <w:pPr>
        <w:pStyle w:val="21"/>
        <w:spacing w:line="600" w:lineRule="exact"/>
        <w:ind w:firstLine="643"/>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2.坚持问题导向，加强执行监控，提高资金效益</w:t>
      </w:r>
    </w:p>
    <w:p w14:paraId="188E10F2">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w:t>
      </w:r>
      <w:r>
        <w:rPr>
          <w:rFonts w:hint="eastAsia" w:ascii="仿宋_GB2312" w:hAnsi="仿宋_GB2312" w:cs="仿宋_GB2312"/>
          <w:color w:val="auto"/>
          <w:sz w:val="32"/>
          <w:szCs w:val="32"/>
          <w:lang w:eastAsia="zh-CN"/>
        </w:rPr>
        <w:t>地</w:t>
      </w:r>
      <w:r>
        <w:rPr>
          <w:rFonts w:hint="eastAsia" w:ascii="仿宋_GB2312" w:hAnsi="仿宋_GB2312" w:cs="仿宋_GB2312"/>
          <w:color w:val="auto"/>
          <w:sz w:val="32"/>
          <w:szCs w:val="32"/>
        </w:rPr>
        <w:t>降低</w:t>
      </w:r>
      <w:r>
        <w:rPr>
          <w:rFonts w:hint="eastAsia" w:ascii="仿宋_GB2312" w:hAnsi="仿宋_GB2312" w:cs="仿宋_GB2312"/>
          <w:color w:val="auto"/>
          <w:sz w:val="32"/>
          <w:szCs w:val="32"/>
          <w:lang w:eastAsia="zh-CN"/>
        </w:rPr>
        <w:t>了</w:t>
      </w:r>
      <w:r>
        <w:rPr>
          <w:rFonts w:hint="eastAsia" w:ascii="仿宋_GB2312" w:hAnsi="仿宋_GB2312" w:cs="仿宋_GB2312"/>
          <w:color w:val="auto"/>
          <w:sz w:val="32"/>
          <w:szCs w:val="32"/>
        </w:rPr>
        <w:t>资金偏离政策目标的风险，提高了资金使用效益。</w:t>
      </w:r>
    </w:p>
    <w:p w14:paraId="29AF04DD">
      <w:pPr>
        <w:pStyle w:val="21"/>
        <w:spacing w:line="600" w:lineRule="exact"/>
        <w:ind w:firstLine="643"/>
        <w:rPr>
          <w:rFonts w:ascii="仿宋_GB2312" w:hAnsi="仿宋_GB2312" w:cs="仿宋_GB2312"/>
          <w:b/>
          <w:bCs/>
          <w:color w:val="auto"/>
          <w:sz w:val="32"/>
          <w:szCs w:val="32"/>
        </w:rPr>
      </w:pPr>
      <w:bookmarkStart w:id="18"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14:paraId="4BFC765F">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7760DC4E">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14:paraId="0C782143">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14:paraId="312AD1B6">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6B7AB802">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14:paraId="4EC33BDF">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14:paraId="5AD00B3A">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3.项目支出绩效评价存在局限，客观性有待加强</w:t>
      </w:r>
    </w:p>
    <w:p w14:paraId="4F5DABCF">
      <w:pPr>
        <w:pStyle w:val="22"/>
        <w:spacing w:line="600" w:lineRule="exact"/>
        <w:ind w:firstLine="640"/>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51AABDA1">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14:paraId="1C6673AB">
      <w:pPr>
        <w:pStyle w:val="21"/>
        <w:spacing w:line="600" w:lineRule="exact"/>
        <w:ind w:firstLine="643"/>
        <w:rPr>
          <w:rFonts w:ascii="仿宋_GB2312"/>
          <w:b/>
          <w:bCs/>
          <w:color w:val="auto"/>
          <w:sz w:val="32"/>
          <w:szCs w:val="32"/>
        </w:rPr>
      </w:pPr>
      <w:r>
        <w:rPr>
          <w:rFonts w:hint="eastAsia" w:ascii="仿宋_GB2312"/>
          <w:b/>
          <w:bCs/>
          <w:color w:val="auto"/>
          <w:sz w:val="32"/>
          <w:szCs w:val="32"/>
        </w:rPr>
        <w:t>1.加强培训，提高相关人员工作水平</w:t>
      </w:r>
    </w:p>
    <w:p w14:paraId="38F505A8">
      <w:pPr>
        <w:pStyle w:val="21"/>
        <w:spacing w:line="600" w:lineRule="exact"/>
        <w:ind w:firstLine="640"/>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2B768A3E">
      <w:pPr>
        <w:pStyle w:val="21"/>
        <w:spacing w:line="600" w:lineRule="exact"/>
        <w:ind w:firstLine="643"/>
        <w:rPr>
          <w:rFonts w:ascii="仿宋_GB2312"/>
          <w:b/>
          <w:bCs/>
          <w:color w:val="auto"/>
          <w:sz w:val="32"/>
          <w:szCs w:val="32"/>
        </w:rPr>
      </w:pPr>
      <w:r>
        <w:rPr>
          <w:rFonts w:hint="eastAsia" w:ascii="仿宋_GB2312"/>
          <w:b/>
          <w:bCs/>
          <w:color w:val="auto"/>
          <w:sz w:val="32"/>
          <w:szCs w:val="32"/>
        </w:rPr>
        <w:t>2.扎实推进档案规范化建设，提升档案管理水平</w:t>
      </w:r>
    </w:p>
    <w:p w14:paraId="4F7AA45B">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6D88AFF5">
      <w:pPr>
        <w:pStyle w:val="21"/>
        <w:spacing w:line="600" w:lineRule="exact"/>
        <w:ind w:firstLine="643"/>
        <w:rPr>
          <w:rFonts w:ascii="仿宋_GB2312"/>
          <w:b/>
          <w:bCs/>
          <w:color w:val="auto"/>
          <w:sz w:val="32"/>
          <w:szCs w:val="32"/>
        </w:rPr>
      </w:pPr>
      <w:r>
        <w:rPr>
          <w:rFonts w:hint="eastAsia" w:ascii="仿宋_GB2312"/>
          <w:b/>
          <w:bCs/>
          <w:color w:val="auto"/>
          <w:sz w:val="32"/>
          <w:szCs w:val="32"/>
        </w:rPr>
        <w:t>3. 高度重视，加强领导</w:t>
      </w:r>
    </w:p>
    <w:p w14:paraId="5891DDB7">
      <w:pPr>
        <w:pStyle w:val="21"/>
        <w:spacing w:line="600" w:lineRule="exact"/>
        <w:ind w:firstLine="640"/>
        <w:rPr>
          <w:rFonts w:hint="eastAsia" w:ascii="仿宋_GB2312" w:hAnsi="仿宋_GB2312" w:cs="仿宋_GB2312"/>
          <w:color w:val="auto"/>
          <w:sz w:val="32"/>
          <w:szCs w:val="32"/>
        </w:rPr>
      </w:pPr>
      <w:r>
        <w:rPr>
          <w:rFonts w:hint="eastAsia" w:ascii="仿宋_GB2312"/>
          <w:color w:val="auto"/>
          <w:sz w:val="32"/>
          <w:szCs w:val="32"/>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rPr>
        <w:t>客观性和公正性。</w:t>
      </w:r>
    </w:p>
    <w:p w14:paraId="47BF079F">
      <w:pPr>
        <w:pStyle w:val="21"/>
        <w:spacing w:line="600" w:lineRule="exact"/>
        <w:ind w:firstLine="643"/>
        <w:rPr>
          <w:rFonts w:hint="default" w:ascii="仿宋_GB2312"/>
          <w:b/>
          <w:bCs/>
          <w:color w:val="auto"/>
          <w:sz w:val="32"/>
          <w:szCs w:val="32"/>
        </w:rPr>
      </w:pPr>
      <w:r>
        <w:rPr>
          <w:rFonts w:hint="eastAsia" w:ascii="仿宋_GB2312"/>
          <w:b/>
          <w:bCs/>
          <w:color w:val="auto"/>
          <w:sz w:val="32"/>
          <w:szCs w:val="32"/>
          <w:lang w:val="en-US" w:eastAsia="zh-CN"/>
        </w:rPr>
        <w:t>4.</w:t>
      </w:r>
      <w:r>
        <w:rPr>
          <w:rFonts w:hint="default" w:ascii="仿宋_GB2312"/>
          <w:b/>
          <w:bCs/>
          <w:color w:val="auto"/>
          <w:sz w:val="32"/>
          <w:szCs w:val="32"/>
        </w:rPr>
        <w:t>加大宣传力度，强化绩效理念</w:t>
      </w:r>
    </w:p>
    <w:p w14:paraId="17F2B0D6">
      <w:pPr>
        <w:pStyle w:val="21"/>
        <w:spacing w:line="600" w:lineRule="exact"/>
        <w:ind w:firstLine="640"/>
        <w:rPr>
          <w:rFonts w:hint="eastAsia" w:ascii="仿宋_GB2312"/>
          <w:color w:val="auto"/>
          <w:sz w:val="32"/>
          <w:szCs w:val="32"/>
        </w:rPr>
      </w:pPr>
      <w:r>
        <w:rPr>
          <w:rFonts w:hint="default" w:ascii="仿宋_GB2312"/>
          <w:color w:val="auto"/>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3F640627">
      <w:pPr>
        <w:pStyle w:val="21"/>
        <w:numPr>
          <w:ilvl w:val="0"/>
          <w:numId w:val="9"/>
        </w:numPr>
        <w:spacing w:line="600" w:lineRule="exact"/>
        <w:ind w:left="0" w:leftChars="0" w:firstLine="643" w:firstLineChars="200"/>
        <w:rPr>
          <w:rFonts w:hint="default" w:ascii="仿宋_GB2312"/>
          <w:b/>
          <w:bCs/>
          <w:color w:val="auto"/>
          <w:sz w:val="32"/>
          <w:szCs w:val="32"/>
          <w:lang w:val="en-US" w:eastAsia="zh-CN"/>
        </w:rPr>
      </w:pPr>
      <w:r>
        <w:rPr>
          <w:rFonts w:hint="default" w:ascii="仿宋_GB2312"/>
          <w:b/>
          <w:bCs/>
          <w:color w:val="auto"/>
          <w:sz w:val="32"/>
          <w:szCs w:val="32"/>
          <w:lang w:val="en-US" w:eastAsia="zh-CN"/>
        </w:rPr>
        <w:t>加强业务培训，提升专业能力</w:t>
      </w:r>
    </w:p>
    <w:p w14:paraId="0DD9F042">
      <w:pPr>
        <w:pStyle w:val="21"/>
        <w:spacing w:line="600" w:lineRule="exact"/>
        <w:ind w:firstLine="640"/>
        <w:rPr>
          <w:rFonts w:hint="default" w:ascii="仿宋_GB2312"/>
          <w:color w:val="auto"/>
          <w:sz w:val="32"/>
          <w:szCs w:val="32"/>
        </w:rPr>
      </w:pPr>
      <w:r>
        <w:rPr>
          <w:rFonts w:hint="default" w:ascii="仿宋_GB2312"/>
          <w:color w:val="auto"/>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79A7B725">
      <w:pPr>
        <w:pStyle w:val="21"/>
        <w:numPr>
          <w:ilvl w:val="0"/>
          <w:numId w:val="9"/>
        </w:numPr>
        <w:spacing w:line="600" w:lineRule="exact"/>
        <w:ind w:left="0" w:leftChars="0" w:firstLine="643" w:firstLineChars="200"/>
        <w:rPr>
          <w:rFonts w:hint="default" w:ascii="仿宋_GB2312"/>
          <w:b/>
          <w:bCs/>
          <w:color w:val="auto"/>
          <w:sz w:val="32"/>
          <w:szCs w:val="32"/>
          <w:lang w:val="en-US" w:eastAsia="zh-CN"/>
        </w:rPr>
      </w:pPr>
      <w:r>
        <w:rPr>
          <w:rFonts w:hint="default" w:ascii="仿宋_GB2312"/>
          <w:b/>
          <w:bCs/>
          <w:color w:val="auto"/>
          <w:sz w:val="32"/>
          <w:szCs w:val="32"/>
          <w:lang w:val="en-US" w:eastAsia="zh-CN"/>
        </w:rPr>
        <w:t>健全管理机制，促进深度融合</w:t>
      </w:r>
    </w:p>
    <w:p w14:paraId="25DB66BF">
      <w:pPr>
        <w:pStyle w:val="21"/>
        <w:spacing w:line="600" w:lineRule="exact"/>
        <w:ind w:firstLine="640"/>
        <w:rPr>
          <w:rFonts w:hint="default" w:ascii="仿宋_GB2312"/>
          <w:color w:val="auto"/>
          <w:sz w:val="32"/>
          <w:szCs w:val="32"/>
        </w:rPr>
      </w:pPr>
      <w:r>
        <w:rPr>
          <w:rFonts w:hint="default" w:ascii="仿宋_GB2312"/>
          <w:color w:val="auto"/>
          <w:sz w:val="32"/>
          <w:szCs w:val="32"/>
        </w:rPr>
        <w:t>目前县级财政部门的预算股、资金管理股和绩效管理股之间的预算绩效业务工作缺乏紧密配合，基本处于脱节状态，必须要加强县级财政部门的预算股、资金管理股和绩效管理股</w:t>
      </w:r>
      <w:bookmarkStart w:id="19" w:name="_GoBack"/>
      <w:bookmarkEnd w:id="19"/>
      <w:r>
        <w:rPr>
          <w:rFonts w:hint="default" w:ascii="仿宋_GB2312"/>
          <w:color w:val="auto"/>
          <w:sz w:val="32"/>
          <w:szCs w:val="32"/>
        </w:rPr>
        <w:t>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039C6733">
      <w:pPr>
        <w:pStyle w:val="3"/>
        <w:spacing w:line="600" w:lineRule="exact"/>
        <w:ind w:firstLine="640"/>
        <w:rPr>
          <w:color w:val="auto"/>
          <w:szCs w:val="32"/>
        </w:rPr>
      </w:pPr>
      <w:r>
        <w:rPr>
          <w:rFonts w:hint="eastAsia"/>
          <w:color w:val="auto"/>
          <w:szCs w:val="32"/>
        </w:rPr>
        <w:t>八、其他需要说明的问题</w:t>
      </w:r>
    </w:p>
    <w:p w14:paraId="2D583B05">
      <w:pPr>
        <w:pStyle w:val="21"/>
        <w:spacing w:line="600" w:lineRule="exact"/>
        <w:ind w:firstLine="624"/>
        <w:rPr>
          <w:rFonts w:hint="eastAsia" w:ascii="仿宋_GB2312"/>
          <w:color w:val="auto"/>
          <w:sz w:val="32"/>
          <w:szCs w:val="32"/>
        </w:rPr>
      </w:pPr>
      <w:r>
        <w:rPr>
          <w:rFonts w:hint="eastAsia"/>
          <w:color w:val="auto"/>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A00002BF" w:usb1="38CF7CFA"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08F66">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1E12971A">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1E12971A">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F1A5B">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40D83">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58599">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7855F">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BCD1C">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A636987A"/>
    <w:multiLevelType w:val="singleLevel"/>
    <w:tmpl w:val="A636987A"/>
    <w:lvl w:ilvl="0" w:tentative="0">
      <w:start w:val="1"/>
      <w:numFmt w:val="decimal"/>
      <w:lvlText w:val="%1."/>
      <w:lvlJc w:val="left"/>
      <w:pPr>
        <w:tabs>
          <w:tab w:val="left" w:pos="312"/>
        </w:tabs>
      </w:pPr>
    </w:lvl>
  </w:abstractNum>
  <w:abstractNum w:abstractNumId="3">
    <w:nsid w:val="EF96AD33"/>
    <w:multiLevelType w:val="singleLevel"/>
    <w:tmpl w:val="EF96AD33"/>
    <w:lvl w:ilvl="0" w:tentative="0">
      <w:start w:val="5"/>
      <w:numFmt w:val="decimal"/>
      <w:lvlText w:val="%1."/>
      <w:lvlJc w:val="left"/>
      <w:pPr>
        <w:tabs>
          <w:tab w:val="left" w:pos="312"/>
        </w:tabs>
      </w:pPr>
    </w:lvl>
  </w:abstractNum>
  <w:abstractNum w:abstractNumId="4">
    <w:nsid w:val="F8E64B2D"/>
    <w:multiLevelType w:val="singleLevel"/>
    <w:tmpl w:val="F8E64B2D"/>
    <w:lvl w:ilvl="0" w:tentative="0">
      <w:start w:val="3"/>
      <w:numFmt w:val="chineseCounting"/>
      <w:suff w:val="nothing"/>
      <w:lvlText w:val="%1、"/>
      <w:lvlJc w:val="left"/>
      <w:rPr>
        <w:rFonts w:hint="eastAsia"/>
      </w:rPr>
    </w:lvl>
  </w:abstractNum>
  <w:abstractNum w:abstractNumId="5">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6">
    <w:nsid w:val="298FCEC7"/>
    <w:multiLevelType w:val="singleLevel"/>
    <w:tmpl w:val="298FCEC7"/>
    <w:lvl w:ilvl="0" w:tentative="0">
      <w:start w:val="1"/>
      <w:numFmt w:val="decimal"/>
      <w:lvlText w:val="%1."/>
      <w:lvlJc w:val="left"/>
      <w:pPr>
        <w:tabs>
          <w:tab w:val="left" w:pos="312"/>
        </w:tabs>
      </w:pPr>
    </w:lvl>
  </w:abstractNum>
  <w:abstractNum w:abstractNumId="7">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166511E"/>
    <w:multiLevelType w:val="singleLevel"/>
    <w:tmpl w:val="4166511E"/>
    <w:lvl w:ilvl="0" w:tentative="0">
      <w:start w:val="1"/>
      <w:numFmt w:val="chineseCounting"/>
      <w:suff w:val="nothing"/>
      <w:lvlText w:val="（%1）"/>
      <w:lvlJc w:val="left"/>
      <w:rPr>
        <w:rFonts w:hint="eastAsia"/>
      </w:rPr>
    </w:lvl>
  </w:abstractNum>
  <w:num w:numId="1">
    <w:abstractNumId w:val="7"/>
  </w:num>
  <w:num w:numId="2">
    <w:abstractNumId w:val="0"/>
  </w:num>
  <w:num w:numId="3">
    <w:abstractNumId w:val="6"/>
  </w:num>
  <w:num w:numId="4">
    <w:abstractNumId w:val="1"/>
  </w:num>
  <w:num w:numId="5">
    <w:abstractNumId w:val="5"/>
  </w:num>
  <w:num w:numId="6">
    <w:abstractNumId w:val="4"/>
  </w:num>
  <w:num w:numId="7">
    <w:abstractNumId w:val="2"/>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19"/>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1ZjY5MTFjMDc4YjFjZTUwN2JkNWZlMDFjZGZiMWM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B7ADB"/>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374721D"/>
    <w:rsid w:val="04852FD3"/>
    <w:rsid w:val="069E49D8"/>
    <w:rsid w:val="08233A13"/>
    <w:rsid w:val="0CC16BA7"/>
    <w:rsid w:val="12F1313F"/>
    <w:rsid w:val="12F605AB"/>
    <w:rsid w:val="14F106AF"/>
    <w:rsid w:val="17D23921"/>
    <w:rsid w:val="1C683857"/>
    <w:rsid w:val="1D1A544D"/>
    <w:rsid w:val="245E1E24"/>
    <w:rsid w:val="2B657786"/>
    <w:rsid w:val="2E483E7E"/>
    <w:rsid w:val="2FAC50E9"/>
    <w:rsid w:val="2FF22A22"/>
    <w:rsid w:val="30160371"/>
    <w:rsid w:val="31B25915"/>
    <w:rsid w:val="31D76747"/>
    <w:rsid w:val="33944516"/>
    <w:rsid w:val="339C771F"/>
    <w:rsid w:val="347A12AD"/>
    <w:rsid w:val="36863F80"/>
    <w:rsid w:val="39CF5FE7"/>
    <w:rsid w:val="3BCA25FE"/>
    <w:rsid w:val="3E2D1506"/>
    <w:rsid w:val="49A75425"/>
    <w:rsid w:val="4A26781D"/>
    <w:rsid w:val="4CA557AB"/>
    <w:rsid w:val="510F0ECA"/>
    <w:rsid w:val="5B4D673E"/>
    <w:rsid w:val="5D7317A1"/>
    <w:rsid w:val="5EDF9208"/>
    <w:rsid w:val="5FAFB075"/>
    <w:rsid w:val="636800D9"/>
    <w:rsid w:val="63BA3002"/>
    <w:rsid w:val="64671ACB"/>
    <w:rsid w:val="68291A1A"/>
    <w:rsid w:val="691702F9"/>
    <w:rsid w:val="691B1594"/>
    <w:rsid w:val="6ED111FD"/>
    <w:rsid w:val="6EFD1B9C"/>
    <w:rsid w:val="6F0D6C22"/>
    <w:rsid w:val="6FD35114"/>
    <w:rsid w:val="6FE70C15"/>
    <w:rsid w:val="6FF38B9B"/>
    <w:rsid w:val="71322B5C"/>
    <w:rsid w:val="73D9A77D"/>
    <w:rsid w:val="73F90A54"/>
    <w:rsid w:val="7657F55C"/>
    <w:rsid w:val="76D2301A"/>
    <w:rsid w:val="77861774"/>
    <w:rsid w:val="77978BBA"/>
    <w:rsid w:val="77FD56A3"/>
    <w:rsid w:val="786D3A99"/>
    <w:rsid w:val="78E2065E"/>
    <w:rsid w:val="79300B45"/>
    <w:rsid w:val="7AFFA044"/>
    <w:rsid w:val="7C55A6FE"/>
    <w:rsid w:val="7C7F22A6"/>
    <w:rsid w:val="7EF7BC1E"/>
    <w:rsid w:val="7F256126"/>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1670</Words>
  <Characters>1831</Characters>
  <Lines>62</Lines>
  <Paragraphs>17</Paragraphs>
  <TotalTime>56</TotalTime>
  <ScaleCrop>false</ScaleCrop>
  <LinksUpToDate>false</LinksUpToDate>
  <CharactersWithSpaces>1837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放任时光飞逝</cp:lastModifiedBy>
  <cp:lastPrinted>2024-04-30T04:13:00Z</cp:lastPrinted>
  <dcterms:modified xsi:type="dcterms:W3CDTF">2024-11-08T10:07:01Z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235B44973DA9A7007EC2D165511795CE_42</vt:lpwstr>
  </property>
</Properties>
</file>