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76EC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521C7C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B1BDC4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沙湾市发展和改革委员会</w:t>
      </w:r>
    </w:p>
    <w:p w14:paraId="354F900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9E27EC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096D2A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E66EA4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17484F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46E10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8865A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BCC2AF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3FE0F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08AB38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534974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50093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F4D5D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47F9A2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76467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F9572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61A9E73">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67DD5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0C1400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0009D4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1403BB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F1C58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FBAC5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8DA49A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231C44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10BA9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A7A961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8896C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4EE9CE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91716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A0F7F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59E7E2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8C9CC5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46B3D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65E6BC0">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D067E09">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6306A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0D68A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E4AF3C0">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bookmarkStart w:id="4" w:name="_Toc31238"/>
      <w:bookmarkStart w:id="5" w:name="_Toc2151"/>
      <w:r>
        <w:rPr>
          <w:rFonts w:hint="eastAsia" w:ascii="仿宋_GB2312" w:hAnsi="黑体" w:eastAsia="仿宋_GB2312" w:cs="宋体"/>
          <w:bCs/>
          <w:color w:val="auto"/>
          <w:kern w:val="0"/>
          <w:sz w:val="32"/>
          <w:szCs w:val="32"/>
          <w:highlight w:val="none"/>
        </w:rPr>
        <w:t>（1）编制国民经济和社会发展计划；</w:t>
      </w:r>
    </w:p>
    <w:p w14:paraId="2DBA5B1A">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（2）各种规划和专项规划编制；</w:t>
      </w:r>
    </w:p>
    <w:p w14:paraId="4EBDB85D">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（3）项目前期、项目争列、招商引资；</w:t>
      </w:r>
    </w:p>
    <w:p w14:paraId="7C37413C">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（4）价格监督检查、成本监审；</w:t>
      </w:r>
    </w:p>
    <w:p w14:paraId="26CC44F2">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（5）粮食监督检查、粮食宏观调控、储备、流通；</w:t>
      </w:r>
    </w:p>
    <w:p w14:paraId="45395E0A">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（6）综合体制改革工作；</w:t>
      </w:r>
    </w:p>
    <w:p w14:paraId="5C206300">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（7）国民经济动员、节能减排工作；</w:t>
      </w:r>
    </w:p>
    <w:p w14:paraId="08B8E1D6">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（8）农村经济动态监测；</w:t>
      </w:r>
    </w:p>
    <w:p w14:paraId="33CD4642">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（9）粮食物资储备；</w:t>
      </w:r>
    </w:p>
    <w:p w14:paraId="58E61719">
      <w:pPr>
        <w:keepNext w:val="0"/>
        <w:keepLines w:val="0"/>
        <w:pageBreakBefore w:val="0"/>
        <w:widowControl/>
        <w:kinsoku/>
        <w:wordWrap/>
        <w:overflowPunct/>
        <w:topLinePunct w:val="0"/>
        <w:autoSpaceDE/>
        <w:autoSpaceDN/>
        <w:bidi w:val="0"/>
        <w:adjustRightInd/>
        <w:snapToGrid/>
        <w:spacing w:line="600" w:lineRule="exact"/>
        <w:ind w:firstLine="640"/>
        <w:jc w:val="left"/>
        <w:textAlignment w:val="auto"/>
        <w:rPr>
          <w:rFonts w:hint="eastAsia" w:ascii="仿宋_GB2312" w:eastAsia="仿宋_GB2312"/>
          <w:color w:val="auto"/>
          <w:sz w:val="32"/>
          <w:szCs w:val="32"/>
          <w:highlight w:val="none"/>
        </w:rPr>
      </w:pPr>
      <w:r>
        <w:rPr>
          <w:rFonts w:hint="eastAsia" w:ascii="仿宋_GB2312" w:hAnsi="黑体" w:eastAsia="仿宋_GB2312" w:cs="宋体"/>
          <w:bCs/>
          <w:color w:val="auto"/>
          <w:kern w:val="0"/>
          <w:sz w:val="32"/>
          <w:szCs w:val="32"/>
          <w:highlight w:val="none"/>
        </w:rPr>
        <w:t>（10）援疆项目；</w:t>
      </w:r>
    </w:p>
    <w:p w14:paraId="1B72CCCE">
      <w:pPr>
        <w:keepNext w:val="0"/>
        <w:keepLines w:val="0"/>
        <w:pageBreakBefore w:val="0"/>
        <w:widowControl w:val="0"/>
        <w:kinsoku/>
        <w:wordWrap/>
        <w:overflowPunct/>
        <w:topLinePunct w:val="0"/>
        <w:adjustRightInd/>
        <w:snapToGrid/>
        <w:spacing w:line="240" w:lineRule="auto"/>
        <w:ind w:left="638" w:leftChars="304" w:firstLine="0" w:firstLineChars="0"/>
        <w:jc w:val="both"/>
        <w:textAlignment w:val="auto"/>
        <w:rPr>
          <w:rFonts w:hint="eastAsia" w:ascii="黑体" w:hAnsi="黑体" w:eastAsia="黑体" w:cs="宋体"/>
          <w:bCs/>
          <w:color w:val="auto"/>
          <w:kern w:val="0"/>
          <w:sz w:val="32"/>
          <w:szCs w:val="32"/>
          <w:highlight w:val="none"/>
          <w:lang w:val="en-US"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）完成市委、</w:t>
      </w:r>
      <w:r>
        <w:rPr>
          <w:rFonts w:hint="eastAsia" w:ascii="仿宋_GB2312" w:eastAsia="仿宋_GB2312"/>
          <w:color w:val="auto"/>
          <w:sz w:val="32"/>
          <w:szCs w:val="32"/>
          <w:highlight w:val="none"/>
          <w:lang w:eastAsia="zh-CN"/>
        </w:rPr>
        <w:t>市</w:t>
      </w:r>
      <w:r>
        <w:rPr>
          <w:rFonts w:hint="eastAsia" w:ascii="仿宋_GB2312" w:eastAsia="仿宋_GB2312"/>
          <w:color w:val="auto"/>
          <w:sz w:val="32"/>
          <w:szCs w:val="32"/>
          <w:highlight w:val="none"/>
        </w:rPr>
        <w:t>政府交办的其他任务。</w:t>
      </w:r>
    </w:p>
    <w:p w14:paraId="35F409AD">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03EE5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lang w:val="en-US" w:eastAsia="zh-CN"/>
        </w:rPr>
        <w:t>沙湾市发展和改革委员会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38</w:t>
      </w:r>
      <w:r>
        <w:rPr>
          <w:rFonts w:hint="eastAsia" w:ascii="仿宋_GB2312" w:eastAsia="仿宋_GB2312"/>
          <w:color w:val="auto"/>
          <w:sz w:val="32"/>
          <w:szCs w:val="32"/>
          <w:highlight w:val="none"/>
        </w:rPr>
        <w:t>人。</w:t>
      </w:r>
    </w:p>
    <w:p w14:paraId="61A6A556">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单位无下属预算单位，下设7个处室，分别是：沙湾市重点项目服务中心、沙湾市价格成本监审中心、沙湾市“一带一路”建设服务中心、沙湾市能源安全技术服务中心、沙湾市粮食监督检查大队 、沙湾市对口援疆工作协调领导小组办公室、沙湾市价格认证中心。</w:t>
      </w:r>
    </w:p>
    <w:p w14:paraId="248BDB7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4E4BFF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074350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64A5DF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1,028.98万元，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1,028.98万元，使用非财政拨款结余0.00万元，年初结转和结余0.00万元。</w:t>
      </w:r>
    </w:p>
    <w:p w14:paraId="6B1651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1,028.98万元，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1,028.98万元，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518D0E4">
      <w:pPr>
        <w:snapToGrid w:val="0"/>
        <w:spacing w:line="520" w:lineRule="exact"/>
        <w:ind w:firstLine="640" w:firstLineChars="200"/>
        <w:rPr>
          <w:rFonts w:hint="eastAsia" w:ascii="仿宋_GB2312" w:hAnsi="仿宋"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增加54.98万元</w:t>
      </w:r>
      <w:r>
        <w:rPr>
          <w:rFonts w:hint="eastAsia" w:ascii="仿宋_GB2312" w:eastAsia="仿宋_GB2312"/>
          <w:color w:val="auto"/>
          <w:spacing w:val="0"/>
          <w:sz w:val="32"/>
          <w:szCs w:val="32"/>
          <w:highlight w:val="none"/>
          <w:lang w:eastAsia="zh-CN"/>
        </w:rPr>
        <w:t>，增长5.64%，主要原因是：</w:t>
      </w:r>
      <w:r>
        <w:rPr>
          <w:rFonts w:hint="eastAsia" w:ascii="仿宋_GB2312" w:hAnsi="仿宋" w:eastAsia="仿宋_GB2312"/>
          <w:color w:val="auto"/>
          <w:sz w:val="32"/>
          <w:szCs w:val="32"/>
          <w:highlight w:val="none"/>
          <w:lang w:val="en-US" w:eastAsia="zh-CN"/>
        </w:rPr>
        <w:t>2023年发改委项目资金有所增加，发改委事业编制人员新调入1人，人员类支出增加</w:t>
      </w:r>
      <w:r>
        <w:rPr>
          <w:rFonts w:hint="eastAsia" w:ascii="仿宋_GB2312" w:hAnsi="仿宋" w:eastAsia="仿宋_GB2312" w:cs="仿宋"/>
          <w:color w:val="auto"/>
          <w:sz w:val="32"/>
          <w:szCs w:val="32"/>
          <w:highlight w:val="none"/>
          <w:lang w:val="en-US" w:eastAsia="zh-CN"/>
        </w:rPr>
        <w:t>。</w:t>
      </w:r>
    </w:p>
    <w:p w14:paraId="262CCC1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8690C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1,028.98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1,022.28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99.35%</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6.70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0.65%</w:t>
      </w:r>
      <w:r>
        <w:rPr>
          <w:rFonts w:hint="eastAsia" w:ascii="仿宋_GB2312" w:eastAsia="仿宋_GB2312"/>
          <w:color w:val="auto"/>
          <w:sz w:val="32"/>
          <w:szCs w:val="32"/>
          <w:highlight w:val="none"/>
        </w:rPr>
        <w:t>。</w:t>
      </w:r>
    </w:p>
    <w:p w14:paraId="756B40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3F53DEA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本年支出1,028.98万元，其中：基本支出897.27万元，占87.20%；项目支出131.70万元，占12.80%；上缴上级支出0.00万元，占0.00%；经营支出0.00万元，占0.00%；对附属单位补助支出0.00万元，占0.00%。</w:t>
      </w:r>
    </w:p>
    <w:p w14:paraId="0E5798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97FDB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1,022.28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1,022.28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1,022.28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1,022.28</w:t>
      </w:r>
      <w:r>
        <w:rPr>
          <w:rFonts w:hint="eastAsia" w:ascii="仿宋_GB2312" w:eastAsia="仿宋_GB2312"/>
          <w:color w:val="auto"/>
          <w:spacing w:val="0"/>
          <w:sz w:val="32"/>
          <w:szCs w:val="32"/>
          <w:highlight w:val="none"/>
          <w:lang w:eastAsia="zh-CN"/>
        </w:rPr>
        <w:t>万元。</w:t>
      </w:r>
    </w:p>
    <w:p w14:paraId="6316EF99">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增加48.28万元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增长4.96%,</w:t>
      </w:r>
      <w:r>
        <w:rPr>
          <w:rFonts w:hint="eastAsia" w:ascii="仿宋_GB2312" w:eastAsia="仿宋_GB2312"/>
          <w:color w:val="auto"/>
          <w:spacing w:val="0"/>
          <w:sz w:val="32"/>
          <w:szCs w:val="32"/>
          <w:highlight w:val="none"/>
          <w:lang w:eastAsia="zh-CN"/>
        </w:rPr>
        <w:t>主要原因是：</w:t>
      </w:r>
      <w:r>
        <w:rPr>
          <w:rFonts w:hint="eastAsia" w:ascii="仿宋" w:hAnsi="仿宋" w:eastAsia="仿宋" w:cs="仿宋"/>
          <w:color w:val="auto"/>
          <w:sz w:val="32"/>
          <w:szCs w:val="32"/>
          <w:highlight w:val="none"/>
          <w:lang w:val="en-US" w:eastAsia="zh-CN"/>
        </w:rPr>
        <w:t>2023年人员新增1人；</w:t>
      </w:r>
      <w:r>
        <w:rPr>
          <w:rFonts w:hint="eastAsia" w:ascii="仿宋_GB2312" w:hAnsi="仿宋_GB2312" w:eastAsia="仿宋_GB2312" w:cs="仿宋_GB2312"/>
          <w:color w:val="auto"/>
          <w:kern w:val="0"/>
          <w:sz w:val="32"/>
          <w:szCs w:val="32"/>
          <w:highlight w:val="none"/>
        </w:rPr>
        <w:t>在职人员调增基本工资、绩效及地方津贴</w:t>
      </w:r>
      <w:r>
        <w:rPr>
          <w:rFonts w:hint="eastAsia" w:ascii="仿宋" w:hAnsi="仿宋" w:eastAsia="仿宋" w:cs="仿宋"/>
          <w:color w:val="auto"/>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2,943.52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1,022.28</w:t>
      </w:r>
      <w:r>
        <w:rPr>
          <w:rFonts w:hint="eastAsia" w:ascii="仿宋_GB2312" w:eastAsia="仿宋_GB2312"/>
          <w:color w:val="auto"/>
          <w:spacing w:val="0"/>
          <w:sz w:val="32"/>
          <w:szCs w:val="32"/>
          <w:highlight w:val="none"/>
          <w:lang w:eastAsia="zh-CN"/>
        </w:rPr>
        <w:t>万元，预决算差异率-65.27%，主要原因是：</w:t>
      </w:r>
      <w:r>
        <w:rPr>
          <w:rFonts w:hint="eastAsia" w:ascii="仿宋_GB2312" w:hAnsi="仿宋" w:eastAsia="仿宋_GB2312"/>
          <w:color w:val="auto"/>
          <w:sz w:val="32"/>
          <w:szCs w:val="32"/>
          <w:highlight w:val="none"/>
          <w:lang w:val="en-US" w:eastAsia="zh-CN"/>
        </w:rPr>
        <w:t>2023年度发改委决算收入中有6个项目，其中沙湾市项目前期费2000万元，未全部支付完</w:t>
      </w:r>
      <w:r>
        <w:rPr>
          <w:rFonts w:hint="eastAsia" w:ascii="仿宋_GB2312" w:eastAsia="仿宋_GB2312"/>
          <w:color w:val="auto"/>
          <w:spacing w:val="0"/>
          <w:sz w:val="32"/>
          <w:szCs w:val="32"/>
          <w:highlight w:val="none"/>
          <w:lang w:eastAsia="zh-CN"/>
        </w:rPr>
        <w:t>。</w:t>
      </w:r>
    </w:p>
    <w:p w14:paraId="7DA1E3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602DD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1F4E38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2023年度一般公共预算财政拨款支出1,022.28万元，占本年支出合计的</w:t>
      </w:r>
      <w:r>
        <w:rPr>
          <w:rFonts w:hint="eastAsia" w:ascii="仿宋_GB2312" w:eastAsia="仿宋_GB2312"/>
          <w:color w:val="auto"/>
          <w:spacing w:val="0"/>
          <w:sz w:val="32"/>
          <w:szCs w:val="32"/>
          <w:highlight w:val="none"/>
          <w:lang w:val="zh-CN" w:eastAsia="zh-CN"/>
        </w:rPr>
        <w:t>99.35%</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增加48.28万元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增长4.96%,</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kern w:val="0"/>
          <w:sz w:val="32"/>
          <w:szCs w:val="32"/>
          <w:highlight w:val="none"/>
        </w:rPr>
        <w:t>增加人员1人，在职人员调增基本工资、绩效及地方津贴</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2,943.52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1,022.28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-65.27%</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olor w:val="auto"/>
          <w:sz w:val="32"/>
          <w:szCs w:val="32"/>
          <w:highlight w:val="none"/>
          <w:lang w:val="en-US" w:eastAsia="zh-CN"/>
        </w:rPr>
        <w:t>2023年度发改委决算收入中有6个项目，其中沙湾市项目前期费2000万元，未全部支付完</w:t>
      </w:r>
      <w:r>
        <w:rPr>
          <w:rFonts w:hint="eastAsia" w:ascii="仿宋_GB2312" w:eastAsia="仿宋_GB2312"/>
          <w:color w:val="auto"/>
          <w:spacing w:val="0"/>
          <w:sz w:val="32"/>
          <w:szCs w:val="32"/>
          <w:highlight w:val="none"/>
          <w:lang w:eastAsia="zh-CN"/>
        </w:rPr>
        <w:t>。</w:t>
      </w:r>
    </w:p>
    <w:p w14:paraId="216C699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5FDD8E1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729.81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71.39%</w:t>
      </w:r>
      <w:r>
        <w:rPr>
          <w:rFonts w:hint="default" w:ascii="仿宋_GB2312" w:hAnsi="Times New Roman" w:eastAsia="仿宋_GB2312" w:cs="Times New Roman"/>
          <w:color w:val="auto"/>
          <w:spacing w:val="0"/>
          <w:kern w:val="2"/>
          <w:sz w:val="32"/>
          <w:szCs w:val="32"/>
          <w:highlight w:val="none"/>
          <w:lang w:val="zh-CN" w:eastAsia="zh-CN" w:bidi="ar-SA"/>
        </w:rPr>
        <w:t>；</w:t>
      </w:r>
    </w:p>
    <w:p w14:paraId="2430B51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103.22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10.10%</w:t>
      </w:r>
      <w:r>
        <w:rPr>
          <w:rFonts w:hint="default" w:ascii="仿宋_GB2312" w:hAnsi="Times New Roman" w:eastAsia="仿宋_GB2312" w:cs="Times New Roman"/>
          <w:color w:val="auto"/>
          <w:spacing w:val="0"/>
          <w:kern w:val="2"/>
          <w:sz w:val="32"/>
          <w:szCs w:val="32"/>
          <w:highlight w:val="none"/>
          <w:lang w:val="zh-CN" w:eastAsia="zh-CN" w:bidi="ar-SA"/>
        </w:rPr>
        <w:t>；</w:t>
      </w:r>
    </w:p>
    <w:p w14:paraId="7FFA32B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35.80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3.50%</w:t>
      </w:r>
      <w:r>
        <w:rPr>
          <w:rFonts w:hint="default" w:ascii="仿宋_GB2312" w:hAnsi="Times New Roman" w:eastAsia="仿宋_GB2312" w:cs="Times New Roman"/>
          <w:color w:val="auto"/>
          <w:spacing w:val="0"/>
          <w:kern w:val="2"/>
          <w:sz w:val="32"/>
          <w:szCs w:val="32"/>
          <w:highlight w:val="none"/>
          <w:lang w:val="zh-CN" w:eastAsia="zh-CN" w:bidi="ar-SA"/>
        </w:rPr>
        <w:t>；</w:t>
      </w:r>
    </w:p>
    <w:p w14:paraId="3C494BD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53.40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5.22%</w:t>
      </w:r>
      <w:r>
        <w:rPr>
          <w:rFonts w:hint="default" w:ascii="仿宋_GB2312" w:hAnsi="Times New Roman" w:eastAsia="仿宋_GB2312" w:cs="Times New Roman"/>
          <w:color w:val="auto"/>
          <w:spacing w:val="0"/>
          <w:kern w:val="2"/>
          <w:sz w:val="32"/>
          <w:szCs w:val="32"/>
          <w:highlight w:val="none"/>
          <w:lang w:val="zh-CN" w:eastAsia="zh-CN" w:bidi="ar-SA"/>
        </w:rPr>
        <w:t>；</w:t>
      </w:r>
    </w:p>
    <w:p w14:paraId="7C6ADF1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.粮油物资储备支出（类）</w:t>
      </w:r>
      <w:r>
        <w:rPr>
          <w:rFonts w:hint="eastAsia" w:ascii="仿宋_GB2312" w:hAnsi="Times New Roman" w:eastAsia="仿宋_GB2312" w:cs="Times New Roman"/>
          <w:color w:val="auto"/>
          <w:spacing w:val="0"/>
          <w:kern w:val="2"/>
          <w:sz w:val="32"/>
          <w:szCs w:val="32"/>
          <w:highlight w:val="none"/>
          <w:lang w:val="zh-CN" w:eastAsia="zh-CN" w:bidi="ar-SA"/>
        </w:rPr>
        <w:t>88.37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8.64%</w:t>
      </w:r>
      <w:r>
        <w:rPr>
          <w:rFonts w:hint="default" w:ascii="仿宋_GB2312" w:hAnsi="Times New Roman" w:eastAsia="仿宋_GB2312" w:cs="Times New Roman"/>
          <w:color w:val="auto"/>
          <w:spacing w:val="0"/>
          <w:kern w:val="2"/>
          <w:sz w:val="32"/>
          <w:szCs w:val="32"/>
          <w:highlight w:val="none"/>
          <w:lang w:val="zh-CN" w:eastAsia="zh-CN" w:bidi="ar-SA"/>
        </w:rPr>
        <w:t>；</w:t>
      </w:r>
    </w:p>
    <w:p w14:paraId="37A3A85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灾</w:t>
      </w:r>
      <w:r>
        <w:rPr>
          <w:rFonts w:hint="default" w:ascii="仿宋_GB2312" w:hAnsi="Times New Roman" w:eastAsia="仿宋_GB2312" w:cs="Times New Roman"/>
          <w:color w:val="auto"/>
          <w:spacing w:val="0"/>
          <w:kern w:val="2"/>
          <w:sz w:val="32"/>
          <w:szCs w:val="32"/>
          <w:highlight w:val="none"/>
          <w:lang w:val="zh-CN" w:eastAsia="zh-CN" w:bidi="ar-SA"/>
        </w:rPr>
        <w:t>害防治及应急管理支出（类）</w:t>
      </w:r>
      <w:r>
        <w:rPr>
          <w:rFonts w:hint="eastAsia" w:ascii="仿宋_GB2312" w:hAnsi="Times New Roman" w:eastAsia="仿宋_GB2312" w:cs="Times New Roman"/>
          <w:color w:val="auto"/>
          <w:spacing w:val="0"/>
          <w:kern w:val="2"/>
          <w:sz w:val="32"/>
          <w:szCs w:val="32"/>
          <w:highlight w:val="none"/>
          <w:lang w:val="zh-CN" w:eastAsia="zh-CN" w:bidi="ar-SA"/>
        </w:rPr>
        <w:t>2.35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0.23%</w:t>
      </w:r>
      <w:r>
        <w:rPr>
          <w:rFonts w:hint="default" w:ascii="仿宋_GB2312" w:hAnsi="Times New Roman" w:eastAsia="仿宋_GB2312" w:cs="Times New Roman"/>
          <w:color w:val="auto"/>
          <w:spacing w:val="0"/>
          <w:kern w:val="2"/>
          <w:sz w:val="32"/>
          <w:szCs w:val="32"/>
          <w:highlight w:val="none"/>
          <w:lang w:val="zh-CN" w:eastAsia="zh-CN" w:bidi="ar-SA"/>
        </w:rPr>
        <w:t>；</w:t>
      </w:r>
    </w:p>
    <w:p w14:paraId="74B273C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9.33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0.91%</w:t>
      </w:r>
      <w:r>
        <w:rPr>
          <w:rFonts w:hint="default" w:ascii="仿宋_GB2312" w:hAnsi="Times New Roman" w:eastAsia="仿宋_GB2312" w:cs="Times New Roman"/>
          <w:color w:val="auto"/>
          <w:spacing w:val="0"/>
          <w:kern w:val="2"/>
          <w:sz w:val="32"/>
          <w:szCs w:val="32"/>
          <w:highlight w:val="none"/>
          <w:lang w:val="zh-CN" w:eastAsia="zh-CN" w:bidi="ar-SA"/>
        </w:rPr>
        <w:t>；</w:t>
      </w:r>
    </w:p>
    <w:p w14:paraId="006E9D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7673F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1.卫生健康支出（类）行政事业单位医疗（款）行政单位医疗（项）:支出决算数为14.27万元，比上年决算减少16.97万元，下降54.32%，主要原因是：根据要求以前年度退休人员行政单位医疗不再缴纳。</w:t>
      </w:r>
    </w:p>
    <w:p w14:paraId="3A5F10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2.卫生健康支出（类）行政事业单位医疗（款）事业单位医疗（项）:支出决算数为15.13万元，比上年决算减少2.53万元，下降14.33%，主要原因是：：根据要求以前年度退休人员事业单位医疗不再缴纳。</w:t>
      </w:r>
    </w:p>
    <w:p w14:paraId="0ABC63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3.卫生健康支出（类）行政事业单位医疗（款）公务员医疗补助（项）:支出决算数为6.41万元，比上年决算减少7.78万元，下降54.83%，主要原因是：根据要求以前年度退休人员公务员医疗补助不再缴纳。</w:t>
      </w:r>
    </w:p>
    <w:p w14:paraId="1A64C0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4.住房保障支出（类）住房改革支出（款）住房公积金（项）:支出决算数为53.40万元，比上年决算增加0.33万元，增长0.62%，主要原因是：</w:t>
      </w:r>
      <w:r>
        <w:rPr>
          <w:rFonts w:hint="eastAsia" w:ascii="仿宋_GB2312" w:hAnsi="仿宋_GB2312" w:eastAsia="仿宋_GB2312" w:cs="仿宋_GB2312"/>
          <w:color w:val="auto"/>
          <w:kern w:val="0"/>
          <w:sz w:val="32"/>
          <w:szCs w:val="32"/>
          <w:highlight w:val="none"/>
        </w:rPr>
        <w:t>增加人员1人，</w:t>
      </w:r>
      <w:r>
        <w:rPr>
          <w:rFonts w:hint="eastAsia" w:ascii="仿宋_GB2312" w:hAnsi="仿宋_GB2312" w:eastAsia="仿宋_GB2312" w:cs="仿宋_GB2312"/>
          <w:color w:val="auto"/>
          <w:kern w:val="0"/>
          <w:sz w:val="32"/>
          <w:szCs w:val="32"/>
          <w:highlight w:val="none"/>
          <w:lang w:eastAsia="zh-CN"/>
        </w:rPr>
        <w:t>住房公积金增加</w:t>
      </w:r>
      <w:r>
        <w:rPr>
          <w:rFonts w:hint="eastAsia" w:ascii="仿宋_GB2312" w:hAnsi="仿宋_GB2312" w:eastAsia="仿宋_GB2312" w:cs="仿宋_GB2312"/>
          <w:color w:val="auto"/>
          <w:kern w:val="2"/>
          <w:sz w:val="32"/>
          <w:szCs w:val="32"/>
          <w:highlight w:val="none"/>
          <w:lang w:val="zh-CN" w:eastAsia="zh-CN" w:bidi="ar-SA"/>
        </w:rPr>
        <w:t>。</w:t>
      </w:r>
    </w:p>
    <w:p w14:paraId="580F79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灾害防治及应急管理支出（类）应急管理事务（款）其他应急管理支出（项）:支出决算数为2.35万元，比上年决算减少17.65万元，下降88.25%，主要原因是：2022年按照要求紧急采购应急物资，2023年度未采购应急物资</w:t>
      </w:r>
      <w:r>
        <w:rPr>
          <w:rFonts w:hint="eastAsia" w:ascii="仿宋_GB2312" w:hAnsi="仿宋_GB2312" w:eastAsia="仿宋_GB2312" w:cs="仿宋_GB2312"/>
          <w:color w:val="auto"/>
          <w:kern w:val="2"/>
          <w:sz w:val="32"/>
          <w:szCs w:val="32"/>
          <w:highlight w:val="none"/>
          <w:lang w:val="zh-CN" w:eastAsia="zh-CN" w:bidi="ar-SA"/>
        </w:rPr>
        <w:t>。</w:t>
      </w:r>
    </w:p>
    <w:p w14:paraId="7AB519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2.02万元，比上年决算增加0.71万元，增长54.20%，主要原因是：本年年度新增事业退休人员1名，行政单位离退休（项）增加</w:t>
      </w:r>
      <w:r>
        <w:rPr>
          <w:rFonts w:hint="eastAsia" w:ascii="仿宋_GB2312" w:hAnsi="仿宋_GB2312" w:eastAsia="仿宋_GB2312" w:cs="仿宋_GB2312"/>
          <w:color w:val="auto"/>
          <w:kern w:val="2"/>
          <w:sz w:val="32"/>
          <w:szCs w:val="32"/>
          <w:highlight w:val="none"/>
          <w:lang w:val="zh-CN" w:eastAsia="zh-CN" w:bidi="ar-SA"/>
        </w:rPr>
        <w:t>。</w:t>
      </w:r>
    </w:p>
    <w:p w14:paraId="4894BE2B">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7.社会保障和就业支出（类）行政事业单位养老支出（款）行政单位离退休（项）:支出决算数为20.74万元，比上年决算增加7.89万元，增长61.40%，主要原因是：本年年度新增行政退休人员1名，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增加退休人员绩效考核奖</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auto"/>
          <w:kern w:val="2"/>
          <w:sz w:val="32"/>
          <w:szCs w:val="32"/>
          <w:highlight w:val="none"/>
          <w:lang w:val="en-US" w:eastAsia="zh-CN" w:bidi="ar-SA"/>
        </w:rPr>
        <w:t>行政单位离退休（项）增加</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 xml:space="preserve">              </w:t>
      </w:r>
    </w:p>
    <w:p w14:paraId="73D31A03">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13.16万元，比上年决算增加13.16万元，增长100%，主要原因是：本年新增退休人员2名，机关事业单位职业年金缴费支出（项）增加</w:t>
      </w:r>
      <w:r>
        <w:rPr>
          <w:rFonts w:hint="eastAsia" w:ascii="仿宋_GB2312" w:hAnsi="仿宋_GB2312" w:eastAsia="仿宋_GB2312" w:cs="仿宋_GB2312"/>
          <w:color w:val="auto"/>
          <w:kern w:val="2"/>
          <w:sz w:val="32"/>
          <w:szCs w:val="32"/>
          <w:highlight w:val="none"/>
          <w:lang w:val="zh-CN" w:eastAsia="zh-CN" w:bidi="ar-SA"/>
        </w:rPr>
        <w:t>。</w:t>
      </w:r>
    </w:p>
    <w:p w14:paraId="143A45FB">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9.社会保障和就业支出（类）行政事业单位养老支出（款）机关事业单位基本养老保险缴费支出（项）:支出决算数为67.29万元，比上年决算增加7.37万元，增长12.30%，主要原因是：</w:t>
      </w:r>
      <w:r>
        <w:rPr>
          <w:rFonts w:hint="eastAsia" w:ascii="仿宋_GB2312" w:hAnsi="仿宋_GB2312" w:eastAsia="仿宋_GB2312" w:cs="仿宋_GB2312"/>
          <w:color w:val="auto"/>
          <w:kern w:val="0"/>
          <w:sz w:val="32"/>
          <w:szCs w:val="32"/>
          <w:highlight w:val="none"/>
        </w:rPr>
        <w:t>增加人员1人，在职人员调增</w:t>
      </w:r>
      <w:r>
        <w:rPr>
          <w:rFonts w:hint="eastAsia" w:ascii="仿宋_GB2312" w:hAnsi="仿宋_GB2312" w:eastAsia="仿宋_GB2312" w:cs="仿宋_GB2312"/>
          <w:color w:val="auto"/>
          <w:kern w:val="2"/>
          <w:sz w:val="32"/>
          <w:szCs w:val="32"/>
          <w:highlight w:val="none"/>
          <w:lang w:val="en-US" w:eastAsia="zh-CN" w:bidi="ar-SA"/>
        </w:rPr>
        <w:t>机关事业单位基本养老保险缴费基数</w:t>
      </w:r>
      <w:r>
        <w:rPr>
          <w:rFonts w:hint="eastAsia" w:ascii="仿宋_GB2312" w:hAnsi="仿宋_GB2312" w:eastAsia="仿宋_GB2312" w:cs="仿宋_GB2312"/>
          <w:color w:val="auto"/>
          <w:kern w:val="2"/>
          <w:sz w:val="32"/>
          <w:szCs w:val="32"/>
          <w:highlight w:val="none"/>
          <w:lang w:val="zh-CN" w:eastAsia="zh-CN" w:bidi="ar-SA"/>
        </w:rPr>
        <w:t>。</w:t>
      </w:r>
    </w:p>
    <w:p w14:paraId="5935A34D">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发展与改革事务（款）行政运行（项）:支出决算数为414.99万元，比上年决算减少257.92万元，下降38.33%，主要原因是：2022年决算事业运行合并在行政运行中支出，2023年决算事业运行和行政运行经费，单独支出。</w:t>
      </w:r>
    </w:p>
    <w:p w14:paraId="29519F89">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11.粮油物资储备支出（类）粮油物资事务（款）其他粮油物资事务支出（项）:支出决算数为88.37万元，比上年决算增加88.37万元，增长100%，主要原因是：本年新增中央产量大县奖励金</w:t>
      </w:r>
      <w:r>
        <w:rPr>
          <w:rFonts w:hint="eastAsia" w:ascii="仿宋_GB2312" w:hAnsi="仿宋_GB2312" w:eastAsia="仿宋_GB2312" w:cs="仿宋_GB2312"/>
          <w:color w:val="auto"/>
          <w:kern w:val="2"/>
          <w:sz w:val="32"/>
          <w:szCs w:val="32"/>
          <w:highlight w:val="none"/>
          <w:lang w:val="zh-CN" w:eastAsia="zh-CN" w:bidi="ar-SA"/>
        </w:rPr>
        <w:t>。</w:t>
      </w:r>
    </w:p>
    <w:p w14:paraId="28EF93AA">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发展与改革事务（款）事业运行（项）:支出决算数为289.86万元，比上年决算增加289.86万元，增长100%，主要原因是：2022年决算事业运行合并在行政运行中支出，2023年决算事业运行和行政运行经费，单独支出。</w:t>
      </w:r>
    </w:p>
    <w:p w14:paraId="22FE3897">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一般公共服务支出（类）发展与改革事务（款）其他发展与改革事务支出（项）:支出决算数为24.96万元，比上年决算增加19.72万元，增长376.34%，主要原因是：本年新增中央产量大县奖励金、新增矿区总规项目专项业务费及招商引资</w:t>
      </w:r>
      <w:r>
        <w:rPr>
          <w:rFonts w:hint="eastAsia" w:ascii="仿宋_GB2312" w:hAnsi="仿宋_GB2312" w:eastAsia="仿宋_GB2312" w:cs="仿宋_GB2312"/>
          <w:color w:val="auto"/>
          <w:kern w:val="2"/>
          <w:sz w:val="32"/>
          <w:szCs w:val="32"/>
          <w:highlight w:val="none"/>
          <w:lang w:val="zh-CN" w:eastAsia="zh-CN" w:bidi="ar-SA"/>
        </w:rPr>
        <w:t>。</w:t>
      </w:r>
    </w:p>
    <w:p w14:paraId="43FC577A">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14.其他支出（类）其他支出（款）其他支出（项）:支出决算数为9.33万元，比上年决算减少4.76万元，下降33.78%，主要原因是：2023年为民办实事</w:t>
      </w:r>
      <w:r>
        <w:rPr>
          <w:rFonts w:hint="eastAsia" w:ascii="仿宋_GB2312" w:hAnsi="仿宋_GB2312" w:eastAsia="仿宋_GB2312" w:cs="仿宋_GB2312"/>
          <w:color w:val="auto"/>
          <w:kern w:val="2"/>
          <w:sz w:val="32"/>
          <w:szCs w:val="32"/>
          <w:highlight w:val="none"/>
          <w:lang w:val="zh-CN" w:eastAsia="zh-CN" w:bidi="ar-SA"/>
        </w:rPr>
        <w:t>项目减少。</w:t>
      </w:r>
    </w:p>
    <w:p w14:paraId="1E91BE9C">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15.粮油物资储备支出（类）粮油储备（款）储备粮油补贴（项）:支出决算数为0.00万元，比上年决算减少51.53万元，下降100%，主要原因是：</w:t>
      </w:r>
      <w:r>
        <w:rPr>
          <w:rFonts w:hint="eastAsia" w:ascii="仿宋_GB2312" w:eastAsia="仿宋_GB2312"/>
          <w:color w:val="auto"/>
          <w:sz w:val="32"/>
          <w:szCs w:val="32"/>
          <w:highlight w:val="none"/>
          <w:lang w:val="en-US" w:eastAsia="zh-CN"/>
        </w:rPr>
        <w:t>科目调整，本年不再使用此科目。</w:t>
      </w:r>
    </w:p>
    <w:p w14:paraId="38643A80">
      <w:pPr>
        <w:keepNext w:val="0"/>
        <w:keepLines w:val="0"/>
        <w:pageBreakBefore w:val="0"/>
        <w:widowControl w:val="0"/>
        <w:numPr>
          <w:ilvl w:val="0"/>
          <w:numId w:val="0"/>
        </w:numPr>
        <w:pBdr>
          <w:top w:val="none" w:color="auto" w:sz="0" w:space="0"/>
          <w:left w:val="none" w:color="auto" w:sz="0" w:space="0"/>
          <w:bottom w:val="none" w:color="FFFFFF" w:sz="0" w:space="31"/>
          <w:right w:val="none" w:color="auto" w:sz="0" w:space="0"/>
          <w:between w:val="none" w:color="auto" w:sz="0" w:space="0"/>
        </w:pBdr>
        <w:kinsoku/>
        <w:wordWrap/>
        <w:overflowPunct/>
        <w:topLinePunct w:val="0"/>
        <w:autoSpaceDE/>
        <w:autoSpaceDN/>
        <w:bidi w:val="0"/>
        <w:adjustRightInd/>
        <w:snapToGrid/>
        <w:spacing w:beforeAutospacing="0" w:afterAutospacing="0" w:line="560" w:lineRule="atLeast"/>
        <w:ind w:firstLine="640" w:firstLineChars="200"/>
        <w:jc w:val="left"/>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16.粮油物资储备支出（类）重要商品储备（款）应急物资储备（项）:支出决算数为0.00万元，比上年决算减少20.00万元，下降100%，主要原因是：</w:t>
      </w:r>
      <w:r>
        <w:rPr>
          <w:rFonts w:hint="eastAsia" w:ascii="仿宋_GB2312" w:eastAsia="仿宋_GB2312"/>
          <w:color w:val="auto"/>
          <w:sz w:val="32"/>
          <w:szCs w:val="32"/>
          <w:highlight w:val="none"/>
          <w:lang w:val="en-US" w:eastAsia="zh-CN"/>
        </w:rPr>
        <w:t>2022年按照要求紧急采购应急物资，本年未采购</w:t>
      </w:r>
      <w:r>
        <w:rPr>
          <w:rFonts w:hint="eastAsia" w:ascii="仿宋_GB2312" w:hAnsi="仿宋_GB2312" w:eastAsia="仿宋_GB2312" w:cs="仿宋_GB2312"/>
          <w:color w:val="auto"/>
          <w:kern w:val="2"/>
          <w:sz w:val="32"/>
          <w:szCs w:val="32"/>
          <w:highlight w:val="none"/>
          <w:lang w:val="en-US" w:eastAsia="zh-CN" w:bidi="ar-SA"/>
        </w:rPr>
        <w:t>应急物资储备</w:t>
      </w:r>
      <w:r>
        <w:rPr>
          <w:rFonts w:hint="eastAsia" w:ascii="仿宋_GB2312" w:eastAsia="仿宋_GB2312"/>
          <w:color w:val="auto"/>
          <w:sz w:val="32"/>
          <w:szCs w:val="32"/>
          <w:highlight w:val="none"/>
          <w:lang w:val="en-US" w:eastAsia="zh-CN"/>
        </w:rPr>
        <w:t>。</w:t>
      </w:r>
    </w:p>
    <w:p w14:paraId="3A1CB3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10B72F5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897.27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832.39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0A9804A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64.88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办公费、电费、邮电费、取暖费、差旅费、维修（护）费、培训费、公务接待费、工会经费、公务用车运行维护费。</w:t>
      </w:r>
    </w:p>
    <w:p w14:paraId="544C81D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A8BCF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“三公”经费支出6.35万元，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增加0.81万元，</w:t>
      </w:r>
      <w:r>
        <w:rPr>
          <w:rFonts w:hint="eastAsia" w:ascii="仿宋_GB2312" w:eastAsia="仿宋_GB2312"/>
          <w:color w:val="auto"/>
          <w:spacing w:val="0"/>
          <w:sz w:val="32"/>
          <w:szCs w:val="32"/>
          <w:highlight w:val="none"/>
          <w:lang w:val="en-US" w:eastAsia="zh-CN"/>
        </w:rPr>
        <w:t>增长14.62%,</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支付202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以前</w:t>
      </w:r>
      <w:r>
        <w:rPr>
          <w:rFonts w:hint="eastAsia" w:ascii="仿宋_GB2312" w:eastAsia="仿宋_GB2312"/>
          <w:color w:val="auto"/>
          <w:sz w:val="32"/>
          <w:szCs w:val="32"/>
          <w:highlight w:val="none"/>
        </w:rPr>
        <w:t>公务接待的</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我单位没有发生</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；公务用车购置及运行维护费支出4.50万元，占70.87%，比上年增加0.00万元，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eastAsia="zh-CN"/>
        </w:rPr>
        <w:t>本年与上年持平，无增加</w:t>
      </w:r>
      <w:r>
        <w:rPr>
          <w:rFonts w:hint="eastAsia" w:ascii="仿宋_GB2312" w:eastAsia="仿宋_GB2312"/>
          <w:color w:val="auto"/>
          <w:sz w:val="32"/>
          <w:szCs w:val="32"/>
          <w:highlight w:val="none"/>
          <w:lang w:val="zh-CN" w:eastAsia="zh-CN"/>
        </w:rPr>
        <w:t>；公务接待费支出1.85万元，占29.13%，比上年增加0.81万元，</w:t>
      </w:r>
      <w:r>
        <w:rPr>
          <w:rFonts w:hint="eastAsia" w:ascii="仿宋_GB2312" w:eastAsia="仿宋_GB2312"/>
          <w:color w:val="auto"/>
          <w:spacing w:val="0"/>
          <w:sz w:val="32"/>
          <w:szCs w:val="32"/>
          <w:highlight w:val="none"/>
          <w:lang w:val="en-US" w:eastAsia="zh-CN"/>
        </w:rPr>
        <w:t>增长77.88%,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支付202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以前年度</w:t>
      </w:r>
      <w:r>
        <w:rPr>
          <w:rFonts w:hint="eastAsia" w:ascii="仿宋_GB2312" w:eastAsia="仿宋_GB2312"/>
          <w:color w:val="auto"/>
          <w:sz w:val="32"/>
          <w:szCs w:val="32"/>
          <w:highlight w:val="none"/>
        </w:rPr>
        <w:t>公务接待的</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lang w:val="zh-CN" w:eastAsia="zh-CN"/>
        </w:rPr>
        <w:t>。</w:t>
      </w:r>
    </w:p>
    <w:p w14:paraId="6DDB498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ADF2040">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我单位无因公出国（境）费支出。单位全年安排的因公出国（境）团组0个，因公出国（境）0人次。</w:t>
      </w:r>
    </w:p>
    <w:p w14:paraId="3C193889">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red"/>
          <w:lang w:val="en-US" w:eastAsia="zh-CN"/>
        </w:rPr>
      </w:pPr>
      <w:r>
        <w:rPr>
          <w:rFonts w:hint="eastAsia" w:ascii="仿宋_GB2312" w:eastAsia="仿宋_GB2312"/>
          <w:color w:val="auto"/>
          <w:sz w:val="32"/>
          <w:szCs w:val="32"/>
          <w:highlight w:val="none"/>
          <w:lang w:val="zh-CN" w:eastAsia="zh-CN"/>
        </w:rPr>
        <w:t>公务用车购置及运行维护费4.50万元，其中：公务用车购置费0.00万元，公务用车运行维护费4.50万元。公务用车运行维护费开支内容包括</w:t>
      </w:r>
      <w:r>
        <w:rPr>
          <w:rFonts w:hint="eastAsia" w:ascii="仿宋_GB2312" w:eastAsia="仿宋_GB2312"/>
          <w:color w:val="auto"/>
          <w:sz w:val="32"/>
          <w:szCs w:val="32"/>
          <w:highlight w:val="none"/>
        </w:rPr>
        <w:t>油料费、过路过桥费、检测费、维修费、保险费等。</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发改委固定资产车辆1辆，公务用车保有量1辆不存在差异</w:t>
      </w:r>
      <w:r>
        <w:rPr>
          <w:rFonts w:hint="eastAsia" w:ascii="仿宋_GB2312" w:eastAsia="仿宋_GB2312"/>
          <w:color w:val="auto"/>
          <w:sz w:val="32"/>
          <w:szCs w:val="32"/>
          <w:highlight w:val="none"/>
          <w:lang w:val="zh-CN" w:eastAsia="zh-CN"/>
        </w:rPr>
        <w:t>。</w:t>
      </w:r>
    </w:p>
    <w:p w14:paraId="742FADDE">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公务接待费1.85万元，开支内容包括上级单位来访等公务活动产生的</w:t>
      </w:r>
      <w:r>
        <w:rPr>
          <w:rFonts w:hint="eastAsia" w:ascii="仿宋_GB2312" w:eastAsia="仿宋_GB2312"/>
          <w:color w:val="auto"/>
          <w:sz w:val="32"/>
          <w:szCs w:val="32"/>
          <w:highlight w:val="none"/>
          <w:lang w:val="en-US" w:eastAsia="zh-CN"/>
        </w:rPr>
        <w:t>餐费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zh-CN" w:eastAsia="zh-CN"/>
        </w:rPr>
        <w:t>单位全年安排的国内公务接待38批次，296人次。</w:t>
      </w:r>
    </w:p>
    <w:p w14:paraId="3DE80EE5">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预算数6.35万元，决算数6.35万元，预决算差异率0.00%，主要原因是：</w:t>
      </w:r>
      <w:r>
        <w:rPr>
          <w:rFonts w:hint="eastAsia" w:ascii="仿宋_GB2312" w:eastAsia="仿宋_GB2312"/>
          <w:color w:val="auto"/>
          <w:sz w:val="32"/>
          <w:szCs w:val="32"/>
          <w:highlight w:val="none"/>
        </w:rPr>
        <w:t>财政拨款“三公”经费支出预算数和决算数无变化，预决算无差异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预算数4.50万元，决算数4.50万元，预决算差异率0.00%，主要原因是：</w:t>
      </w:r>
      <w:r>
        <w:rPr>
          <w:rFonts w:hint="eastAsia" w:ascii="仿宋_GB2312" w:hAnsi="宋体" w:eastAsia="仿宋_GB2312" w:cs="宋体"/>
          <w:color w:val="auto"/>
          <w:kern w:val="0"/>
          <w:sz w:val="32"/>
          <w:szCs w:val="32"/>
          <w:highlight w:val="none"/>
        </w:rPr>
        <w:t>公务用车运行费预算数和决算数无变化，预决算无差异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预算数1.85万元，决算数1.85万元，预决算差异率0.00%，主要原因是：</w:t>
      </w:r>
      <w:r>
        <w:rPr>
          <w:rFonts w:hint="eastAsia" w:ascii="仿宋_GB2312" w:eastAsia="仿宋_GB2312"/>
          <w:color w:val="auto"/>
          <w:sz w:val="32"/>
          <w:szCs w:val="32"/>
          <w:highlight w:val="none"/>
        </w:rPr>
        <w:t>公务接待费预算数和决算数无变化，预决算无差异</w:t>
      </w:r>
      <w:r>
        <w:rPr>
          <w:rFonts w:hint="eastAsia" w:ascii="仿宋_GB2312" w:eastAsia="仿宋_GB2312"/>
          <w:color w:val="auto"/>
          <w:sz w:val="32"/>
          <w:szCs w:val="32"/>
          <w:highlight w:val="none"/>
          <w:lang w:val="zh-CN" w:eastAsia="zh-CN"/>
        </w:rPr>
        <w:t>。</w:t>
      </w:r>
    </w:p>
    <w:p w14:paraId="6BA915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35DA8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6F5AC2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28B4E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r>
        <w:rPr>
          <w:rFonts w:hint="eastAsia" w:ascii="仿宋_GB2312" w:eastAsia="仿宋_GB2312"/>
          <w:color w:val="auto"/>
          <w:sz w:val="32"/>
          <w:szCs w:val="32"/>
          <w:highlight w:val="none"/>
          <w:lang w:eastAsia="zh-CN"/>
        </w:rPr>
        <w:t>。</w:t>
      </w:r>
    </w:p>
    <w:p w14:paraId="282257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F2BF3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5FB96FE4">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沙湾市发展和改革委员会（行政单位和参照公务员法管理事业单位）机关运行经费支出64.88万元，</w:t>
      </w:r>
      <w:r>
        <w:rPr>
          <w:rFonts w:hint="eastAsia" w:ascii="仿宋_GB2312" w:hAnsi="仿宋_GB2312" w:eastAsia="仿宋_GB2312" w:cs="仿宋_GB2312"/>
          <w:color w:val="auto"/>
          <w:sz w:val="32"/>
          <w:szCs w:val="32"/>
          <w:highlight w:val="none"/>
          <w:lang w:val="zh-CN" w:eastAsia="zh-CN"/>
        </w:rPr>
        <w:t>比上年增加21.05万元，增长48.03%，主要原因是：</w:t>
      </w:r>
      <w:r>
        <w:rPr>
          <w:rFonts w:hint="eastAsia" w:ascii="仿宋_GB2312" w:eastAsia="仿宋_GB2312"/>
          <w:color w:val="auto"/>
          <w:sz w:val="32"/>
          <w:szCs w:val="32"/>
          <w:highlight w:val="none"/>
        </w:rPr>
        <w:t>调入</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人，日常开支有所增加。根据发改委工作职能，干部</w:t>
      </w:r>
      <w:r>
        <w:rPr>
          <w:rFonts w:hint="eastAsia" w:ascii="仿宋_GB2312" w:eastAsia="仿宋_GB2312"/>
          <w:color w:val="auto"/>
          <w:sz w:val="32"/>
          <w:szCs w:val="32"/>
          <w:highlight w:val="none"/>
          <w:lang w:val="en-US" w:eastAsia="zh-CN"/>
        </w:rPr>
        <w:t>外出</w:t>
      </w:r>
      <w:r>
        <w:rPr>
          <w:rFonts w:hint="eastAsia" w:ascii="仿宋_GB2312" w:eastAsia="仿宋_GB2312"/>
          <w:color w:val="auto"/>
          <w:sz w:val="32"/>
          <w:szCs w:val="32"/>
          <w:highlight w:val="none"/>
        </w:rPr>
        <w:t>较</w:t>
      </w:r>
      <w:r>
        <w:rPr>
          <w:rFonts w:hint="eastAsia" w:ascii="仿宋_GB2312" w:eastAsia="仿宋_GB2312"/>
          <w:color w:val="auto"/>
          <w:sz w:val="32"/>
          <w:szCs w:val="32"/>
          <w:highlight w:val="none"/>
          <w:lang w:val="en-US" w:eastAsia="zh-CN"/>
        </w:rPr>
        <w:t>多</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支出较大。</w:t>
      </w:r>
    </w:p>
    <w:p w14:paraId="502F1E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C1E52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2.61万元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其中：政府采购货物支出1.14万元、政府采购工程支出0.00万元、政府采购服务支出1.47万元。</w:t>
      </w:r>
    </w:p>
    <w:p w14:paraId="74E77E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授予中小企业合同金额2.61万元，占政府采购支出总额的100.00%，其中：授予小微企业合同金额1.14万元，占政府采购支出总额的43.68%</w:t>
      </w:r>
      <w:r>
        <w:rPr>
          <w:rFonts w:hint="eastAsia" w:ascii="仿宋_GB2312" w:hAnsi="仿宋_GB2312" w:eastAsia="仿宋_GB2312" w:cs="仿宋_GB2312"/>
          <w:color w:val="auto"/>
          <w:sz w:val="32"/>
          <w:szCs w:val="32"/>
          <w:highlight w:val="none"/>
          <w:lang w:val="en-US" w:eastAsia="zh-CN"/>
        </w:rPr>
        <w:t>。</w:t>
      </w:r>
    </w:p>
    <w:p w14:paraId="16DB31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178E7C14">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1,133.89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屋2,976.65平方米，价值908.74万元。车辆1辆，价值24.36万元，其中：副部（省）级及以上领导用车0辆、主要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hAnsi="仿宋_GB2312" w:eastAsia="仿宋_GB2312" w:cs="仿宋_GB2312"/>
          <w:color w:val="auto"/>
          <w:sz w:val="32"/>
          <w:szCs w:val="32"/>
          <w:highlight w:val="none"/>
          <w:lang w:val="en-US" w:eastAsia="zh-CN"/>
        </w:rPr>
        <w:t>其</w:t>
      </w:r>
      <w:r>
        <w:rPr>
          <w:rFonts w:hint="eastAsia" w:ascii="仿宋_GB2312" w:eastAsia="仿宋_GB2312"/>
          <w:color w:val="auto"/>
          <w:sz w:val="32"/>
          <w:szCs w:val="32"/>
          <w:highlight w:val="none"/>
          <w:lang w:eastAsia="zh-CN"/>
        </w:rPr>
        <w:t>他用车是公务用车；单价100万元（含）以上设备（不含车辆）1台（套）。</w:t>
      </w:r>
    </w:p>
    <w:p w14:paraId="051011E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066FA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1张</w:t>
      </w:r>
      <w:r>
        <w:rPr>
          <w:rFonts w:hint="eastAsia" w:ascii="仿宋_GB2312" w:hAnsi="仿宋_GB2312" w:eastAsia="仿宋_GB2312" w:cs="仿宋_GB2312"/>
          <w:color w:val="auto"/>
          <w:kern w:val="0"/>
          <w:sz w:val="32"/>
          <w:szCs w:val="32"/>
          <w:highlight w:val="none"/>
          <w:lang w:val="en-US" w:eastAsia="zh-CN"/>
        </w:rPr>
        <w:t>，全年</w:t>
      </w:r>
      <w:r>
        <w:rPr>
          <w:rFonts w:hint="eastAsia" w:ascii="仿宋_GB2312" w:eastAsia="仿宋_GB2312"/>
          <w:color w:val="auto"/>
          <w:sz w:val="32"/>
          <w:szCs w:val="32"/>
          <w:highlight w:val="none"/>
          <w:lang w:val="en-US" w:eastAsia="zh-CN"/>
        </w:rPr>
        <w:t>预算总额1094.1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实际执行总额1028.98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全年预算数196.83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全年执行数131.7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78.53</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25.03</w:t>
      </w:r>
      <w:r>
        <w:rPr>
          <w:rFonts w:hint="eastAsia" w:ascii="仿宋_GB2312" w:eastAsia="仿宋_GB2312"/>
          <w:color w:val="auto"/>
          <w:sz w:val="32"/>
          <w:szCs w:val="32"/>
          <w:highlight w:val="none"/>
          <w:lang w:eastAsia="zh-CN"/>
        </w:rPr>
        <w:t>万元，不予以公开。预算绩效管理取得的成效：一是</w:t>
      </w:r>
      <w:r>
        <w:rPr>
          <w:rFonts w:hint="eastAsia" w:ascii="仿宋_GB2312" w:eastAsia="仿宋_GB2312"/>
          <w:color w:val="auto"/>
          <w:sz w:val="32"/>
          <w:szCs w:val="32"/>
          <w:highlight w:val="none"/>
          <w:lang w:val="en-US" w:eastAsia="zh-CN"/>
        </w:rPr>
        <w:t>按照年初预算绩效目标的任务，各项工作有序推进，达到预算绩效目标的预期效果，取得了较好的社会效益</w:t>
      </w:r>
      <w:r>
        <w:rPr>
          <w:rFonts w:hint="eastAsia" w:ascii="仿宋_GB2312" w:eastAsia="仿宋_GB2312"/>
          <w:color w:val="auto"/>
          <w:sz w:val="32"/>
          <w:szCs w:val="32"/>
          <w:highlight w:val="none"/>
          <w:lang w:eastAsia="zh-CN"/>
        </w:rPr>
        <w:t>；二是对单位财政拨款资金起到了监督、管理的作用，提高了单位履职能力和资金使用效能。发现的问题及原因：一是</w:t>
      </w:r>
      <w:r>
        <w:rPr>
          <w:rFonts w:hint="eastAsia" w:ascii="仿宋_GB2312" w:eastAsia="仿宋_GB2312"/>
          <w:color w:val="auto"/>
          <w:sz w:val="32"/>
          <w:szCs w:val="32"/>
          <w:highlight w:val="none"/>
          <w:lang w:val="en-US" w:eastAsia="zh-CN"/>
        </w:rPr>
        <w:t>单位预算绩效评价指标设置不合理、指标内容不完整的问题，主要原因是忽略了定量指标的设置，忽视了社会效益等指标的重要性，没有结合实际，深入研究</w:t>
      </w:r>
      <w:r>
        <w:rPr>
          <w:rFonts w:hint="eastAsia" w:ascii="仿宋_GB2312" w:eastAsia="仿宋_GB2312"/>
          <w:color w:val="auto"/>
          <w:sz w:val="32"/>
          <w:szCs w:val="32"/>
          <w:highlight w:val="none"/>
          <w:lang w:eastAsia="zh-CN"/>
        </w:rPr>
        <w:t>；二是单位资金管理与业务管理未充分融合，主要原因是部分预算管理人员缺少对预算管理与绩效管理的整体认识。下一步改进措施：一是</w:t>
      </w:r>
      <w:r>
        <w:rPr>
          <w:rFonts w:hint="eastAsia" w:ascii="仿宋_GB2312" w:eastAsia="仿宋_GB2312"/>
          <w:color w:val="auto"/>
          <w:sz w:val="32"/>
          <w:szCs w:val="32"/>
          <w:highlight w:val="none"/>
          <w:lang w:val="en-US" w:eastAsia="zh-CN"/>
        </w:rPr>
        <w:t>应树立绩效管理理念，提高管理高层重视程度和工作自觉性</w:t>
      </w:r>
      <w:r>
        <w:rPr>
          <w:rFonts w:hint="eastAsia" w:ascii="仿宋_GB2312" w:eastAsia="仿宋_GB2312"/>
          <w:color w:val="auto"/>
          <w:sz w:val="32"/>
          <w:szCs w:val="32"/>
          <w:highlight w:val="none"/>
          <w:lang w:eastAsia="zh-CN"/>
        </w:rPr>
        <w:t>；二是单位内部应定期组织预算绩效理念宣传与业务培训，从思想、业务知识、实操等多方面增强工作人员对预算绩效管理的执行力。具体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66E2F29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3C591C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z w:val="32"/>
          <w:szCs w:val="32"/>
          <w:highlight w:val="none"/>
          <w:lang w:eastAsia="zh-CN"/>
        </w:rPr>
      </w:pPr>
      <w:bookmarkStart w:id="30" w:name="_Toc24143"/>
      <w:bookmarkStart w:id="31" w:name="_Toc3250"/>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78.53</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25.03</w:t>
      </w:r>
      <w:r>
        <w:rPr>
          <w:rFonts w:hint="eastAsia" w:ascii="仿宋_GB2312" w:eastAsia="仿宋_GB2312"/>
          <w:color w:val="auto"/>
          <w:sz w:val="32"/>
          <w:szCs w:val="32"/>
          <w:highlight w:val="none"/>
          <w:lang w:eastAsia="zh-CN"/>
        </w:rPr>
        <w:t>万元，不予以公开绩效自评表。</w:t>
      </w:r>
    </w:p>
    <w:p w14:paraId="2020D968">
      <w:pPr>
        <w:rPr>
          <w:rFonts w:hint="eastAsia"/>
          <w:lang w:val="en-US" w:eastAsia="zh-CN"/>
        </w:rPr>
      </w:pPr>
      <w:r>
        <w:rPr>
          <w:rFonts w:hint="eastAsia" w:ascii="仿宋_GB2312" w:eastAsia="仿宋_GB2312"/>
          <w:color w:val="auto"/>
          <w:sz w:val="32"/>
          <w:szCs w:val="32"/>
          <w:highlight w:val="none"/>
          <w:lang w:eastAsia="zh-CN"/>
        </w:rPr>
        <w:br w:type="page"/>
      </w:r>
      <w:bookmarkStart w:id="48" w:name="_GoBack"/>
      <w:bookmarkEnd w:id="48"/>
    </w:p>
    <w:p w14:paraId="079CC6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4FAC9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1F72A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8A3A89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663B9C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5D92C1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5731D1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13995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7EB20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4A138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52E248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52A153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455BCA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486B58A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84588DD">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29EF0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7F8BD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1C91F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C492F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A152F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381FF8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89729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7E044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43E5A9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30AEAD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CE63DB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CEF3B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890D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62CBD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562CBD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B92DE5"/>
    <w:rsid w:val="04C04386"/>
    <w:rsid w:val="04D1736D"/>
    <w:rsid w:val="04D96608"/>
    <w:rsid w:val="04F210E4"/>
    <w:rsid w:val="04FA68C4"/>
    <w:rsid w:val="053F5AE6"/>
    <w:rsid w:val="057C0B0F"/>
    <w:rsid w:val="05EF4B48"/>
    <w:rsid w:val="05F76ECA"/>
    <w:rsid w:val="06183A24"/>
    <w:rsid w:val="06792773"/>
    <w:rsid w:val="06BA5298"/>
    <w:rsid w:val="06FD75CA"/>
    <w:rsid w:val="07093795"/>
    <w:rsid w:val="077663D7"/>
    <w:rsid w:val="07804730"/>
    <w:rsid w:val="079052BE"/>
    <w:rsid w:val="08145C21"/>
    <w:rsid w:val="08422688"/>
    <w:rsid w:val="085854ED"/>
    <w:rsid w:val="0879188F"/>
    <w:rsid w:val="08A0354D"/>
    <w:rsid w:val="08A25E2C"/>
    <w:rsid w:val="08CD4C49"/>
    <w:rsid w:val="09114954"/>
    <w:rsid w:val="095A5B83"/>
    <w:rsid w:val="096466E3"/>
    <w:rsid w:val="0968304D"/>
    <w:rsid w:val="098C05B9"/>
    <w:rsid w:val="09AF3D17"/>
    <w:rsid w:val="09DF130C"/>
    <w:rsid w:val="0A7809B7"/>
    <w:rsid w:val="0A7B4867"/>
    <w:rsid w:val="0A840954"/>
    <w:rsid w:val="0A9928ED"/>
    <w:rsid w:val="0B2E53FA"/>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EC5786C"/>
    <w:rsid w:val="0F1113DA"/>
    <w:rsid w:val="0F78534A"/>
    <w:rsid w:val="0F89358A"/>
    <w:rsid w:val="0F8C6D51"/>
    <w:rsid w:val="105B0B5E"/>
    <w:rsid w:val="112E58D0"/>
    <w:rsid w:val="11731CAC"/>
    <w:rsid w:val="119500A0"/>
    <w:rsid w:val="11C0733B"/>
    <w:rsid w:val="11D129C7"/>
    <w:rsid w:val="11D50D17"/>
    <w:rsid w:val="120E0809"/>
    <w:rsid w:val="127F665A"/>
    <w:rsid w:val="12F7068C"/>
    <w:rsid w:val="14207DC0"/>
    <w:rsid w:val="14B932DA"/>
    <w:rsid w:val="150A66AF"/>
    <w:rsid w:val="154C1139"/>
    <w:rsid w:val="157C4EA1"/>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9B474B"/>
    <w:rsid w:val="190648B0"/>
    <w:rsid w:val="19071D6C"/>
    <w:rsid w:val="19D26CD4"/>
    <w:rsid w:val="19E60D19"/>
    <w:rsid w:val="1A2D3B01"/>
    <w:rsid w:val="1A3E3450"/>
    <w:rsid w:val="1A913825"/>
    <w:rsid w:val="1AC169C4"/>
    <w:rsid w:val="1AD807E5"/>
    <w:rsid w:val="1B39345B"/>
    <w:rsid w:val="1BC46516"/>
    <w:rsid w:val="1BFB2A1F"/>
    <w:rsid w:val="1C015D4A"/>
    <w:rsid w:val="1C290ED5"/>
    <w:rsid w:val="1C317E4F"/>
    <w:rsid w:val="1C472464"/>
    <w:rsid w:val="1D22799A"/>
    <w:rsid w:val="1D5C1A72"/>
    <w:rsid w:val="1DAF458D"/>
    <w:rsid w:val="1E086ACE"/>
    <w:rsid w:val="1E62130A"/>
    <w:rsid w:val="1E97358B"/>
    <w:rsid w:val="1EAA4A5F"/>
    <w:rsid w:val="1EC45B21"/>
    <w:rsid w:val="1EE869A7"/>
    <w:rsid w:val="1F3F37CF"/>
    <w:rsid w:val="1FA15E62"/>
    <w:rsid w:val="1FED69B6"/>
    <w:rsid w:val="1FEF7097"/>
    <w:rsid w:val="2064678E"/>
    <w:rsid w:val="20DC1AB9"/>
    <w:rsid w:val="20DD6197"/>
    <w:rsid w:val="212631E0"/>
    <w:rsid w:val="2138666F"/>
    <w:rsid w:val="21742080"/>
    <w:rsid w:val="21A53757"/>
    <w:rsid w:val="21B740E7"/>
    <w:rsid w:val="21F879E1"/>
    <w:rsid w:val="221236C6"/>
    <w:rsid w:val="22D7662C"/>
    <w:rsid w:val="23326B7F"/>
    <w:rsid w:val="2375307B"/>
    <w:rsid w:val="2380045B"/>
    <w:rsid w:val="23BC04D2"/>
    <w:rsid w:val="23BE2EE8"/>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2751F"/>
    <w:rsid w:val="285F51FF"/>
    <w:rsid w:val="28DA4193"/>
    <w:rsid w:val="28DF2665"/>
    <w:rsid w:val="29072599"/>
    <w:rsid w:val="291029F3"/>
    <w:rsid w:val="29AF5739"/>
    <w:rsid w:val="29CB58F0"/>
    <w:rsid w:val="2A053397"/>
    <w:rsid w:val="2A145E96"/>
    <w:rsid w:val="2A2131BB"/>
    <w:rsid w:val="2AF5378F"/>
    <w:rsid w:val="2BB94DBF"/>
    <w:rsid w:val="2BF37410"/>
    <w:rsid w:val="2C6F314E"/>
    <w:rsid w:val="2C7D02C4"/>
    <w:rsid w:val="2CC206BE"/>
    <w:rsid w:val="2D1136DF"/>
    <w:rsid w:val="2D1A7254"/>
    <w:rsid w:val="2D20606D"/>
    <w:rsid w:val="2D6729FE"/>
    <w:rsid w:val="2DB87198"/>
    <w:rsid w:val="2DB93C54"/>
    <w:rsid w:val="2DBB71B2"/>
    <w:rsid w:val="2E3D144C"/>
    <w:rsid w:val="2E891204"/>
    <w:rsid w:val="2F3F0A28"/>
    <w:rsid w:val="2FBF7029"/>
    <w:rsid w:val="2FD0187F"/>
    <w:rsid w:val="2FD27414"/>
    <w:rsid w:val="2FFE4BB0"/>
    <w:rsid w:val="300E7B60"/>
    <w:rsid w:val="300F6E18"/>
    <w:rsid w:val="30862F5F"/>
    <w:rsid w:val="30A4775A"/>
    <w:rsid w:val="30E23F7D"/>
    <w:rsid w:val="314029C9"/>
    <w:rsid w:val="315E3BB3"/>
    <w:rsid w:val="31C63837"/>
    <w:rsid w:val="31C82E39"/>
    <w:rsid w:val="323648D2"/>
    <w:rsid w:val="32601BAD"/>
    <w:rsid w:val="329F6389"/>
    <w:rsid w:val="33115D16"/>
    <w:rsid w:val="3389023A"/>
    <w:rsid w:val="33CB74FA"/>
    <w:rsid w:val="33F74F58"/>
    <w:rsid w:val="343642F2"/>
    <w:rsid w:val="343F3010"/>
    <w:rsid w:val="345D0A00"/>
    <w:rsid w:val="34713BFD"/>
    <w:rsid w:val="34B530C3"/>
    <w:rsid w:val="34C13589"/>
    <w:rsid w:val="353369E3"/>
    <w:rsid w:val="35B21E0B"/>
    <w:rsid w:val="35E00D72"/>
    <w:rsid w:val="36965B9D"/>
    <w:rsid w:val="36C549FD"/>
    <w:rsid w:val="370E7CA3"/>
    <w:rsid w:val="37271630"/>
    <w:rsid w:val="37A755DD"/>
    <w:rsid w:val="37C75C12"/>
    <w:rsid w:val="37F33BFE"/>
    <w:rsid w:val="37F94FA0"/>
    <w:rsid w:val="380D3381"/>
    <w:rsid w:val="38115B1F"/>
    <w:rsid w:val="385E3AC3"/>
    <w:rsid w:val="387D6B9E"/>
    <w:rsid w:val="38B75FF0"/>
    <w:rsid w:val="38D45016"/>
    <w:rsid w:val="38D90432"/>
    <w:rsid w:val="3914510A"/>
    <w:rsid w:val="3926770B"/>
    <w:rsid w:val="39367427"/>
    <w:rsid w:val="3982065B"/>
    <w:rsid w:val="398D3668"/>
    <w:rsid w:val="39DA0497"/>
    <w:rsid w:val="3A893816"/>
    <w:rsid w:val="3A893B6D"/>
    <w:rsid w:val="3AD1763A"/>
    <w:rsid w:val="3B196883"/>
    <w:rsid w:val="3B6716E3"/>
    <w:rsid w:val="3B6C6B2D"/>
    <w:rsid w:val="3C242659"/>
    <w:rsid w:val="3C96719C"/>
    <w:rsid w:val="3CA72BE8"/>
    <w:rsid w:val="3CB81E7E"/>
    <w:rsid w:val="3CDC1E1E"/>
    <w:rsid w:val="3CF37F8C"/>
    <w:rsid w:val="3D137554"/>
    <w:rsid w:val="3D233F03"/>
    <w:rsid w:val="3D5275AC"/>
    <w:rsid w:val="3DCC2473"/>
    <w:rsid w:val="3DEB0883"/>
    <w:rsid w:val="3DFB7650"/>
    <w:rsid w:val="3E1A3649"/>
    <w:rsid w:val="3E2527BF"/>
    <w:rsid w:val="3E53307C"/>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3929C5"/>
    <w:rsid w:val="41431AD5"/>
    <w:rsid w:val="414B3C0F"/>
    <w:rsid w:val="417C1CE7"/>
    <w:rsid w:val="41900018"/>
    <w:rsid w:val="41944406"/>
    <w:rsid w:val="41CE128F"/>
    <w:rsid w:val="41DA6F12"/>
    <w:rsid w:val="42171FB1"/>
    <w:rsid w:val="424A625B"/>
    <w:rsid w:val="42C10D7B"/>
    <w:rsid w:val="43384FEC"/>
    <w:rsid w:val="434E6957"/>
    <w:rsid w:val="43BA0E31"/>
    <w:rsid w:val="43C15147"/>
    <w:rsid w:val="43E14DD2"/>
    <w:rsid w:val="43F800E9"/>
    <w:rsid w:val="442D7807"/>
    <w:rsid w:val="443A7E4B"/>
    <w:rsid w:val="444A7D08"/>
    <w:rsid w:val="44586B14"/>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8C97EF9"/>
    <w:rsid w:val="48E407ED"/>
    <w:rsid w:val="48E64762"/>
    <w:rsid w:val="493D58B5"/>
    <w:rsid w:val="494A7A04"/>
    <w:rsid w:val="49605EF7"/>
    <w:rsid w:val="49776B94"/>
    <w:rsid w:val="4A0A26D2"/>
    <w:rsid w:val="4A2019A5"/>
    <w:rsid w:val="4A241A0B"/>
    <w:rsid w:val="4A5C2BD7"/>
    <w:rsid w:val="4A7B2875"/>
    <w:rsid w:val="4A934476"/>
    <w:rsid w:val="4AAA220A"/>
    <w:rsid w:val="4AE12E67"/>
    <w:rsid w:val="4B4C0111"/>
    <w:rsid w:val="4B8553A9"/>
    <w:rsid w:val="4BDB3730"/>
    <w:rsid w:val="4C200F7A"/>
    <w:rsid w:val="4CEE3180"/>
    <w:rsid w:val="4D0F4AF6"/>
    <w:rsid w:val="4D3127D1"/>
    <w:rsid w:val="4D626381"/>
    <w:rsid w:val="4DF94F37"/>
    <w:rsid w:val="4E0A1DD5"/>
    <w:rsid w:val="4E3160E5"/>
    <w:rsid w:val="4E4C69C7"/>
    <w:rsid w:val="4E4D37AF"/>
    <w:rsid w:val="4E8C6496"/>
    <w:rsid w:val="4EFD18DE"/>
    <w:rsid w:val="4F144236"/>
    <w:rsid w:val="4F663C87"/>
    <w:rsid w:val="4F7E29A8"/>
    <w:rsid w:val="4F9E1FFC"/>
    <w:rsid w:val="50447CC2"/>
    <w:rsid w:val="50874A7C"/>
    <w:rsid w:val="50895EE7"/>
    <w:rsid w:val="50921B9D"/>
    <w:rsid w:val="50AE5042"/>
    <w:rsid w:val="50D16158"/>
    <w:rsid w:val="50DB5F45"/>
    <w:rsid w:val="51025EB1"/>
    <w:rsid w:val="51141503"/>
    <w:rsid w:val="513C450E"/>
    <w:rsid w:val="513F4EE3"/>
    <w:rsid w:val="518D0ED5"/>
    <w:rsid w:val="525C687F"/>
    <w:rsid w:val="52A3740A"/>
    <w:rsid w:val="52F647F7"/>
    <w:rsid w:val="52F92565"/>
    <w:rsid w:val="53AE735E"/>
    <w:rsid w:val="53CC69D4"/>
    <w:rsid w:val="53D03877"/>
    <w:rsid w:val="541170FC"/>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3B502A"/>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B7203"/>
    <w:rsid w:val="596E7E20"/>
    <w:rsid w:val="59CF45AC"/>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09D9"/>
    <w:rsid w:val="5DD92690"/>
    <w:rsid w:val="5DDB1CFD"/>
    <w:rsid w:val="5E7E6D93"/>
    <w:rsid w:val="5E82459B"/>
    <w:rsid w:val="5ED44800"/>
    <w:rsid w:val="5F350BDE"/>
    <w:rsid w:val="5F61632C"/>
    <w:rsid w:val="5FA17648"/>
    <w:rsid w:val="5FCD717E"/>
    <w:rsid w:val="5FE705CB"/>
    <w:rsid w:val="6007714E"/>
    <w:rsid w:val="6030567C"/>
    <w:rsid w:val="603D5080"/>
    <w:rsid w:val="606842D0"/>
    <w:rsid w:val="60D0261B"/>
    <w:rsid w:val="61053689"/>
    <w:rsid w:val="618E3791"/>
    <w:rsid w:val="61947DCA"/>
    <w:rsid w:val="61A46A97"/>
    <w:rsid w:val="61D1382F"/>
    <w:rsid w:val="61F114A2"/>
    <w:rsid w:val="622B0ABA"/>
    <w:rsid w:val="62512BB4"/>
    <w:rsid w:val="625D7D1A"/>
    <w:rsid w:val="62660469"/>
    <w:rsid w:val="62DD7D21"/>
    <w:rsid w:val="633A7779"/>
    <w:rsid w:val="637D586B"/>
    <w:rsid w:val="63A5560B"/>
    <w:rsid w:val="63E9091F"/>
    <w:rsid w:val="64322AF9"/>
    <w:rsid w:val="64D6010D"/>
    <w:rsid w:val="64D82665"/>
    <w:rsid w:val="64E47C96"/>
    <w:rsid w:val="651E5741"/>
    <w:rsid w:val="65566A75"/>
    <w:rsid w:val="655D7702"/>
    <w:rsid w:val="657F2B57"/>
    <w:rsid w:val="658A4877"/>
    <w:rsid w:val="65A00902"/>
    <w:rsid w:val="65AC6EDD"/>
    <w:rsid w:val="65D97752"/>
    <w:rsid w:val="66085536"/>
    <w:rsid w:val="66105BF7"/>
    <w:rsid w:val="66150023"/>
    <w:rsid w:val="6628010D"/>
    <w:rsid w:val="669B4528"/>
    <w:rsid w:val="66CC12D7"/>
    <w:rsid w:val="67134CEF"/>
    <w:rsid w:val="671F1ABD"/>
    <w:rsid w:val="674370F9"/>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EC1131"/>
    <w:rsid w:val="6BFD799F"/>
    <w:rsid w:val="6C1562EE"/>
    <w:rsid w:val="6C4A2E5A"/>
    <w:rsid w:val="6C8138D0"/>
    <w:rsid w:val="6CEF0725"/>
    <w:rsid w:val="6D3C5DB8"/>
    <w:rsid w:val="6D4B2604"/>
    <w:rsid w:val="6D77358F"/>
    <w:rsid w:val="6D8030E4"/>
    <w:rsid w:val="6DE7565E"/>
    <w:rsid w:val="6E0E35C4"/>
    <w:rsid w:val="6E0F7A08"/>
    <w:rsid w:val="6E3947F5"/>
    <w:rsid w:val="6E6733A0"/>
    <w:rsid w:val="6E6E3938"/>
    <w:rsid w:val="6E7E29F5"/>
    <w:rsid w:val="6E9C74ED"/>
    <w:rsid w:val="6EC571EB"/>
    <w:rsid w:val="6EF72976"/>
    <w:rsid w:val="6F707345"/>
    <w:rsid w:val="6F795A80"/>
    <w:rsid w:val="6F7C1D2E"/>
    <w:rsid w:val="6F8E0407"/>
    <w:rsid w:val="6FDD069F"/>
    <w:rsid w:val="702B4D16"/>
    <w:rsid w:val="70AA6621"/>
    <w:rsid w:val="7111480F"/>
    <w:rsid w:val="71261F49"/>
    <w:rsid w:val="712E6956"/>
    <w:rsid w:val="71473612"/>
    <w:rsid w:val="71504F32"/>
    <w:rsid w:val="7152309F"/>
    <w:rsid w:val="71596EEA"/>
    <w:rsid w:val="718F7F65"/>
    <w:rsid w:val="71DA6992"/>
    <w:rsid w:val="727B234E"/>
    <w:rsid w:val="728A58B0"/>
    <w:rsid w:val="728F1EE9"/>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7537C1"/>
    <w:rsid w:val="75DB5477"/>
    <w:rsid w:val="75FC6AC3"/>
    <w:rsid w:val="7616619B"/>
    <w:rsid w:val="765D6FCA"/>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846C46"/>
    <w:rsid w:val="7D916256"/>
    <w:rsid w:val="7DD856DA"/>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6415</Words>
  <Characters>7284</Characters>
  <Lines>0</Lines>
  <Paragraphs>0</Paragraphs>
  <TotalTime>6</TotalTime>
  <ScaleCrop>false</ScaleCrop>
  <LinksUpToDate>false</LinksUpToDate>
  <CharactersWithSpaces>7310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2025-03-28T02:41:19Z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8FA4BA5A506144039B2B9694F2FE9AEA</vt:lpwstr>
  </property>
  <property fmtid="{D5CDD505-2E9C-101B-9397-08002B2CF9AE}" pid="4" name="KSOTemplateDocerSaveRecord">
    <vt:lpwstr>eyJoZGlkIjoiZDU4MmQ2ZWMyMDZlYzhmM2M0MmMwNGNmYmFiY2Q3YTQiLCJ1c2VySWQiOiI1Mzk1NTEzNjcifQ==</vt:lpwstr>
  </property>
</Properties>
</file>