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280361">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color w:val="auto"/>
          <w:sz w:val="32"/>
          <w:szCs w:val="32"/>
          <w:highlight w:val="none"/>
        </w:rPr>
      </w:pPr>
    </w:p>
    <w:p w14:paraId="4CDC5C08">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14:paraId="6C2B23F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沙湾市军粮供应站</w:t>
      </w:r>
    </w:p>
    <w:p w14:paraId="5A7D807F">
      <w:pPr>
        <w:keepNext w:val="0"/>
        <w:keepLines w:val="0"/>
        <w:pageBreakBefore w:val="0"/>
        <w:widowControl w:val="0"/>
        <w:tabs>
          <w:tab w:val="center" w:pos="4213"/>
          <w:tab w:val="left" w:pos="6859"/>
        </w:tabs>
        <w:kinsoku/>
        <w:wordWrap/>
        <w:overflowPunct/>
        <w:topLinePunct w:val="0"/>
        <w:bidi w:val="0"/>
        <w:adjustRightInd/>
        <w:snapToGrid/>
        <w:spacing w:line="240" w:lineRule="auto"/>
        <w:jc w:val="left"/>
        <w:textAlignment w:val="auto"/>
        <w:rPr>
          <w:rFonts w:hint="eastAsia" w:ascii="方正小标宋_GBK" w:hAnsi="宋体" w:eastAsia="方正小标宋_GBK"/>
          <w:color w:val="auto"/>
          <w:sz w:val="44"/>
          <w:szCs w:val="44"/>
          <w:highlight w:val="none"/>
          <w:lang w:eastAsia="zh-CN"/>
        </w:rPr>
      </w:pPr>
      <w:r>
        <w:rPr>
          <w:rFonts w:hint="eastAsia" w:ascii="方正小标宋_GBK" w:hAnsi="宋体" w:eastAsia="方正小标宋_GBK"/>
          <w:color w:val="auto"/>
          <w:sz w:val="44"/>
          <w:szCs w:val="44"/>
          <w:highlight w:val="none"/>
          <w:lang w:eastAsia="zh-CN"/>
        </w:rPr>
        <w:tab/>
      </w:r>
      <w:r>
        <w:rPr>
          <w:rFonts w:hint="eastAsia" w:ascii="方正小标宋_GBK" w:hAnsi="宋体" w:eastAsia="方正小标宋_GBK"/>
          <w:color w:val="auto"/>
          <w:sz w:val="44"/>
          <w:szCs w:val="44"/>
          <w:highlight w:val="none"/>
          <w:lang w:eastAsia="zh-CN"/>
        </w:rPr>
        <w:t xml:space="preserve"> 2023年度</w:t>
      </w:r>
      <w:r>
        <w:rPr>
          <w:rFonts w:hint="eastAsia" w:ascii="方正小标宋_GBK" w:hAnsi="宋体" w:eastAsia="方正小标宋_GBK"/>
          <w:color w:val="auto"/>
          <w:sz w:val="44"/>
          <w:szCs w:val="44"/>
          <w:highlight w:val="none"/>
        </w:rPr>
        <w:t>部门决算</w:t>
      </w:r>
      <w:r>
        <w:rPr>
          <w:rFonts w:hint="eastAsia" w:ascii="方正小标宋_GBK" w:hAnsi="宋体" w:eastAsia="方正小标宋_GBK"/>
          <w:color w:val="auto"/>
          <w:sz w:val="44"/>
          <w:szCs w:val="44"/>
          <w:highlight w:val="none"/>
          <w:lang w:eastAsia="zh-CN"/>
        </w:rPr>
        <w:tab/>
      </w:r>
    </w:p>
    <w:p w14:paraId="625CDEC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公开说明</w:t>
      </w:r>
    </w:p>
    <w:p w14:paraId="23F755C2">
      <w:pPr>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14:paraId="4645F67D">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14:paraId="7D941140">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单位</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14:paraId="4B5B53F7">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14:paraId="6C91F499">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14:paraId="58C5B7F1">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14:paraId="0BFA0113">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14:paraId="5C404E68">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14:paraId="1ADF1D3E">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14:paraId="65B805FC">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14:paraId="2AF94529">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14:paraId="571E1008">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14:paraId="65156B34">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14:paraId="32878878">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14:paraId="34F3CC65">
      <w:pPr>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14:paraId="6433BB21">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14:paraId="26591CF6">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14:paraId="0C84A05B">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14:paraId="471928E7">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14:paraId="43E33E0B">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14:paraId="571E6BC2">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14:paraId="5EB0D9E4">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14:paraId="3A6F4D40">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14:paraId="25FFD382">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14:paraId="28948407">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14:paraId="115932F8">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14:paraId="04B1631E">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14:paraId="6E300F29">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14:paraId="2121E2CC">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14:paraId="70A2F588">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14:paraId="27B62118">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14:paraId="719CFFB1">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14:paraId="7D205793">
      <w:pPr>
        <w:keepNext w:val="0"/>
        <w:keepLines w:val="0"/>
        <w:pageBreakBefore w:val="0"/>
        <w:widowControl w:val="0"/>
        <w:kinsoku/>
        <w:wordWrap/>
        <w:overflowPunct/>
        <w:topLinePunct w:val="0"/>
        <w:autoSpaceDE/>
        <w:autoSpaceDN/>
        <w:bidi w:val="0"/>
        <w:adjustRightInd/>
        <w:snapToGrid/>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14:paraId="09BD0FE4">
      <w:pPr>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14:paraId="4FA13794">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0" w:name="_Toc24028"/>
      <w:bookmarkStart w:id="1" w:name="_Toc32314"/>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单位</w:t>
      </w:r>
      <w:r>
        <w:rPr>
          <w:rFonts w:hint="eastAsia" w:ascii="黑体" w:hAnsi="黑体" w:eastAsia="黑体"/>
          <w:color w:val="auto"/>
          <w:sz w:val="32"/>
          <w:szCs w:val="32"/>
          <w:highlight w:val="none"/>
        </w:rPr>
        <w:t>概况</w:t>
      </w:r>
      <w:bookmarkEnd w:id="0"/>
      <w:bookmarkEnd w:id="1"/>
    </w:p>
    <w:p w14:paraId="5C606A0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黑体" w:hAnsi="黑体" w:eastAsia="黑体" w:cs="宋体"/>
          <w:bCs/>
          <w:color w:val="auto"/>
          <w:kern w:val="0"/>
          <w:sz w:val="32"/>
          <w:szCs w:val="32"/>
          <w:highlight w:val="none"/>
        </w:rPr>
      </w:pPr>
      <w:bookmarkStart w:id="2" w:name="_Toc30567"/>
      <w:bookmarkStart w:id="3" w:name="_Toc30738"/>
      <w:r>
        <w:rPr>
          <w:rFonts w:hint="eastAsia" w:ascii="黑体" w:hAnsi="黑体" w:eastAsia="黑体" w:cs="宋体"/>
          <w:bCs/>
          <w:color w:val="auto"/>
          <w:kern w:val="0"/>
          <w:sz w:val="32"/>
          <w:szCs w:val="32"/>
          <w:highlight w:val="none"/>
        </w:rPr>
        <w:t>一、主要职能</w:t>
      </w:r>
      <w:bookmarkEnd w:id="2"/>
      <w:bookmarkEnd w:id="3"/>
    </w:p>
    <w:p w14:paraId="781F48F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黑体" w:hAnsi="黑体" w:eastAsia="黑体" w:cs="宋体"/>
          <w:bCs/>
          <w:color w:val="000000" w:themeColor="text1"/>
          <w:kern w:val="0"/>
          <w:sz w:val="32"/>
          <w:szCs w:val="32"/>
          <w14:textFill>
            <w14:solidFill>
              <w14:schemeClr w14:val="tx1"/>
            </w14:solidFill>
          </w14:textFill>
        </w:rPr>
        <w:t xml:space="preserve"> </w:t>
      </w:r>
      <w:r>
        <w:rPr>
          <w:rFonts w:hint="eastAsia" w:ascii="仿宋_GB2312" w:hAnsi="黑体" w:eastAsia="仿宋_GB2312" w:cs="宋体"/>
          <w:bCs/>
          <w:color w:val="000000" w:themeColor="text1"/>
          <w:kern w:val="0"/>
          <w:sz w:val="32"/>
          <w:szCs w:val="32"/>
          <w14:textFill>
            <w14:solidFill>
              <w14:schemeClr w14:val="tx1"/>
            </w14:solidFill>
          </w14:textFill>
        </w:rPr>
        <w:t>（1）认真做好成品粮供应业务、高效履行职责、全力支持</w:t>
      </w:r>
      <w:r>
        <w:rPr>
          <w:rFonts w:hint="eastAsia" w:ascii="仿宋_GB2312" w:hAnsi="黑体" w:eastAsia="仿宋_GB2312" w:cs="宋体"/>
          <w:bCs/>
          <w:color w:val="000000" w:themeColor="text1"/>
          <w:kern w:val="0"/>
          <w:sz w:val="32"/>
          <w:szCs w:val="32"/>
          <w:lang w:val="en-US" w:eastAsia="zh-CN"/>
          <w14:textFill>
            <w14:solidFill>
              <w14:schemeClr w14:val="tx1"/>
            </w14:solidFill>
          </w14:textFill>
        </w:rPr>
        <w:t>伙食单位</w:t>
      </w:r>
      <w:r>
        <w:rPr>
          <w:rFonts w:hint="eastAsia" w:ascii="仿宋_GB2312" w:hAnsi="黑体" w:eastAsia="仿宋_GB2312" w:cs="宋体"/>
          <w:bCs/>
          <w:color w:val="000000" w:themeColor="text1"/>
          <w:kern w:val="0"/>
          <w:sz w:val="32"/>
          <w:szCs w:val="32"/>
          <w14:textFill>
            <w14:solidFill>
              <w14:schemeClr w14:val="tx1"/>
            </w14:solidFill>
          </w14:textFill>
        </w:rPr>
        <w:t>建设作为工作的出发点，以</w:t>
      </w:r>
      <w:r>
        <w:rPr>
          <w:rFonts w:hint="eastAsia" w:ascii="仿宋_GB2312" w:hAnsi="黑体" w:eastAsia="仿宋_GB2312" w:cs="宋体"/>
          <w:bCs/>
          <w:color w:val="000000" w:themeColor="text1"/>
          <w:kern w:val="0"/>
          <w:sz w:val="32"/>
          <w:szCs w:val="32"/>
          <w:lang w:val="en-US" w:eastAsia="zh-CN"/>
          <w14:textFill>
            <w14:solidFill>
              <w14:schemeClr w14:val="tx1"/>
            </w14:solidFill>
          </w14:textFill>
        </w:rPr>
        <w:t>伙食单位</w:t>
      </w:r>
      <w:r>
        <w:rPr>
          <w:rFonts w:hint="eastAsia" w:ascii="仿宋_GB2312" w:hAnsi="黑体" w:eastAsia="仿宋_GB2312" w:cs="宋体"/>
          <w:bCs/>
          <w:color w:val="000000" w:themeColor="text1"/>
          <w:kern w:val="0"/>
          <w:sz w:val="32"/>
          <w:szCs w:val="32"/>
          <w14:textFill>
            <w14:solidFill>
              <w14:schemeClr w14:val="tx1"/>
            </w14:solidFill>
          </w14:textFill>
        </w:rPr>
        <w:t>认可、</w:t>
      </w:r>
      <w:r>
        <w:rPr>
          <w:rFonts w:hint="eastAsia" w:ascii="仿宋_GB2312" w:hAnsi="黑体" w:eastAsia="仿宋_GB2312" w:cs="宋体"/>
          <w:bCs/>
          <w:color w:val="000000" w:themeColor="text1"/>
          <w:kern w:val="0"/>
          <w:sz w:val="32"/>
          <w:szCs w:val="32"/>
          <w:lang w:val="en-US" w:eastAsia="zh-CN"/>
          <w14:textFill>
            <w14:solidFill>
              <w14:schemeClr w14:val="tx1"/>
            </w14:solidFill>
          </w14:textFill>
        </w:rPr>
        <w:t>大家</w:t>
      </w:r>
      <w:r>
        <w:rPr>
          <w:rFonts w:hint="eastAsia" w:ascii="仿宋_GB2312" w:hAnsi="黑体" w:eastAsia="仿宋_GB2312" w:cs="宋体"/>
          <w:bCs/>
          <w:color w:val="000000" w:themeColor="text1"/>
          <w:kern w:val="0"/>
          <w:sz w:val="32"/>
          <w:szCs w:val="32"/>
          <w14:textFill>
            <w14:solidFill>
              <w14:schemeClr w14:val="tx1"/>
            </w14:solidFill>
          </w14:textFill>
        </w:rPr>
        <w:t>满意作为工作的奋斗目标，牢固树立服务基层的思想，坚持“</w:t>
      </w:r>
      <w:r>
        <w:rPr>
          <w:rFonts w:hint="eastAsia" w:ascii="仿宋_GB2312" w:hAnsi="黑体" w:eastAsia="仿宋_GB2312" w:cs="宋体"/>
          <w:bCs/>
          <w:color w:val="000000" w:themeColor="text1"/>
          <w:kern w:val="0"/>
          <w:sz w:val="32"/>
          <w:szCs w:val="32"/>
          <w:lang w:val="en-US" w:eastAsia="zh-CN"/>
          <w14:textFill>
            <w14:solidFill>
              <w14:schemeClr w14:val="tx1"/>
            </w14:solidFill>
          </w14:textFill>
        </w:rPr>
        <w:t>诚实守信</w:t>
      </w:r>
      <w:r>
        <w:rPr>
          <w:rFonts w:hint="eastAsia" w:ascii="仿宋_GB2312" w:hAnsi="黑体" w:eastAsia="仿宋_GB2312" w:cs="宋体"/>
          <w:bCs/>
          <w:color w:val="000000" w:themeColor="text1"/>
          <w:kern w:val="0"/>
          <w:sz w:val="32"/>
          <w:szCs w:val="32"/>
          <w14:textFill>
            <w14:solidFill>
              <w14:schemeClr w14:val="tx1"/>
            </w14:solidFill>
          </w14:textFill>
        </w:rPr>
        <w:t>、</w:t>
      </w:r>
      <w:r>
        <w:rPr>
          <w:rFonts w:hint="eastAsia" w:ascii="仿宋_GB2312" w:hAnsi="黑体" w:eastAsia="仿宋_GB2312" w:cs="宋体"/>
          <w:bCs/>
          <w:color w:val="000000" w:themeColor="text1"/>
          <w:kern w:val="0"/>
          <w:sz w:val="32"/>
          <w:szCs w:val="32"/>
          <w:lang w:val="en-US" w:eastAsia="zh-CN"/>
          <w14:textFill>
            <w14:solidFill>
              <w14:schemeClr w14:val="tx1"/>
            </w14:solidFill>
          </w14:textFill>
        </w:rPr>
        <w:t>货真价实</w:t>
      </w:r>
      <w:r>
        <w:rPr>
          <w:rFonts w:hint="eastAsia" w:ascii="仿宋_GB2312" w:hAnsi="黑体" w:eastAsia="仿宋_GB2312" w:cs="宋体"/>
          <w:bCs/>
          <w:color w:val="000000" w:themeColor="text1"/>
          <w:kern w:val="0"/>
          <w:sz w:val="32"/>
          <w:szCs w:val="32"/>
          <w14:textFill>
            <w14:solidFill>
              <w14:schemeClr w14:val="tx1"/>
            </w14:solidFill>
          </w14:textFill>
        </w:rPr>
        <w:t>；</w:t>
      </w:r>
      <w:r>
        <w:rPr>
          <w:rFonts w:hint="eastAsia" w:ascii="仿宋_GB2312" w:hAnsi="黑体" w:eastAsia="仿宋_GB2312" w:cs="宋体"/>
          <w:bCs/>
          <w:color w:val="000000" w:themeColor="text1"/>
          <w:kern w:val="0"/>
          <w:sz w:val="32"/>
          <w:szCs w:val="32"/>
          <w:lang w:val="en-US" w:eastAsia="zh-CN"/>
          <w14:textFill>
            <w14:solidFill>
              <w14:schemeClr w14:val="tx1"/>
            </w14:solidFill>
          </w14:textFill>
        </w:rPr>
        <w:t>品种齐全</w:t>
      </w:r>
      <w:r>
        <w:rPr>
          <w:rFonts w:hint="eastAsia" w:ascii="仿宋_GB2312" w:hAnsi="黑体" w:eastAsia="仿宋_GB2312" w:cs="宋体"/>
          <w:bCs/>
          <w:color w:val="000000" w:themeColor="text1"/>
          <w:kern w:val="0"/>
          <w:sz w:val="32"/>
          <w:szCs w:val="32"/>
          <w14:textFill>
            <w14:solidFill>
              <w14:schemeClr w14:val="tx1"/>
            </w14:solidFill>
          </w14:textFill>
        </w:rPr>
        <w:t>、</w:t>
      </w:r>
      <w:r>
        <w:rPr>
          <w:rFonts w:hint="eastAsia" w:ascii="仿宋_GB2312" w:hAnsi="黑体" w:eastAsia="仿宋_GB2312" w:cs="宋体"/>
          <w:bCs/>
          <w:color w:val="000000" w:themeColor="text1"/>
          <w:kern w:val="0"/>
          <w:sz w:val="32"/>
          <w:szCs w:val="32"/>
          <w:lang w:val="en-US" w:eastAsia="zh-CN"/>
          <w14:textFill>
            <w14:solidFill>
              <w14:schemeClr w14:val="tx1"/>
            </w14:solidFill>
          </w14:textFill>
        </w:rPr>
        <w:t>质量保证</w:t>
      </w:r>
      <w:r>
        <w:rPr>
          <w:rFonts w:hint="eastAsia" w:ascii="仿宋_GB2312" w:hAnsi="黑体" w:eastAsia="仿宋_GB2312" w:cs="宋体"/>
          <w:bCs/>
          <w:color w:val="000000" w:themeColor="text1"/>
          <w:kern w:val="0"/>
          <w:sz w:val="32"/>
          <w:szCs w:val="32"/>
          <w14:textFill>
            <w14:solidFill>
              <w14:schemeClr w14:val="tx1"/>
            </w14:solidFill>
          </w14:textFill>
        </w:rPr>
        <w:t>；主副并进、以副补主”的</w:t>
      </w:r>
      <w:r>
        <w:rPr>
          <w:rFonts w:hint="eastAsia" w:ascii="仿宋_GB2312" w:hAnsi="黑体" w:eastAsia="仿宋_GB2312" w:cs="宋体"/>
          <w:bCs/>
          <w:color w:val="000000" w:themeColor="text1"/>
          <w:kern w:val="0"/>
          <w:sz w:val="32"/>
          <w:szCs w:val="32"/>
          <w:lang w:val="en-US" w:eastAsia="zh-CN"/>
          <w14:textFill>
            <w14:solidFill>
              <w14:schemeClr w14:val="tx1"/>
            </w14:solidFill>
          </w14:textFill>
        </w:rPr>
        <w:t>成品</w:t>
      </w:r>
      <w:r>
        <w:rPr>
          <w:rFonts w:hint="eastAsia" w:ascii="仿宋_GB2312" w:hAnsi="黑体" w:eastAsia="仿宋_GB2312" w:cs="宋体"/>
          <w:bCs/>
          <w:color w:val="000000" w:themeColor="text1"/>
          <w:kern w:val="0"/>
          <w:sz w:val="32"/>
          <w:szCs w:val="32"/>
          <w14:textFill>
            <w14:solidFill>
              <w14:schemeClr w14:val="tx1"/>
            </w14:solidFill>
          </w14:textFill>
        </w:rPr>
        <w:t>粮供应发展思路，为</w:t>
      </w:r>
      <w:r>
        <w:rPr>
          <w:rFonts w:hint="eastAsia" w:ascii="仿宋_GB2312" w:hAnsi="黑体" w:eastAsia="仿宋_GB2312" w:cs="宋体"/>
          <w:bCs/>
          <w:color w:val="000000" w:themeColor="text1"/>
          <w:kern w:val="0"/>
          <w:sz w:val="32"/>
          <w:szCs w:val="32"/>
          <w:lang w:val="en-US" w:eastAsia="zh-CN"/>
          <w14:textFill>
            <w14:solidFill>
              <w14:schemeClr w14:val="tx1"/>
            </w14:solidFill>
          </w14:textFill>
        </w:rPr>
        <w:t>伙食单位</w:t>
      </w:r>
      <w:r>
        <w:rPr>
          <w:rFonts w:hint="eastAsia" w:ascii="仿宋_GB2312" w:hAnsi="黑体" w:eastAsia="仿宋_GB2312" w:cs="宋体"/>
          <w:bCs/>
          <w:color w:val="000000" w:themeColor="text1"/>
          <w:kern w:val="0"/>
          <w:sz w:val="32"/>
          <w:szCs w:val="32"/>
          <w14:textFill>
            <w14:solidFill>
              <w14:schemeClr w14:val="tx1"/>
            </w14:solidFill>
          </w14:textFill>
        </w:rPr>
        <w:t>提供全天候的</w:t>
      </w:r>
      <w:r>
        <w:rPr>
          <w:rFonts w:hint="eastAsia" w:ascii="仿宋_GB2312" w:hAnsi="黑体" w:eastAsia="仿宋_GB2312" w:cs="宋体"/>
          <w:bCs/>
          <w:color w:val="000000" w:themeColor="text1"/>
          <w:kern w:val="0"/>
          <w:sz w:val="32"/>
          <w:szCs w:val="32"/>
          <w:lang w:val="en-US" w:eastAsia="zh-CN"/>
          <w14:textFill>
            <w14:solidFill>
              <w14:schemeClr w14:val="tx1"/>
            </w14:solidFill>
          </w14:textFill>
        </w:rPr>
        <w:t>成品</w:t>
      </w:r>
      <w:r>
        <w:rPr>
          <w:rFonts w:hint="eastAsia" w:ascii="仿宋_GB2312" w:hAnsi="黑体" w:eastAsia="仿宋_GB2312" w:cs="宋体"/>
          <w:bCs/>
          <w:color w:val="000000" w:themeColor="text1"/>
          <w:kern w:val="0"/>
          <w:sz w:val="32"/>
          <w:szCs w:val="32"/>
          <w14:textFill>
            <w14:solidFill>
              <w14:schemeClr w14:val="tx1"/>
            </w14:solidFill>
          </w14:textFill>
        </w:rPr>
        <w:t>粮供应保障服务。</w:t>
      </w:r>
      <w:r>
        <w:rPr>
          <w:rFonts w:hint="eastAsia" w:ascii="仿宋_GB2312" w:hAnsi="黑体" w:eastAsia="仿宋_GB2312" w:cs="宋体"/>
          <w:bCs/>
          <w:color w:val="000000" w:themeColor="text1"/>
          <w:kern w:val="0"/>
          <w:sz w:val="32"/>
          <w:szCs w:val="32"/>
          <w14:textFill>
            <w14:solidFill>
              <w14:schemeClr w14:val="tx1"/>
            </w14:solidFill>
          </w14:textFill>
        </w:rPr>
        <w:br w:type="textWrapping"/>
      </w:r>
      <w:r>
        <w:rPr>
          <w:rFonts w:hint="eastAsia" w:ascii="仿宋_GB2312" w:hAnsi="黑体" w:eastAsia="仿宋_GB2312" w:cs="宋体"/>
          <w:bCs/>
          <w:color w:val="000000" w:themeColor="text1"/>
          <w:kern w:val="0"/>
          <w:sz w:val="32"/>
          <w:szCs w:val="32"/>
          <w14:textFill>
            <w14:solidFill>
              <w14:schemeClr w14:val="tx1"/>
            </w14:solidFill>
          </w14:textFill>
        </w:rPr>
        <w:t>　　（2）为加强成品粮供应规范化管理水平，我站从站长到保管员，从采购到出入库，所有岗位和流程都严格按照规章制度办事，认真执行</w:t>
      </w:r>
      <w:r>
        <w:rPr>
          <w:rFonts w:hint="eastAsia" w:ascii="仿宋_GB2312" w:hAnsi="黑体" w:eastAsia="仿宋_GB2312" w:cs="宋体"/>
          <w:bCs/>
          <w:color w:val="000000" w:themeColor="text1"/>
          <w:kern w:val="0"/>
          <w:sz w:val="32"/>
          <w:szCs w:val="32"/>
          <w:lang w:val="en-US" w:eastAsia="zh-CN"/>
          <w14:textFill>
            <w14:solidFill>
              <w14:schemeClr w14:val="tx1"/>
            </w14:solidFill>
          </w14:textFill>
        </w:rPr>
        <w:t>成品</w:t>
      </w:r>
      <w:r>
        <w:rPr>
          <w:rFonts w:hint="eastAsia" w:ascii="仿宋_GB2312" w:hAnsi="黑体" w:eastAsia="仿宋_GB2312" w:cs="宋体"/>
          <w:bCs/>
          <w:color w:val="000000" w:themeColor="text1"/>
          <w:kern w:val="0"/>
          <w:sz w:val="32"/>
          <w:szCs w:val="32"/>
          <w14:textFill>
            <w14:solidFill>
              <w14:schemeClr w14:val="tx1"/>
            </w14:solidFill>
          </w14:textFill>
        </w:rPr>
        <w:t>粮入库“一批一检一报告”制度，不以感观目测替代严格的物理、化学检验，不折不扣地依照国家标准和质量要求，向</w:t>
      </w:r>
      <w:r>
        <w:rPr>
          <w:rFonts w:hint="eastAsia" w:ascii="仿宋_GB2312" w:hAnsi="黑体" w:eastAsia="仿宋_GB2312" w:cs="宋体"/>
          <w:bCs/>
          <w:color w:val="000000" w:themeColor="text1"/>
          <w:kern w:val="0"/>
          <w:sz w:val="32"/>
          <w:szCs w:val="32"/>
          <w:lang w:val="en-US" w:eastAsia="zh-CN"/>
          <w14:textFill>
            <w14:solidFill>
              <w14:schemeClr w14:val="tx1"/>
            </w14:solidFill>
          </w14:textFill>
        </w:rPr>
        <w:t>伙食单位</w:t>
      </w:r>
      <w:r>
        <w:rPr>
          <w:rFonts w:hint="eastAsia" w:ascii="仿宋_GB2312" w:hAnsi="黑体" w:eastAsia="仿宋_GB2312" w:cs="宋体"/>
          <w:bCs/>
          <w:color w:val="000000" w:themeColor="text1"/>
          <w:kern w:val="0"/>
          <w:sz w:val="32"/>
          <w:szCs w:val="32"/>
          <w14:textFill>
            <w14:solidFill>
              <w14:schemeClr w14:val="tx1"/>
            </w14:solidFill>
          </w14:textFill>
        </w:rPr>
        <w:t>提供放心米、优质面，真正做到</w:t>
      </w:r>
      <w:r>
        <w:rPr>
          <w:rFonts w:hint="eastAsia" w:ascii="仿宋_GB2312" w:hAnsi="黑体" w:eastAsia="仿宋_GB2312" w:cs="宋体"/>
          <w:bCs/>
          <w:color w:val="000000" w:themeColor="text1"/>
          <w:kern w:val="0"/>
          <w:sz w:val="32"/>
          <w:szCs w:val="32"/>
          <w:lang w:val="en-US" w:eastAsia="zh-CN"/>
          <w14:textFill>
            <w14:solidFill>
              <w14:schemeClr w14:val="tx1"/>
            </w14:solidFill>
          </w14:textFill>
        </w:rPr>
        <w:t>粮油保供</w:t>
      </w:r>
      <w:r>
        <w:rPr>
          <w:rFonts w:hint="eastAsia" w:ascii="仿宋_GB2312" w:hAnsi="黑体" w:eastAsia="仿宋_GB2312" w:cs="宋体"/>
          <w:bCs/>
          <w:color w:val="000000" w:themeColor="text1"/>
          <w:kern w:val="0"/>
          <w:sz w:val="32"/>
          <w:szCs w:val="32"/>
          <w14:textFill>
            <w14:solidFill>
              <w14:schemeClr w14:val="tx1"/>
            </w14:solidFill>
          </w14:textFill>
        </w:rPr>
        <w:t>无小事，时间再紧不能误</w:t>
      </w:r>
      <w:r>
        <w:rPr>
          <w:rFonts w:hint="eastAsia" w:ascii="仿宋_GB2312" w:hAnsi="黑体" w:eastAsia="仿宋_GB2312" w:cs="宋体"/>
          <w:bCs/>
          <w:color w:val="000000" w:themeColor="text1"/>
          <w:kern w:val="0"/>
          <w:sz w:val="32"/>
          <w:szCs w:val="32"/>
          <w:lang w:val="en-US" w:eastAsia="zh-CN"/>
          <w14:textFill>
            <w14:solidFill>
              <w14:schemeClr w14:val="tx1"/>
            </w14:solidFill>
          </w14:textFill>
        </w:rPr>
        <w:t>伙食单位</w:t>
      </w:r>
      <w:r>
        <w:rPr>
          <w:rFonts w:hint="eastAsia" w:ascii="仿宋_GB2312" w:hAnsi="黑体" w:eastAsia="仿宋_GB2312" w:cs="宋体"/>
          <w:bCs/>
          <w:color w:val="000000" w:themeColor="text1"/>
          <w:kern w:val="0"/>
          <w:sz w:val="32"/>
          <w:szCs w:val="32"/>
          <w14:textFill>
            <w14:solidFill>
              <w14:schemeClr w14:val="tx1"/>
            </w14:solidFill>
          </w14:textFill>
        </w:rPr>
        <w:t>，市场再难不能亏</w:t>
      </w:r>
      <w:r>
        <w:rPr>
          <w:rFonts w:hint="eastAsia" w:ascii="仿宋_GB2312" w:hAnsi="黑体" w:eastAsia="仿宋_GB2312" w:cs="宋体"/>
          <w:bCs/>
          <w:color w:val="000000" w:themeColor="text1"/>
          <w:kern w:val="0"/>
          <w:sz w:val="32"/>
          <w:szCs w:val="32"/>
          <w:lang w:val="en-US" w:eastAsia="zh-CN"/>
          <w14:textFill>
            <w14:solidFill>
              <w14:schemeClr w14:val="tx1"/>
            </w14:solidFill>
          </w14:textFill>
        </w:rPr>
        <w:t>伙食单位</w:t>
      </w:r>
      <w:r>
        <w:rPr>
          <w:rFonts w:hint="eastAsia" w:ascii="仿宋_GB2312" w:hAnsi="黑体" w:eastAsia="仿宋_GB2312" w:cs="宋体"/>
          <w:bCs/>
          <w:color w:val="000000" w:themeColor="text1"/>
          <w:kern w:val="0"/>
          <w:sz w:val="32"/>
          <w:szCs w:val="32"/>
          <w14:textFill>
            <w14:solidFill>
              <w14:schemeClr w14:val="tx1"/>
            </w14:solidFill>
          </w14:textFill>
        </w:rPr>
        <w:t>。</w:t>
      </w:r>
      <w:r>
        <w:rPr>
          <w:rFonts w:hint="eastAsia" w:ascii="仿宋_GB2312" w:hAnsi="黑体" w:eastAsia="仿宋_GB2312" w:cs="宋体"/>
          <w:bCs/>
          <w:color w:val="000000" w:themeColor="text1"/>
          <w:kern w:val="0"/>
          <w:sz w:val="32"/>
          <w:szCs w:val="32"/>
          <w14:textFill>
            <w14:solidFill>
              <w14:schemeClr w14:val="tx1"/>
            </w14:solidFill>
          </w14:textFill>
        </w:rPr>
        <w:br w:type="textWrapping"/>
      </w:r>
      <w:r>
        <w:rPr>
          <w:rFonts w:hint="eastAsia" w:ascii="仿宋_GB2312" w:hAnsi="黑体" w:eastAsia="仿宋_GB2312" w:cs="宋体"/>
          <w:bCs/>
          <w:color w:val="000000" w:themeColor="text1"/>
          <w:kern w:val="0"/>
          <w:sz w:val="32"/>
          <w:szCs w:val="32"/>
          <w14:textFill>
            <w14:solidFill>
              <w14:schemeClr w14:val="tx1"/>
            </w14:solidFill>
          </w14:textFill>
        </w:rPr>
        <w:t>　　（3）我站有计划地组织干部职工到</w:t>
      </w:r>
      <w:r>
        <w:rPr>
          <w:rFonts w:hint="eastAsia" w:ascii="仿宋_GB2312" w:hAnsi="黑体" w:eastAsia="仿宋_GB2312" w:cs="宋体"/>
          <w:bCs/>
          <w:color w:val="000000" w:themeColor="text1"/>
          <w:kern w:val="0"/>
          <w:sz w:val="32"/>
          <w:szCs w:val="32"/>
          <w:lang w:val="en-US" w:eastAsia="zh-CN"/>
          <w14:textFill>
            <w14:solidFill>
              <w14:schemeClr w14:val="tx1"/>
            </w14:solidFill>
          </w14:textFill>
        </w:rPr>
        <w:t>伙食单位</w:t>
      </w:r>
      <w:r>
        <w:rPr>
          <w:rFonts w:hint="eastAsia" w:ascii="仿宋_GB2312" w:hAnsi="黑体" w:eastAsia="仿宋_GB2312" w:cs="宋体"/>
          <w:bCs/>
          <w:color w:val="000000" w:themeColor="text1"/>
          <w:kern w:val="0"/>
          <w:sz w:val="32"/>
          <w:szCs w:val="32"/>
          <w14:textFill>
            <w14:solidFill>
              <w14:schemeClr w14:val="tx1"/>
            </w14:solidFill>
          </w14:textFill>
        </w:rPr>
        <w:t>进行走访慰问，先后走访基层</w:t>
      </w:r>
      <w:r>
        <w:rPr>
          <w:rFonts w:hint="eastAsia" w:ascii="仿宋_GB2312" w:hAnsi="黑体" w:eastAsia="仿宋_GB2312" w:cs="宋体"/>
          <w:bCs/>
          <w:color w:val="000000" w:themeColor="text1"/>
          <w:kern w:val="0"/>
          <w:sz w:val="32"/>
          <w:szCs w:val="32"/>
          <w:lang w:val="en-US" w:eastAsia="zh-CN"/>
          <w14:textFill>
            <w14:solidFill>
              <w14:schemeClr w14:val="tx1"/>
            </w14:solidFill>
          </w14:textFill>
        </w:rPr>
        <w:t>伙食单位</w:t>
      </w:r>
      <w:r>
        <w:rPr>
          <w:rFonts w:hint="eastAsia" w:ascii="仿宋_GB2312" w:hAnsi="黑体" w:eastAsia="仿宋_GB2312" w:cs="宋体"/>
          <w:bCs/>
          <w:color w:val="000000" w:themeColor="text1"/>
          <w:kern w:val="0"/>
          <w:sz w:val="32"/>
          <w:szCs w:val="32"/>
          <w14:textFill>
            <w14:solidFill>
              <w14:schemeClr w14:val="tx1"/>
            </w14:solidFill>
          </w14:textFill>
        </w:rPr>
        <w:t>5个，了解</w:t>
      </w:r>
      <w:r>
        <w:rPr>
          <w:rFonts w:hint="eastAsia" w:ascii="仿宋_GB2312" w:hAnsi="黑体" w:eastAsia="仿宋_GB2312" w:cs="宋体"/>
          <w:bCs/>
          <w:color w:val="000000" w:themeColor="text1"/>
          <w:kern w:val="0"/>
          <w:sz w:val="32"/>
          <w:szCs w:val="32"/>
          <w:lang w:val="en-US" w:eastAsia="zh-CN"/>
          <w14:textFill>
            <w14:solidFill>
              <w14:schemeClr w14:val="tx1"/>
            </w14:solidFill>
          </w14:textFill>
        </w:rPr>
        <w:t>成品</w:t>
      </w:r>
      <w:r>
        <w:rPr>
          <w:rFonts w:hint="eastAsia" w:ascii="仿宋_GB2312" w:hAnsi="黑体" w:eastAsia="仿宋_GB2312" w:cs="宋体"/>
          <w:bCs/>
          <w:color w:val="000000" w:themeColor="text1"/>
          <w:kern w:val="0"/>
          <w:sz w:val="32"/>
          <w:szCs w:val="32"/>
          <w14:textFill>
            <w14:solidFill>
              <w14:schemeClr w14:val="tx1"/>
            </w14:solidFill>
          </w14:textFill>
        </w:rPr>
        <w:t>粮供应的质量和品种需求。</w:t>
      </w:r>
      <w:r>
        <w:rPr>
          <w:rFonts w:hint="eastAsia" w:ascii="仿宋_GB2312" w:hAnsi="黑体" w:eastAsia="仿宋_GB2312" w:cs="宋体"/>
          <w:bCs/>
          <w:color w:val="000000" w:themeColor="text1"/>
          <w:kern w:val="0"/>
          <w:sz w:val="32"/>
          <w:szCs w:val="32"/>
          <w14:textFill>
            <w14:solidFill>
              <w14:schemeClr w14:val="tx1"/>
            </w14:solidFill>
          </w14:textFill>
        </w:rPr>
        <w:br w:type="textWrapping"/>
      </w:r>
      <w:r>
        <w:rPr>
          <w:rFonts w:hint="eastAsia" w:ascii="仿宋_GB2312" w:hAnsi="黑体" w:eastAsia="仿宋_GB2312" w:cs="宋体"/>
          <w:bCs/>
          <w:color w:val="000000" w:themeColor="text1"/>
          <w:kern w:val="0"/>
          <w:sz w:val="32"/>
          <w:szCs w:val="32"/>
          <w14:textFill>
            <w14:solidFill>
              <w14:schemeClr w14:val="tx1"/>
            </w14:solidFill>
          </w14:textFill>
        </w:rPr>
        <w:t>　　（4）继续开展“优质服务，满意在</w:t>
      </w:r>
      <w:r>
        <w:rPr>
          <w:rFonts w:hint="eastAsia" w:ascii="仿宋_GB2312" w:hAnsi="黑体" w:eastAsia="仿宋_GB2312" w:cs="宋体"/>
          <w:bCs/>
          <w:color w:val="000000" w:themeColor="text1"/>
          <w:kern w:val="0"/>
          <w:sz w:val="32"/>
          <w:szCs w:val="32"/>
          <w:lang w:val="en-US" w:eastAsia="zh-CN"/>
          <w14:textFill>
            <w14:solidFill>
              <w14:schemeClr w14:val="tx1"/>
            </w14:solidFill>
          </w14:textFill>
        </w:rPr>
        <w:t>伙食单位</w:t>
      </w:r>
      <w:r>
        <w:rPr>
          <w:rFonts w:hint="eastAsia" w:ascii="仿宋_GB2312" w:hAnsi="黑体" w:eastAsia="仿宋_GB2312" w:cs="宋体"/>
          <w:bCs/>
          <w:color w:val="000000" w:themeColor="text1"/>
          <w:kern w:val="0"/>
          <w:sz w:val="32"/>
          <w:szCs w:val="32"/>
          <w14:textFill>
            <w14:solidFill>
              <w14:schemeClr w14:val="tx1"/>
            </w14:solidFill>
          </w14:textFill>
        </w:rPr>
        <w:t>”活动，以</w:t>
      </w:r>
      <w:r>
        <w:rPr>
          <w:rFonts w:hint="eastAsia" w:ascii="仿宋_GB2312" w:hAnsi="黑体" w:eastAsia="仿宋_GB2312" w:cs="宋体"/>
          <w:bCs/>
          <w:color w:val="000000" w:themeColor="text1"/>
          <w:kern w:val="0"/>
          <w:sz w:val="32"/>
          <w:szCs w:val="32"/>
          <w:lang w:val="en-US" w:eastAsia="zh-CN"/>
          <w14:textFill>
            <w14:solidFill>
              <w14:schemeClr w14:val="tx1"/>
            </w14:solidFill>
          </w14:textFill>
        </w:rPr>
        <w:t>伙食单位人员</w:t>
      </w:r>
      <w:r>
        <w:rPr>
          <w:rFonts w:hint="eastAsia" w:ascii="仿宋_GB2312" w:hAnsi="黑体" w:eastAsia="仿宋_GB2312" w:cs="宋体"/>
          <w:bCs/>
          <w:color w:val="000000" w:themeColor="text1"/>
          <w:kern w:val="0"/>
          <w:sz w:val="32"/>
          <w:szCs w:val="32"/>
          <w14:textFill>
            <w14:solidFill>
              <w14:schemeClr w14:val="tx1"/>
            </w14:solidFill>
          </w14:textFill>
        </w:rPr>
        <w:t>是否满意作为</w:t>
      </w:r>
      <w:r>
        <w:rPr>
          <w:rFonts w:hint="eastAsia" w:ascii="仿宋_GB2312" w:hAnsi="黑体" w:eastAsia="仿宋_GB2312" w:cs="宋体"/>
          <w:bCs/>
          <w:color w:val="000000" w:themeColor="text1"/>
          <w:kern w:val="0"/>
          <w:sz w:val="32"/>
          <w:szCs w:val="32"/>
          <w:lang w:val="en-US" w:eastAsia="zh-CN"/>
          <w14:textFill>
            <w14:solidFill>
              <w14:schemeClr w14:val="tx1"/>
            </w14:solidFill>
          </w14:textFill>
        </w:rPr>
        <w:t>粮油保供</w:t>
      </w:r>
      <w:r>
        <w:rPr>
          <w:rFonts w:hint="eastAsia" w:ascii="仿宋_GB2312" w:hAnsi="黑体" w:eastAsia="仿宋_GB2312" w:cs="宋体"/>
          <w:bCs/>
          <w:color w:val="000000" w:themeColor="text1"/>
          <w:kern w:val="0"/>
          <w:sz w:val="32"/>
          <w:szCs w:val="32"/>
          <w14:textFill>
            <w14:solidFill>
              <w14:schemeClr w14:val="tx1"/>
            </w14:solidFill>
          </w14:textFill>
        </w:rPr>
        <w:t>工作检验标准，定期走访</w:t>
      </w:r>
      <w:r>
        <w:rPr>
          <w:rFonts w:hint="eastAsia" w:ascii="仿宋_GB2312" w:hAnsi="黑体" w:eastAsia="仿宋_GB2312" w:cs="宋体"/>
          <w:bCs/>
          <w:color w:val="000000" w:themeColor="text1"/>
          <w:kern w:val="0"/>
          <w:sz w:val="32"/>
          <w:szCs w:val="32"/>
          <w:lang w:val="en-US" w:eastAsia="zh-CN"/>
          <w14:textFill>
            <w14:solidFill>
              <w14:schemeClr w14:val="tx1"/>
            </w14:solidFill>
          </w14:textFill>
        </w:rPr>
        <w:t>伙食单位</w:t>
      </w:r>
      <w:r>
        <w:rPr>
          <w:rFonts w:hint="eastAsia" w:ascii="仿宋_GB2312" w:hAnsi="黑体" w:eastAsia="仿宋_GB2312" w:cs="宋体"/>
          <w:bCs/>
          <w:color w:val="000000" w:themeColor="text1"/>
          <w:kern w:val="0"/>
          <w:sz w:val="32"/>
          <w:szCs w:val="32"/>
          <w14:textFill>
            <w14:solidFill>
              <w14:schemeClr w14:val="tx1"/>
            </w14:solidFill>
          </w14:textFill>
        </w:rPr>
        <w:t>，开展粮油科技进</w:t>
      </w:r>
      <w:r>
        <w:rPr>
          <w:rFonts w:hint="eastAsia" w:ascii="仿宋_GB2312" w:hAnsi="黑体" w:eastAsia="仿宋_GB2312" w:cs="宋体"/>
          <w:bCs/>
          <w:color w:val="000000" w:themeColor="text1"/>
          <w:kern w:val="0"/>
          <w:sz w:val="32"/>
          <w:szCs w:val="32"/>
          <w:lang w:val="en-US" w:eastAsia="zh-CN"/>
          <w14:textFill>
            <w14:solidFill>
              <w14:schemeClr w14:val="tx1"/>
            </w14:solidFill>
          </w14:textFill>
        </w:rPr>
        <w:t>伙食单位</w:t>
      </w:r>
      <w:r>
        <w:rPr>
          <w:rFonts w:hint="eastAsia" w:ascii="仿宋_GB2312" w:hAnsi="黑体" w:eastAsia="仿宋_GB2312" w:cs="宋体"/>
          <w:bCs/>
          <w:color w:val="000000" w:themeColor="text1"/>
          <w:kern w:val="0"/>
          <w:sz w:val="32"/>
          <w:szCs w:val="32"/>
          <w14:textFill>
            <w14:solidFill>
              <w14:schemeClr w14:val="tx1"/>
            </w14:solidFill>
          </w14:textFill>
        </w:rPr>
        <w:t>，举办讲座，宣传节粮爱粮政策，倾听部队</w:t>
      </w:r>
      <w:r>
        <w:rPr>
          <w:rFonts w:hint="eastAsia" w:ascii="仿宋_GB2312" w:hAnsi="黑体" w:eastAsia="仿宋_GB2312" w:cs="宋体"/>
          <w:bCs/>
          <w:color w:val="000000" w:themeColor="text1"/>
          <w:kern w:val="0"/>
          <w:sz w:val="32"/>
          <w:szCs w:val="32"/>
          <w:lang w:val="en-US" w:eastAsia="zh-CN"/>
          <w14:textFill>
            <w14:solidFill>
              <w14:schemeClr w14:val="tx1"/>
            </w14:solidFill>
          </w14:textFill>
        </w:rPr>
        <w:t>伙食单位人员</w:t>
      </w:r>
      <w:r>
        <w:rPr>
          <w:rFonts w:hint="eastAsia" w:ascii="仿宋_GB2312" w:hAnsi="黑体" w:eastAsia="仿宋_GB2312" w:cs="宋体"/>
          <w:bCs/>
          <w:color w:val="000000" w:themeColor="text1"/>
          <w:kern w:val="0"/>
          <w:sz w:val="32"/>
          <w:szCs w:val="32"/>
          <w14:textFill>
            <w14:solidFill>
              <w14:schemeClr w14:val="tx1"/>
            </w14:solidFill>
          </w14:textFill>
        </w:rPr>
        <w:t>意见，努力改进工作，以方便</w:t>
      </w:r>
      <w:r>
        <w:rPr>
          <w:rFonts w:hint="eastAsia" w:ascii="仿宋_GB2312" w:hAnsi="黑体" w:eastAsia="仿宋_GB2312" w:cs="宋体"/>
          <w:bCs/>
          <w:color w:val="000000" w:themeColor="text1"/>
          <w:kern w:val="0"/>
          <w:sz w:val="32"/>
          <w:szCs w:val="32"/>
          <w:lang w:val="en-US" w:eastAsia="zh-CN"/>
          <w14:textFill>
            <w14:solidFill>
              <w14:schemeClr w14:val="tx1"/>
            </w14:solidFill>
          </w14:textFill>
        </w:rPr>
        <w:t>伙食单位</w:t>
      </w:r>
      <w:r>
        <w:rPr>
          <w:rFonts w:hint="eastAsia" w:ascii="仿宋_GB2312" w:hAnsi="黑体" w:eastAsia="仿宋_GB2312" w:cs="宋体"/>
          <w:bCs/>
          <w:color w:val="000000" w:themeColor="text1"/>
          <w:kern w:val="0"/>
          <w:sz w:val="32"/>
          <w:szCs w:val="32"/>
          <w14:textFill>
            <w14:solidFill>
              <w14:schemeClr w14:val="tx1"/>
            </w14:solidFill>
          </w14:textFill>
        </w:rPr>
        <w:t>为出发点，开展兑换服务，以满足</w:t>
      </w:r>
      <w:r>
        <w:rPr>
          <w:rFonts w:hint="eastAsia" w:ascii="仿宋_GB2312" w:hAnsi="黑体" w:eastAsia="仿宋_GB2312" w:cs="宋体"/>
          <w:bCs/>
          <w:color w:val="000000" w:themeColor="text1"/>
          <w:kern w:val="0"/>
          <w:sz w:val="32"/>
          <w:szCs w:val="32"/>
          <w:lang w:val="en-US" w:eastAsia="zh-CN"/>
          <w14:textFill>
            <w14:solidFill>
              <w14:schemeClr w14:val="tx1"/>
            </w14:solidFill>
          </w14:textFill>
        </w:rPr>
        <w:t>伙食单位</w:t>
      </w:r>
      <w:r>
        <w:rPr>
          <w:rFonts w:hint="eastAsia" w:ascii="仿宋_GB2312" w:hAnsi="黑体" w:eastAsia="仿宋_GB2312" w:cs="宋体"/>
          <w:bCs/>
          <w:color w:val="000000" w:themeColor="text1"/>
          <w:kern w:val="0"/>
          <w:sz w:val="32"/>
          <w:szCs w:val="32"/>
          <w:lang w:eastAsia="zh-CN"/>
          <w14:textFill>
            <w14:solidFill>
              <w14:schemeClr w14:val="tx1"/>
            </w14:solidFill>
          </w14:textFill>
        </w:rPr>
        <w:t>对</w:t>
      </w:r>
      <w:r>
        <w:rPr>
          <w:rFonts w:hint="eastAsia" w:ascii="仿宋_GB2312" w:hAnsi="黑体" w:eastAsia="仿宋_GB2312" w:cs="宋体"/>
          <w:bCs/>
          <w:color w:val="000000" w:themeColor="text1"/>
          <w:kern w:val="0"/>
          <w:sz w:val="32"/>
          <w:szCs w:val="32"/>
          <w14:textFill>
            <w14:solidFill>
              <w14:schemeClr w14:val="tx1"/>
            </w14:solidFill>
          </w14:textFill>
        </w:rPr>
        <w:t>生活需要，不断提高服务水平，严格执行国家</w:t>
      </w:r>
      <w:r>
        <w:rPr>
          <w:rFonts w:hint="eastAsia" w:ascii="仿宋_GB2312" w:hAnsi="黑体" w:eastAsia="仿宋_GB2312" w:cs="宋体"/>
          <w:bCs/>
          <w:color w:val="000000" w:themeColor="text1"/>
          <w:kern w:val="0"/>
          <w:sz w:val="32"/>
          <w:szCs w:val="32"/>
          <w:lang w:val="en-US" w:eastAsia="zh-CN"/>
          <w14:textFill>
            <w14:solidFill>
              <w14:schemeClr w14:val="tx1"/>
            </w14:solidFill>
          </w14:textFill>
        </w:rPr>
        <w:t>粮油保供</w:t>
      </w:r>
      <w:r>
        <w:rPr>
          <w:rFonts w:hint="eastAsia" w:ascii="仿宋_GB2312" w:hAnsi="黑体" w:eastAsia="仿宋_GB2312" w:cs="宋体"/>
          <w:bCs/>
          <w:color w:val="000000" w:themeColor="text1"/>
          <w:kern w:val="0"/>
          <w:sz w:val="32"/>
          <w:szCs w:val="32"/>
          <w14:textFill>
            <w14:solidFill>
              <w14:schemeClr w14:val="tx1"/>
            </w14:solidFill>
          </w14:textFill>
        </w:rPr>
        <w:t>政策，强化管理和服务，做到执行政策到位，及时、按质、按量完成供应，做到手续完备，服务措施到位。</w:t>
      </w:r>
      <w:r>
        <w:rPr>
          <w:rFonts w:hint="eastAsia" w:ascii="仿宋_GB2312" w:hAnsi="黑体" w:eastAsia="仿宋_GB2312" w:cs="宋体"/>
          <w:bCs/>
          <w:color w:val="000000" w:themeColor="text1"/>
          <w:kern w:val="0"/>
          <w:sz w:val="32"/>
          <w:szCs w:val="32"/>
          <w14:textFill>
            <w14:solidFill>
              <w14:schemeClr w14:val="tx1"/>
            </w14:solidFill>
          </w14:textFill>
        </w:rPr>
        <w:br w:type="textWrapping"/>
      </w:r>
    </w:p>
    <w:p w14:paraId="4C91DA0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4" w:name="_Toc31238"/>
      <w:bookmarkStart w:id="5" w:name="_Toc2151"/>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14:paraId="59C40269">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b/>
          <w:color w:val="auto"/>
          <w:sz w:val="32"/>
          <w:szCs w:val="32"/>
          <w:highlight w:val="none"/>
        </w:rPr>
      </w:pPr>
      <w:r>
        <w:rPr>
          <w:rFonts w:hint="eastAsia" w:ascii="仿宋_GB2312" w:eastAsia="仿宋_GB2312"/>
          <w:color w:val="auto"/>
          <w:sz w:val="32"/>
          <w:szCs w:val="32"/>
          <w:highlight w:val="none"/>
          <w:lang w:val="en-US" w:eastAsia="zh-CN"/>
        </w:rPr>
        <w:t>沙湾市军粮供应站</w:t>
      </w:r>
      <w:r>
        <w:rPr>
          <w:rFonts w:hint="eastAsia" w:ascii="仿宋_GB2312" w:eastAsia="仿宋_GB2312"/>
          <w:color w:val="auto"/>
          <w:sz w:val="32"/>
          <w:szCs w:val="32"/>
          <w:highlight w:val="none"/>
          <w:lang w:eastAsia="zh-CN"/>
        </w:rPr>
        <w:t>2023年度，</w:t>
      </w:r>
      <w:r>
        <w:rPr>
          <w:rFonts w:hint="eastAsia" w:ascii="仿宋_GB2312" w:eastAsia="仿宋_GB2312"/>
          <w:color w:val="auto"/>
          <w:sz w:val="32"/>
          <w:szCs w:val="32"/>
          <w:highlight w:val="none"/>
        </w:rPr>
        <w:t>实有人数</w:t>
      </w:r>
      <w:r>
        <w:rPr>
          <w:rFonts w:hint="eastAsia" w:ascii="仿宋_GB2312" w:eastAsia="仿宋_GB2312"/>
          <w:color w:val="auto"/>
          <w:sz w:val="32"/>
          <w:szCs w:val="32"/>
          <w:highlight w:val="none"/>
          <w:lang w:val="zh-CN" w:eastAsia="zh-CN"/>
        </w:rPr>
        <w:t>19</w:t>
      </w:r>
      <w:r>
        <w:rPr>
          <w:rFonts w:hint="eastAsia" w:ascii="仿宋_GB2312" w:eastAsia="仿宋_GB2312"/>
          <w:color w:val="auto"/>
          <w:sz w:val="32"/>
          <w:szCs w:val="32"/>
          <w:highlight w:val="none"/>
        </w:rPr>
        <w:t>人，其中：在职人员</w:t>
      </w:r>
      <w:r>
        <w:rPr>
          <w:rFonts w:hint="eastAsia" w:ascii="仿宋_GB2312" w:eastAsia="仿宋_GB2312"/>
          <w:color w:val="auto"/>
          <w:sz w:val="32"/>
          <w:szCs w:val="32"/>
          <w:highlight w:val="none"/>
          <w:lang w:val="zh-CN" w:eastAsia="zh-CN"/>
        </w:rPr>
        <w:t>9</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离休人员</w:t>
      </w:r>
      <w:r>
        <w:rPr>
          <w:rFonts w:hint="eastAsia" w:ascii="仿宋_GB2312" w:eastAsia="仿宋_GB2312"/>
          <w:color w:val="auto"/>
          <w:sz w:val="32"/>
          <w:szCs w:val="32"/>
          <w:highlight w:val="none"/>
          <w:lang w:val="zh-CN" w:eastAsia="zh-CN"/>
        </w:rPr>
        <w:t>0</w:t>
      </w:r>
      <w:r>
        <w:rPr>
          <w:rFonts w:hint="eastAsia" w:ascii="仿宋_GB2312" w:eastAsia="仿宋_GB2312"/>
          <w:color w:val="auto"/>
          <w:sz w:val="32"/>
          <w:szCs w:val="32"/>
          <w:highlight w:val="none"/>
        </w:rPr>
        <w:t>人，退休人员</w:t>
      </w:r>
      <w:r>
        <w:rPr>
          <w:rFonts w:hint="eastAsia" w:ascii="仿宋_GB2312" w:eastAsia="仿宋_GB2312"/>
          <w:color w:val="auto"/>
          <w:sz w:val="32"/>
          <w:szCs w:val="32"/>
          <w:highlight w:val="none"/>
          <w:lang w:val="zh-CN" w:eastAsia="zh-CN"/>
        </w:rPr>
        <w:t>10</w:t>
      </w:r>
      <w:r>
        <w:rPr>
          <w:rFonts w:hint="eastAsia" w:ascii="仿宋_GB2312" w:eastAsia="仿宋_GB2312"/>
          <w:color w:val="auto"/>
          <w:sz w:val="32"/>
          <w:szCs w:val="32"/>
          <w:highlight w:val="none"/>
        </w:rPr>
        <w:t>人。</w:t>
      </w:r>
    </w:p>
    <w:p w14:paraId="5C3A91CA">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rPr>
      </w:pPr>
      <w:r>
        <w:rPr>
          <w:rFonts w:hint="eastAsia" w:ascii="仿宋_GB2312" w:hAnsi="黑体" w:eastAsia="仿宋_GB2312" w:cs="宋体"/>
          <w:bCs/>
          <w:color w:val="auto"/>
          <w:kern w:val="0"/>
          <w:sz w:val="32"/>
          <w:szCs w:val="32"/>
          <w:highlight w:val="none"/>
        </w:rPr>
        <w:t>单位无下属预算单位，下设</w:t>
      </w:r>
      <w:r>
        <w:rPr>
          <w:rFonts w:hint="eastAsia" w:ascii="仿宋_GB2312" w:eastAsia="仿宋_GB2312"/>
          <w:color w:val="auto"/>
          <w:sz w:val="32"/>
          <w:szCs w:val="32"/>
          <w:highlight w:val="none"/>
          <w:lang w:val="en-US" w:eastAsia="zh-CN"/>
        </w:rPr>
        <w:t>6</w:t>
      </w:r>
      <w:r>
        <w:rPr>
          <w:rFonts w:hint="eastAsia" w:ascii="仿宋_GB2312" w:hAnsi="黑体" w:eastAsia="仿宋_GB2312" w:cs="宋体"/>
          <w:bCs/>
          <w:color w:val="auto"/>
          <w:kern w:val="0"/>
          <w:sz w:val="32"/>
          <w:szCs w:val="32"/>
          <w:highlight w:val="none"/>
        </w:rPr>
        <w:t>个处室，分别是：</w:t>
      </w:r>
      <w:r>
        <w:rPr>
          <w:rFonts w:hint="eastAsia" w:ascii="仿宋_GB2312" w:hAnsi="黑体" w:eastAsia="仿宋_GB2312" w:cs="宋体"/>
          <w:bCs/>
          <w:color w:val="000000" w:themeColor="text1"/>
          <w:kern w:val="0"/>
          <w:sz w:val="32"/>
          <w:szCs w:val="32"/>
          <w14:textFill>
            <w14:solidFill>
              <w14:schemeClr w14:val="tx1"/>
            </w14:solidFill>
          </w14:textFill>
        </w:rPr>
        <w:t>站长室、书记室、财务室、业务室、化验室、保管室</w:t>
      </w:r>
      <w:r>
        <w:rPr>
          <w:rFonts w:hint="eastAsia" w:ascii="仿宋_GB2312" w:hAnsi="宋体" w:eastAsia="仿宋_GB2312" w:cs="宋体"/>
          <w:color w:val="000000" w:themeColor="text1"/>
          <w:kern w:val="0"/>
          <w:sz w:val="32"/>
          <w:szCs w:val="32"/>
          <w14:textFill>
            <w14:solidFill>
              <w14:schemeClr w14:val="tx1"/>
            </w14:solidFill>
          </w14:textFill>
        </w:rPr>
        <w:t>。</w:t>
      </w:r>
    </w:p>
    <w:p w14:paraId="529C05C0">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hAnsi="宋体" w:eastAsia="仿宋_GB2312" w:cs="宋体"/>
          <w:color w:val="auto"/>
          <w:kern w:val="0"/>
          <w:sz w:val="32"/>
          <w:szCs w:val="32"/>
          <w:highlight w:val="none"/>
        </w:rPr>
        <w:sectPr>
          <w:footerReference r:id="rId3" w:type="default"/>
          <w:pgSz w:w="11906" w:h="16838"/>
          <w:pgMar w:top="1440" w:right="1800" w:bottom="1440" w:left="1800" w:header="851" w:footer="992" w:gutter="0"/>
          <w:cols w:space="720" w:num="1"/>
          <w:docGrid w:type="lines" w:linePitch="312" w:charSpace="0"/>
        </w:sectPr>
      </w:pPr>
    </w:p>
    <w:p w14:paraId="2136C69A">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6" w:name="_Toc3092"/>
      <w:bookmarkStart w:id="7" w:name="_Toc29374"/>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14:paraId="427F7410">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12566"/>
      <w:bookmarkStart w:id="9" w:name="_Toc25314"/>
      <w:r>
        <w:rPr>
          <w:rFonts w:hint="eastAsia" w:ascii="黑体" w:hAnsi="黑体" w:eastAsia="黑体" w:cs="宋体"/>
          <w:bCs/>
          <w:color w:val="auto"/>
          <w:kern w:val="0"/>
          <w:sz w:val="32"/>
          <w:szCs w:val="32"/>
          <w:highlight w:val="none"/>
        </w:rPr>
        <w:t>一、收入支出决算总体情况说明</w:t>
      </w:r>
      <w:bookmarkEnd w:id="8"/>
      <w:bookmarkEnd w:id="9"/>
    </w:p>
    <w:p w14:paraId="4C90A6A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pacing w:val="0"/>
          <w:sz w:val="32"/>
          <w:szCs w:val="32"/>
          <w:highlight w:val="none"/>
          <w:lang w:val="en-US" w:eastAsia="zh-CN"/>
        </w:rPr>
        <w:t>收入总计</w:t>
      </w:r>
      <w:r>
        <w:rPr>
          <w:rFonts w:hint="eastAsia" w:ascii="仿宋_GB2312" w:eastAsia="仿宋_GB2312"/>
          <w:color w:val="auto"/>
          <w:spacing w:val="0"/>
          <w:sz w:val="32"/>
          <w:szCs w:val="32"/>
          <w:highlight w:val="none"/>
          <w:lang w:eastAsia="zh-CN"/>
        </w:rPr>
        <w:t>131.03万元，</w:t>
      </w:r>
      <w:r>
        <w:rPr>
          <w:rFonts w:hint="eastAsia" w:ascii="仿宋_GB2312" w:eastAsia="仿宋_GB2312"/>
          <w:color w:val="auto"/>
          <w:spacing w:val="0"/>
          <w:sz w:val="32"/>
          <w:szCs w:val="32"/>
          <w:highlight w:val="none"/>
          <w:lang w:val="en-US" w:eastAsia="zh-CN"/>
        </w:rPr>
        <w:t>其中：本年收入合计</w:t>
      </w:r>
      <w:r>
        <w:rPr>
          <w:rFonts w:hint="eastAsia" w:ascii="仿宋_GB2312" w:eastAsia="仿宋_GB2312"/>
          <w:color w:val="auto"/>
          <w:spacing w:val="0"/>
          <w:sz w:val="32"/>
          <w:szCs w:val="32"/>
          <w:highlight w:val="none"/>
          <w:lang w:eastAsia="zh-CN"/>
        </w:rPr>
        <w:t>131.03万元，使用非财政拨款结余0.00万元，年初结转和结余0.00万元。</w:t>
      </w:r>
    </w:p>
    <w:p w14:paraId="7D32539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2023</w:t>
      </w:r>
      <w:r>
        <w:rPr>
          <w:rFonts w:hint="eastAsia" w:ascii="仿宋_GB2312" w:eastAsia="仿宋_GB2312"/>
          <w:color w:val="auto"/>
          <w:spacing w:val="0"/>
          <w:sz w:val="32"/>
          <w:szCs w:val="32"/>
          <w:highlight w:val="none"/>
          <w:lang w:eastAsia="zh-CN"/>
        </w:rPr>
        <w:t>年</w:t>
      </w:r>
      <w:r>
        <w:rPr>
          <w:rFonts w:hint="eastAsia" w:ascii="仿宋_GB2312" w:eastAsia="仿宋_GB2312"/>
          <w:color w:val="auto"/>
          <w:spacing w:val="0"/>
          <w:sz w:val="32"/>
          <w:szCs w:val="32"/>
          <w:highlight w:val="none"/>
          <w:lang w:val="en-US" w:eastAsia="zh-CN"/>
        </w:rPr>
        <w:t>度</w:t>
      </w:r>
      <w:r>
        <w:rPr>
          <w:rFonts w:hint="eastAsia" w:ascii="仿宋_GB2312" w:eastAsia="仿宋_GB2312"/>
          <w:color w:val="auto"/>
          <w:spacing w:val="0"/>
          <w:sz w:val="32"/>
          <w:szCs w:val="32"/>
          <w:highlight w:val="none"/>
          <w:lang w:eastAsia="zh-CN"/>
        </w:rPr>
        <w:t>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eastAsia="zh-CN"/>
        </w:rPr>
        <w:t>131.03万元，</w:t>
      </w:r>
      <w:r>
        <w:rPr>
          <w:rFonts w:hint="eastAsia" w:ascii="仿宋_GB2312" w:eastAsia="仿宋_GB2312"/>
          <w:color w:val="auto"/>
          <w:spacing w:val="0"/>
          <w:sz w:val="32"/>
          <w:szCs w:val="32"/>
          <w:highlight w:val="none"/>
          <w:lang w:val="en-US" w:eastAsia="zh-CN"/>
        </w:rPr>
        <w:t>其中：本年支出合计</w:t>
      </w:r>
      <w:r>
        <w:rPr>
          <w:rFonts w:hint="eastAsia" w:ascii="仿宋_GB2312" w:eastAsia="仿宋_GB2312"/>
          <w:color w:val="auto"/>
          <w:spacing w:val="0"/>
          <w:sz w:val="32"/>
          <w:szCs w:val="32"/>
          <w:highlight w:val="none"/>
          <w:lang w:eastAsia="zh-CN"/>
        </w:rPr>
        <w:t>131.03万元，</w:t>
      </w:r>
      <w:r>
        <w:rPr>
          <w:rFonts w:hint="eastAsia" w:ascii="仿宋_GB2312" w:eastAsia="仿宋_GB2312"/>
          <w:color w:val="auto"/>
          <w:spacing w:val="0"/>
          <w:sz w:val="32"/>
          <w:szCs w:val="32"/>
          <w:highlight w:val="none"/>
          <w:lang w:val="en-US" w:eastAsia="zh-CN"/>
        </w:rPr>
        <w:t>结余分配</w:t>
      </w:r>
      <w:r>
        <w:rPr>
          <w:rFonts w:hint="eastAsia" w:ascii="仿宋_GB2312" w:eastAsia="仿宋_GB2312"/>
          <w:color w:val="auto"/>
          <w:spacing w:val="0"/>
          <w:sz w:val="32"/>
          <w:szCs w:val="32"/>
          <w:highlight w:val="none"/>
          <w:lang w:eastAsia="zh-CN"/>
        </w:rPr>
        <w:t>0.00万元，年末结转和结余0.00万元。</w:t>
      </w:r>
    </w:p>
    <w:p w14:paraId="086079E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收入支出总体与上年相比</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增加40.12万元</w:t>
      </w:r>
      <w:r>
        <w:rPr>
          <w:rFonts w:hint="eastAsia" w:ascii="仿宋_GB2312" w:eastAsia="仿宋_GB2312"/>
          <w:color w:val="auto"/>
          <w:spacing w:val="0"/>
          <w:sz w:val="32"/>
          <w:szCs w:val="32"/>
          <w:highlight w:val="none"/>
          <w:lang w:eastAsia="zh-CN"/>
        </w:rPr>
        <w:t>，增长44.13%，主要原因是：</w:t>
      </w:r>
      <w:r>
        <w:rPr>
          <w:rFonts w:hint="eastAsia" w:ascii="仿宋_GB2312" w:eastAsia="仿宋_GB2312"/>
          <w:color w:val="auto"/>
          <w:spacing w:val="0"/>
          <w:sz w:val="32"/>
          <w:szCs w:val="32"/>
          <w:highlight w:val="none"/>
          <w:lang w:val="en-US" w:eastAsia="zh-CN"/>
        </w:rPr>
        <w:t>一是2023年年初调增了社保缴费基数，2023年7月调增了住房公积金缴费基数；二是单位调入1人，工资、社保、公积金、13月工资、取暖费增加；三是调增了在职人员艰苦边远津贴；四是补发了在职及退休人员2022年基础绩效奖，调增在职人员2023年基础绩效奖；五是2022年8月新招录人员3人在2023年转正，增加了工资；六是两名人员追加工龄，增加了工资、津贴。</w:t>
      </w:r>
    </w:p>
    <w:p w14:paraId="4B6737B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rPr>
      </w:pPr>
      <w:bookmarkStart w:id="10" w:name="_Toc12142"/>
      <w:bookmarkStart w:id="11" w:name="_Toc1979"/>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14:paraId="65270CB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本年收入</w:t>
      </w:r>
      <w:r>
        <w:rPr>
          <w:rFonts w:hint="eastAsia" w:ascii="仿宋_GB2312" w:eastAsia="仿宋_GB2312"/>
          <w:color w:val="auto"/>
          <w:sz w:val="32"/>
          <w:szCs w:val="32"/>
          <w:highlight w:val="none"/>
          <w:lang w:eastAsia="zh-CN"/>
        </w:rPr>
        <w:t>131.03</w:t>
      </w:r>
      <w:r>
        <w:rPr>
          <w:rFonts w:hint="eastAsia" w:ascii="仿宋_GB2312" w:eastAsia="仿宋_GB2312"/>
          <w:color w:val="auto"/>
          <w:sz w:val="32"/>
          <w:szCs w:val="32"/>
          <w:highlight w:val="none"/>
        </w:rPr>
        <w:t>万元，其中：财政拨款收入</w:t>
      </w:r>
      <w:r>
        <w:rPr>
          <w:rFonts w:hint="eastAsia" w:ascii="仿宋_GB2312" w:eastAsia="仿宋_GB2312"/>
          <w:color w:val="auto"/>
          <w:sz w:val="32"/>
          <w:szCs w:val="32"/>
          <w:highlight w:val="none"/>
          <w:lang w:val="zh-CN"/>
        </w:rPr>
        <w:t>131.03</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100.00%</w:t>
      </w:r>
      <w:r>
        <w:rPr>
          <w:rFonts w:hint="eastAsia" w:ascii="仿宋_GB2312" w:eastAsia="仿宋_GB2312"/>
          <w:color w:val="auto"/>
          <w:sz w:val="32"/>
          <w:szCs w:val="32"/>
          <w:highlight w:val="none"/>
        </w:rPr>
        <w:t>；上级补助收入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；事业收入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；经营收入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附属单位上缴收入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；其他收入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w:t>
      </w:r>
    </w:p>
    <w:p w14:paraId="5167C600">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2" w:name="_Toc27961"/>
      <w:bookmarkStart w:id="13" w:name="_Toc13201"/>
      <w:r>
        <w:rPr>
          <w:rFonts w:hint="eastAsia" w:ascii="黑体" w:hAnsi="黑体" w:eastAsia="黑体" w:cs="宋体"/>
          <w:bCs/>
          <w:color w:val="auto"/>
          <w:kern w:val="0"/>
          <w:sz w:val="32"/>
          <w:szCs w:val="32"/>
          <w:highlight w:val="none"/>
          <w:lang w:eastAsia="zh-CN"/>
        </w:rPr>
        <w:t>三、支出决算情况说明</w:t>
      </w:r>
      <w:bookmarkEnd w:id="12"/>
      <w:bookmarkEnd w:id="13"/>
    </w:p>
    <w:p w14:paraId="360F454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zh-CN" w:eastAsia="zh-CN"/>
        </w:rPr>
        <w:t>本年支出131.03万元，其中：基本支出131.03万元，占100.00%；项目支出0.00万元，占0.00%；上缴上级支出0.00万元，占0.00%；经营支出0.00万元，占0.00%；对附属单位补助支出0.00万元，占0.00%。</w:t>
      </w:r>
    </w:p>
    <w:p w14:paraId="65AA8B0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4" w:name="_Toc26564"/>
      <w:bookmarkStart w:id="15" w:name="_Toc4393"/>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14:paraId="6040C86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2023年度财政拨款收入</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131.03</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其中：年初财政拨款结转和结余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本年财政拨款收入</w:t>
      </w:r>
      <w:r>
        <w:rPr>
          <w:rFonts w:hint="eastAsia" w:ascii="仿宋_GB2312" w:eastAsia="仿宋_GB2312"/>
          <w:color w:val="auto"/>
          <w:spacing w:val="0"/>
          <w:sz w:val="32"/>
          <w:szCs w:val="32"/>
          <w:highlight w:val="none"/>
          <w:lang w:val="zh-CN" w:eastAsia="zh-CN"/>
        </w:rPr>
        <w:t>131.03</w:t>
      </w:r>
      <w:r>
        <w:rPr>
          <w:rFonts w:hint="eastAsia" w:ascii="仿宋_GB2312" w:eastAsia="仿宋_GB2312"/>
          <w:color w:val="auto"/>
          <w:spacing w:val="0"/>
          <w:sz w:val="32"/>
          <w:szCs w:val="32"/>
          <w:highlight w:val="none"/>
          <w:lang w:eastAsia="zh-CN"/>
        </w:rPr>
        <w:t>万元。财政拨款支出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131.03</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其中：年末财政拨款结转和结余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本年财政拨款支出</w:t>
      </w:r>
      <w:r>
        <w:rPr>
          <w:rFonts w:hint="eastAsia" w:ascii="仿宋_GB2312" w:eastAsia="仿宋_GB2312"/>
          <w:color w:val="auto"/>
          <w:spacing w:val="0"/>
          <w:sz w:val="32"/>
          <w:szCs w:val="32"/>
          <w:highlight w:val="none"/>
          <w:lang w:val="zh-CN" w:eastAsia="zh-CN"/>
        </w:rPr>
        <w:t>131.03</w:t>
      </w:r>
      <w:r>
        <w:rPr>
          <w:rFonts w:hint="eastAsia" w:ascii="仿宋_GB2312" w:eastAsia="仿宋_GB2312"/>
          <w:color w:val="auto"/>
          <w:spacing w:val="0"/>
          <w:sz w:val="32"/>
          <w:szCs w:val="32"/>
          <w:highlight w:val="none"/>
          <w:lang w:eastAsia="zh-CN"/>
        </w:rPr>
        <w:t>万元。</w:t>
      </w:r>
    </w:p>
    <w:p w14:paraId="33873302">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财政拨款收入支出总体与上年相比</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val="zh-CN" w:eastAsia="zh-CN"/>
        </w:rPr>
        <w:t>增加40.12万元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增长44.13%,</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一是2023年年初调增了社保缴费基数，2023年7月调增了住房公积金缴费基数；二是单位调入1人，工资、社保、公积金、13月工资、取暖费增加；三是调增了在职人员艰苦边远津贴；四是补发了在职及退休人员2022年基础绩效奖，调增在职人员2023年基础绩效奖；五是2022年8月新招录人员3人在2023年转正，增加了工资；六是两名人员追加工龄，增加了工资、津贴。</w:t>
      </w:r>
    </w:p>
    <w:p w14:paraId="690DB6B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116.28</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131.03</w:t>
      </w:r>
      <w:r>
        <w:rPr>
          <w:rFonts w:hint="eastAsia" w:ascii="仿宋_GB2312" w:eastAsia="仿宋_GB2312"/>
          <w:color w:val="auto"/>
          <w:spacing w:val="0"/>
          <w:sz w:val="32"/>
          <w:szCs w:val="32"/>
          <w:highlight w:val="none"/>
          <w:lang w:eastAsia="zh-CN"/>
        </w:rPr>
        <w:t>万元，预决算差异率12.68%，主要原因是：</w:t>
      </w:r>
      <w:r>
        <w:rPr>
          <w:rFonts w:hint="eastAsia" w:ascii="仿宋_GB2312" w:eastAsia="仿宋_GB2312"/>
          <w:color w:val="auto"/>
          <w:spacing w:val="0"/>
          <w:sz w:val="32"/>
          <w:szCs w:val="32"/>
          <w:highlight w:val="none"/>
          <w:lang w:val="en-US" w:eastAsia="zh-CN"/>
        </w:rPr>
        <w:t>2023年年初预算数是按照2022年11月末的工资社保测算的，2023年年中发生的调增社保、住房公积金缴费基数、人员调入增资、在职及退休补发2022年基础绩效奖、调增在职人员2023年基础绩效奖、调增艰苦边远津贴、新招录人员增资、两名人员追加工龄增资都不在年初预算里，因此预决算有差异</w:t>
      </w:r>
      <w:r>
        <w:rPr>
          <w:rFonts w:hint="eastAsia" w:ascii="仿宋_GB2312" w:eastAsia="仿宋_GB2312"/>
          <w:color w:val="auto"/>
          <w:spacing w:val="0"/>
          <w:sz w:val="32"/>
          <w:szCs w:val="32"/>
          <w:highlight w:val="none"/>
          <w:lang w:eastAsia="zh-CN"/>
        </w:rPr>
        <w:t>。</w:t>
      </w:r>
    </w:p>
    <w:p w14:paraId="3EBC198D">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6" w:name="_Toc13833"/>
      <w:bookmarkStart w:id="17" w:name="_Toc20360"/>
      <w:r>
        <w:rPr>
          <w:rFonts w:hint="eastAsia" w:ascii="黑体" w:hAnsi="黑体" w:eastAsia="黑体" w:cs="宋体"/>
          <w:bCs/>
          <w:color w:val="auto"/>
          <w:kern w:val="0"/>
          <w:sz w:val="32"/>
          <w:szCs w:val="32"/>
          <w:highlight w:val="none"/>
          <w:lang w:eastAsia="zh-CN"/>
        </w:rPr>
        <w:t>五、一般公共预算财政拨款支出决算情况说明</w:t>
      </w:r>
      <w:bookmarkEnd w:id="16"/>
      <w:bookmarkEnd w:id="17"/>
    </w:p>
    <w:p w14:paraId="4F5B8B0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14:paraId="2315ED8B">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default"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2023年度一般公共预算财政拨款支出131.03万元，占本年支出合计的</w:t>
      </w:r>
      <w:r>
        <w:rPr>
          <w:rFonts w:hint="eastAsia" w:ascii="仿宋_GB2312" w:eastAsia="仿宋_GB2312"/>
          <w:color w:val="auto"/>
          <w:spacing w:val="0"/>
          <w:sz w:val="32"/>
          <w:szCs w:val="32"/>
          <w:highlight w:val="none"/>
          <w:lang w:val="zh-CN" w:eastAsia="zh-CN"/>
        </w:rPr>
        <w:t>100.00%</w:t>
      </w:r>
      <w:r>
        <w:rPr>
          <w:rFonts w:hint="eastAsia" w:ascii="仿宋_GB2312" w:eastAsia="仿宋_GB2312"/>
          <w:color w:val="auto"/>
          <w:spacing w:val="0"/>
          <w:sz w:val="32"/>
          <w:szCs w:val="32"/>
          <w:highlight w:val="none"/>
          <w:lang w:eastAsia="zh-CN"/>
        </w:rPr>
        <w:t>。与上年相比，</w:t>
      </w:r>
      <w:r>
        <w:rPr>
          <w:rFonts w:hint="eastAsia" w:ascii="仿宋_GB2312" w:eastAsia="仿宋_GB2312"/>
          <w:color w:val="auto"/>
          <w:spacing w:val="0"/>
          <w:sz w:val="32"/>
          <w:szCs w:val="32"/>
          <w:highlight w:val="none"/>
          <w:lang w:val="zh-CN" w:eastAsia="zh-CN"/>
        </w:rPr>
        <w:t>增加40.12万元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增长44.13%,</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一是2023年年初调增了社保缴费基数，2023年7月调增了住房公积金缴费基数，增加了支出金额；二是单位调入1人，工资、社保、公积金、13月工资、取暖费增加，增加了支出金额；三是调增了在职人员艰苦边远津贴，增加了支出金额；四是补发了在职及退休人员2022年基础绩效奖，调增在职人员2023年基础绩效奖，增加了支出金额；五是2022年8月新招录人员3人在2023年转正，增加了工资，增加了支出金额；六是两名人员追加工龄，增加了工资、津贴，增加了支出金额</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116.28</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131.03</w:t>
      </w:r>
      <w:r>
        <w:rPr>
          <w:rFonts w:hint="eastAsia" w:ascii="仿宋_GB2312" w:eastAsia="仿宋_GB2312"/>
          <w:color w:val="auto"/>
          <w:spacing w:val="0"/>
          <w:sz w:val="32"/>
          <w:szCs w:val="32"/>
          <w:highlight w:val="none"/>
          <w:lang w:eastAsia="zh-CN"/>
        </w:rPr>
        <w:t>万元，预决算差异率</w:t>
      </w:r>
      <w:r>
        <w:rPr>
          <w:rFonts w:hint="eastAsia" w:ascii="仿宋_GB2312" w:eastAsia="仿宋_GB2312"/>
          <w:color w:val="auto"/>
          <w:spacing w:val="0"/>
          <w:sz w:val="32"/>
          <w:szCs w:val="32"/>
          <w:highlight w:val="none"/>
          <w:lang w:val="zh-CN" w:eastAsia="zh-CN"/>
        </w:rPr>
        <w:t>12.68%</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2023年年初预算数是按照2022年11月末的工资社保测算的，2023年年中发生的调增社保、住房公积金缴费基数、人员调入增资、在职及退休补发2022年基础绩效奖、调增在职人员2023年基础绩效奖、调增艰苦边远津贴、新招录人员增资、两名人员追加工龄增资都不在年初预算里，因此预决算有差异</w:t>
      </w:r>
      <w:r>
        <w:rPr>
          <w:rFonts w:hint="eastAsia" w:ascii="仿宋_GB2312" w:eastAsia="仿宋_GB2312"/>
          <w:color w:val="auto"/>
          <w:spacing w:val="0"/>
          <w:sz w:val="32"/>
          <w:szCs w:val="32"/>
          <w:highlight w:val="none"/>
          <w:lang w:eastAsia="zh-CN"/>
        </w:rPr>
        <w:t>。</w:t>
      </w:r>
    </w:p>
    <w:p w14:paraId="6C024B83">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14:paraId="4EB47808">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1</w:t>
      </w:r>
      <w:r>
        <w:rPr>
          <w:rFonts w:hint="default" w:ascii="仿宋_GB2312" w:hAnsi="Times New Roman" w:eastAsia="仿宋_GB2312" w:cs="Times New Roman"/>
          <w:color w:val="auto"/>
          <w:spacing w:val="0"/>
          <w:kern w:val="2"/>
          <w:sz w:val="32"/>
          <w:szCs w:val="32"/>
          <w:highlight w:val="none"/>
          <w:lang w:val="zh-CN" w:eastAsia="zh-CN" w:bidi="ar-SA"/>
        </w:rPr>
        <w:t>.社会保障和就业支出（类）</w:t>
      </w:r>
      <w:r>
        <w:rPr>
          <w:rFonts w:hint="eastAsia" w:ascii="仿宋_GB2312" w:hAnsi="Times New Roman" w:eastAsia="仿宋_GB2312" w:cs="Times New Roman"/>
          <w:color w:val="auto"/>
          <w:spacing w:val="0"/>
          <w:kern w:val="2"/>
          <w:sz w:val="32"/>
          <w:szCs w:val="32"/>
          <w:highlight w:val="none"/>
          <w:lang w:val="zh-CN" w:eastAsia="zh-CN" w:bidi="ar-SA"/>
        </w:rPr>
        <w:t>114.12</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87.09%</w:t>
      </w:r>
      <w:r>
        <w:rPr>
          <w:rFonts w:hint="default" w:ascii="仿宋_GB2312" w:hAnsi="Times New Roman" w:eastAsia="仿宋_GB2312" w:cs="Times New Roman"/>
          <w:color w:val="auto"/>
          <w:spacing w:val="0"/>
          <w:kern w:val="2"/>
          <w:sz w:val="32"/>
          <w:szCs w:val="32"/>
          <w:highlight w:val="none"/>
          <w:lang w:val="zh-CN" w:eastAsia="zh-CN" w:bidi="ar-SA"/>
        </w:rPr>
        <w:t>；</w:t>
      </w:r>
    </w:p>
    <w:p w14:paraId="5E2C85E4">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2</w:t>
      </w:r>
      <w:r>
        <w:rPr>
          <w:rFonts w:hint="default" w:ascii="仿宋_GB2312" w:hAnsi="Times New Roman" w:eastAsia="仿宋_GB2312" w:cs="Times New Roman"/>
          <w:color w:val="auto"/>
          <w:spacing w:val="0"/>
          <w:kern w:val="2"/>
          <w:sz w:val="32"/>
          <w:szCs w:val="32"/>
          <w:highlight w:val="none"/>
          <w:lang w:val="zh-CN" w:eastAsia="zh-CN" w:bidi="ar-SA"/>
        </w:rPr>
        <w:t>.卫生健康支出（类）</w:t>
      </w:r>
      <w:r>
        <w:rPr>
          <w:rFonts w:hint="eastAsia" w:ascii="仿宋_GB2312" w:hAnsi="Times New Roman" w:eastAsia="仿宋_GB2312" w:cs="Times New Roman"/>
          <w:color w:val="auto"/>
          <w:spacing w:val="0"/>
          <w:kern w:val="2"/>
          <w:sz w:val="32"/>
          <w:szCs w:val="32"/>
          <w:highlight w:val="none"/>
          <w:lang w:val="zh-CN" w:eastAsia="zh-CN" w:bidi="ar-SA"/>
        </w:rPr>
        <w:t>7.74</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5.91%</w:t>
      </w:r>
      <w:r>
        <w:rPr>
          <w:rFonts w:hint="default" w:ascii="仿宋_GB2312" w:hAnsi="Times New Roman" w:eastAsia="仿宋_GB2312" w:cs="Times New Roman"/>
          <w:color w:val="auto"/>
          <w:spacing w:val="0"/>
          <w:kern w:val="2"/>
          <w:sz w:val="32"/>
          <w:szCs w:val="32"/>
          <w:highlight w:val="none"/>
          <w:lang w:val="zh-CN" w:eastAsia="zh-CN" w:bidi="ar-SA"/>
        </w:rPr>
        <w:t>；</w:t>
      </w:r>
    </w:p>
    <w:p w14:paraId="78FC7580">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3</w:t>
      </w:r>
      <w:r>
        <w:rPr>
          <w:rFonts w:hint="default" w:ascii="仿宋_GB2312" w:hAnsi="Times New Roman" w:eastAsia="仿宋_GB2312" w:cs="Times New Roman"/>
          <w:color w:val="auto"/>
          <w:spacing w:val="0"/>
          <w:kern w:val="2"/>
          <w:sz w:val="32"/>
          <w:szCs w:val="32"/>
          <w:highlight w:val="none"/>
          <w:lang w:val="zh-CN" w:eastAsia="zh-CN" w:bidi="ar-SA"/>
        </w:rPr>
        <w:t>.住房保障支出（类）</w:t>
      </w:r>
      <w:r>
        <w:rPr>
          <w:rFonts w:hint="eastAsia" w:ascii="仿宋_GB2312" w:hAnsi="Times New Roman" w:eastAsia="仿宋_GB2312" w:cs="Times New Roman"/>
          <w:color w:val="auto"/>
          <w:spacing w:val="0"/>
          <w:kern w:val="2"/>
          <w:sz w:val="32"/>
          <w:szCs w:val="32"/>
          <w:highlight w:val="none"/>
          <w:lang w:val="zh-CN" w:eastAsia="zh-CN" w:bidi="ar-SA"/>
        </w:rPr>
        <w:t>9.17</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7.00%</w:t>
      </w:r>
      <w:r>
        <w:rPr>
          <w:rFonts w:hint="default" w:ascii="仿宋_GB2312" w:hAnsi="Times New Roman" w:eastAsia="仿宋_GB2312" w:cs="Times New Roman"/>
          <w:color w:val="auto"/>
          <w:spacing w:val="0"/>
          <w:kern w:val="2"/>
          <w:sz w:val="32"/>
          <w:szCs w:val="32"/>
          <w:highlight w:val="none"/>
          <w:lang w:val="zh-CN" w:eastAsia="zh-CN" w:bidi="ar-SA"/>
        </w:rPr>
        <w:t>；</w:t>
      </w:r>
    </w:p>
    <w:p w14:paraId="0A2798E9">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14:paraId="2FD72BF5">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1.卫生健康支出（类）行政事业单位医疗（款）行政单位医疗（项）:支出决算数为5.51万元，比上年决算增加0.52万元，增长10.42%，主要原因是：</w:t>
      </w:r>
      <w:r>
        <w:rPr>
          <w:rFonts w:hint="eastAsia" w:ascii="仿宋_GB2312" w:eastAsia="仿宋_GB2312"/>
          <w:color w:val="auto"/>
          <w:spacing w:val="0"/>
          <w:sz w:val="32"/>
          <w:szCs w:val="32"/>
          <w:highlight w:val="none"/>
          <w:lang w:val="en-US" w:eastAsia="zh-CN"/>
        </w:rPr>
        <w:t>一是2023年年初调增了在职人员基本医保的缴费基数，增加了支出金额；二是单位调入1人，医保缴费增加，增加了支出金额。因此，行政单位医疗增长。</w:t>
      </w:r>
    </w:p>
    <w:p w14:paraId="339D71E3">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2.卫生健康支出（类）行政事业单位医疗（款）公务员医疗补助（项）:支出决算数为2.24万元，比上年决算减少0.17万元，下降7.05%，主要原因是：</w:t>
      </w:r>
      <w:r>
        <w:rPr>
          <w:rFonts w:hint="eastAsia" w:ascii="仿宋_GB2312" w:eastAsia="仿宋_GB2312"/>
          <w:color w:val="auto"/>
          <w:spacing w:val="0"/>
          <w:sz w:val="32"/>
          <w:szCs w:val="32"/>
          <w:highlight w:val="none"/>
          <w:lang w:val="en-US" w:eastAsia="zh-CN"/>
        </w:rPr>
        <w:t>2022年11月起，单位不再负担退休人员的公务员医疗，因此，公务员医疗补助决算数比上年减少，支出下降。</w:t>
      </w:r>
    </w:p>
    <w:p w14:paraId="0840748F">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3.住房保障支出（类）住房改革支出（款）住房公积金（项）:支出决算数为9.17万元，比上年决算增加3.04万元，增长49.59%，主要原因是：</w:t>
      </w:r>
      <w:r>
        <w:rPr>
          <w:rFonts w:hint="eastAsia" w:ascii="仿宋_GB2312" w:eastAsia="仿宋_GB2312"/>
          <w:color w:val="auto"/>
          <w:spacing w:val="0"/>
          <w:sz w:val="32"/>
          <w:szCs w:val="32"/>
          <w:highlight w:val="none"/>
          <w:lang w:val="en-US" w:eastAsia="zh-CN"/>
        </w:rPr>
        <w:t>一是2023年7月调增了在职人员住房公积金的缴费基数，增加了支出金额；二是单位调入1人，住房公积金缴费增加，增加了支出金额。</w:t>
      </w:r>
      <w:r>
        <w:rPr>
          <w:rFonts w:hint="eastAsia" w:ascii="仿宋_GB2312" w:hAnsi="仿宋_GB2312" w:eastAsia="仿宋_GB2312" w:cs="仿宋_GB2312"/>
          <w:color w:val="auto"/>
          <w:kern w:val="2"/>
          <w:sz w:val="32"/>
          <w:szCs w:val="32"/>
          <w:highlight w:val="none"/>
          <w:lang w:val="en-US" w:eastAsia="zh-CN" w:bidi="ar-SA"/>
        </w:rPr>
        <w:t>住房公积金增长。</w:t>
      </w:r>
    </w:p>
    <w:p w14:paraId="0D1FE9F7">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4.社会保障和就业支出（类）退役军人管理事务（款）军供保障（项）:支出决算数为96.73万元，比上年决算增加33.26万元，增长52.40%，主要原因是：</w:t>
      </w:r>
      <w:r>
        <w:rPr>
          <w:rFonts w:hint="eastAsia" w:ascii="仿宋_GB2312" w:eastAsia="仿宋_GB2312"/>
          <w:color w:val="auto"/>
          <w:spacing w:val="0"/>
          <w:sz w:val="32"/>
          <w:szCs w:val="32"/>
          <w:highlight w:val="none"/>
          <w:lang w:val="en-US" w:eastAsia="zh-CN"/>
        </w:rPr>
        <w:t>一是2023年年初调增了社保缴费基数，2023年7月调增了住房公积金缴费基数，增加了支出金额；二是单位调入1人，工资、社保、公积金、13月工资、取暖费增加，增加了支出金额；三是调增了在职人员艰苦边远津贴，增加了支出金额；四是补发了在职及退休人员2022年基础绩效奖，调增在职人员2023年基础绩效奖，增加了支出金额；五是2022年8月新招录人员3人在2023年转正，增加了工资，增加了支出金额；六是两名人员追加工龄，增加了工资、津贴，增加了支出金额</w:t>
      </w:r>
      <w:r>
        <w:rPr>
          <w:rFonts w:hint="eastAsia" w:ascii="仿宋_GB2312" w:eastAsia="仿宋_GB2312"/>
          <w:color w:val="auto"/>
          <w:spacing w:val="0"/>
          <w:sz w:val="32"/>
          <w:szCs w:val="32"/>
          <w:highlight w:val="none"/>
          <w:lang w:eastAsia="zh-CN"/>
        </w:rPr>
        <w:t>。</w:t>
      </w:r>
    </w:p>
    <w:p w14:paraId="3C12C051">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5.社会保障和就业支出（类）行政事业单位养老支出（款）行政单位离退休（项）:支出决算数为5.48万元，比上年决算增加5.48万元，增长100%，主要原因是：</w:t>
      </w:r>
      <w:r>
        <w:rPr>
          <w:rFonts w:hint="eastAsia" w:ascii="仿宋_GB2312" w:eastAsia="仿宋_GB2312"/>
          <w:sz w:val="32"/>
          <w:szCs w:val="32"/>
          <w:highlight w:val="none"/>
          <w:lang w:val="en-US" w:eastAsia="zh-CN"/>
        </w:rPr>
        <w:t>2022年做预算时使用了的是事业单位离退休（项），2023年使用的是</w:t>
      </w:r>
      <w:r>
        <w:rPr>
          <w:rFonts w:hint="eastAsia" w:ascii="仿宋_GB2312" w:hAnsi="仿宋_GB2312" w:eastAsia="仿宋_GB2312" w:cs="仿宋_GB2312"/>
          <w:color w:val="auto"/>
          <w:kern w:val="2"/>
          <w:sz w:val="32"/>
          <w:szCs w:val="32"/>
          <w:highlight w:val="none"/>
          <w:lang w:val="en-US" w:eastAsia="zh-CN" w:bidi="ar-SA"/>
        </w:rPr>
        <w:t>行政单位离退休（项），因此反映出行政单位离退休（项）增长100%。</w:t>
      </w:r>
    </w:p>
    <w:p w14:paraId="7A08BB0A">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eastAsia="仿宋_GB2312"/>
          <w:color w:val="auto"/>
          <w:spacing w:val="0"/>
          <w:sz w:val="32"/>
          <w:szCs w:val="32"/>
          <w:highlight w:val="none"/>
          <w:lang w:val="en-US" w:eastAsia="zh-CN"/>
        </w:rPr>
      </w:pPr>
      <w:r>
        <w:rPr>
          <w:rFonts w:hint="eastAsia" w:ascii="仿宋_GB2312" w:hAnsi="仿宋_GB2312" w:eastAsia="仿宋_GB2312" w:cs="仿宋_GB2312"/>
          <w:color w:val="auto"/>
          <w:kern w:val="2"/>
          <w:sz w:val="32"/>
          <w:szCs w:val="32"/>
          <w:highlight w:val="none"/>
          <w:lang w:val="en-US" w:eastAsia="zh-CN" w:bidi="ar-SA"/>
        </w:rPr>
        <w:t>6.社会保障和就业支出（类）行政事业单位养老支出（款）机关事业单位基本养老保险缴费支出（项）:支出决算数为11.91万元，比上年决算增加5.07万元，增长74.12%，主要原因是：</w:t>
      </w:r>
      <w:r>
        <w:rPr>
          <w:rFonts w:hint="eastAsia" w:ascii="仿宋_GB2312" w:eastAsia="仿宋_GB2312"/>
          <w:color w:val="auto"/>
          <w:spacing w:val="0"/>
          <w:sz w:val="32"/>
          <w:szCs w:val="32"/>
          <w:highlight w:val="none"/>
          <w:lang w:val="en-US" w:eastAsia="zh-CN"/>
        </w:rPr>
        <w:t>一是2023年年初调增了机关养老保险的缴费基数，增加了支出金额；二是单位调入1人，机关养老保险缴费增加，增加了支出金额。</w:t>
      </w:r>
    </w:p>
    <w:p w14:paraId="339B17FF">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7.社会保障和就业支出（类）行政事业单位养老支出（款）事业单位离退休（项）:支出决算数为0.00万元，比上年决算减少3.90万元，下降100%，主要原因是：</w:t>
      </w:r>
      <w:r>
        <w:rPr>
          <w:rFonts w:hint="eastAsia" w:ascii="仿宋_GB2312" w:eastAsia="仿宋_GB2312"/>
          <w:sz w:val="32"/>
          <w:szCs w:val="32"/>
          <w:highlight w:val="none"/>
          <w:lang w:val="en-US" w:eastAsia="zh-CN"/>
        </w:rPr>
        <w:t>2022年做预算时使用了的是事业单位离退休，2023年做预算时使用的是</w:t>
      </w:r>
      <w:r>
        <w:rPr>
          <w:rFonts w:hint="eastAsia" w:ascii="仿宋_GB2312" w:hAnsi="仿宋_GB2312" w:eastAsia="仿宋_GB2312" w:cs="仿宋_GB2312"/>
          <w:color w:val="auto"/>
          <w:kern w:val="2"/>
          <w:sz w:val="32"/>
          <w:szCs w:val="32"/>
          <w:highlight w:val="none"/>
          <w:lang w:val="en-US" w:eastAsia="zh-CN" w:bidi="ar-SA"/>
        </w:rPr>
        <w:t>行政单位离退休，2023年没有使用</w:t>
      </w:r>
      <w:r>
        <w:rPr>
          <w:rFonts w:hint="eastAsia" w:ascii="仿宋_GB2312" w:eastAsia="仿宋_GB2312"/>
          <w:sz w:val="32"/>
          <w:szCs w:val="32"/>
          <w:highlight w:val="none"/>
          <w:lang w:val="en-US" w:eastAsia="zh-CN"/>
        </w:rPr>
        <w:t>事业单位离退休，</w:t>
      </w:r>
      <w:r>
        <w:rPr>
          <w:rFonts w:hint="eastAsia" w:ascii="仿宋_GB2312" w:hAnsi="仿宋_GB2312" w:eastAsia="仿宋_GB2312" w:cs="仿宋_GB2312"/>
          <w:color w:val="auto"/>
          <w:kern w:val="2"/>
          <w:sz w:val="32"/>
          <w:szCs w:val="32"/>
          <w:highlight w:val="none"/>
          <w:lang w:val="en-US" w:eastAsia="zh-CN" w:bidi="ar-SA"/>
        </w:rPr>
        <w:t>因此反映出事业单位离退休下降100%。</w:t>
      </w:r>
    </w:p>
    <w:p w14:paraId="024F5FF6">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8.卫生健康支出（类）行政事业单位医疗（款）事业单位医疗（项）:支出决算数为0.00万元，比上年决算减少3.17万元，下降100%，主要原因是：</w:t>
      </w:r>
      <w:r>
        <w:rPr>
          <w:rFonts w:hint="eastAsia" w:ascii="仿宋_GB2312" w:eastAsia="仿宋_GB2312"/>
          <w:sz w:val="32"/>
          <w:szCs w:val="32"/>
          <w:highlight w:val="none"/>
          <w:lang w:val="en-US" w:eastAsia="zh-CN"/>
        </w:rPr>
        <w:t>2022年做预算时使用的是事业单位医疗，2023年做预算时使用的是</w:t>
      </w:r>
      <w:r>
        <w:rPr>
          <w:rFonts w:hint="eastAsia" w:ascii="仿宋_GB2312" w:hAnsi="仿宋_GB2312" w:eastAsia="仿宋_GB2312" w:cs="仿宋_GB2312"/>
          <w:color w:val="auto"/>
          <w:kern w:val="2"/>
          <w:sz w:val="32"/>
          <w:szCs w:val="32"/>
          <w:highlight w:val="none"/>
          <w:lang w:val="en-US" w:eastAsia="zh-CN" w:bidi="ar-SA"/>
        </w:rPr>
        <w:t>行政单位医疗，2023年没有使用</w:t>
      </w:r>
      <w:r>
        <w:rPr>
          <w:rFonts w:hint="eastAsia" w:ascii="仿宋_GB2312" w:eastAsia="仿宋_GB2312"/>
          <w:sz w:val="32"/>
          <w:szCs w:val="32"/>
          <w:highlight w:val="none"/>
          <w:lang w:val="en-US" w:eastAsia="zh-CN"/>
        </w:rPr>
        <w:t>事业单位医疗，</w:t>
      </w:r>
      <w:r>
        <w:rPr>
          <w:rFonts w:hint="eastAsia" w:ascii="仿宋_GB2312" w:hAnsi="仿宋_GB2312" w:eastAsia="仿宋_GB2312" w:cs="仿宋_GB2312"/>
          <w:color w:val="auto"/>
          <w:kern w:val="2"/>
          <w:sz w:val="32"/>
          <w:szCs w:val="32"/>
          <w:highlight w:val="none"/>
          <w:lang w:val="en-US" w:eastAsia="zh-CN" w:bidi="ar-SA"/>
        </w:rPr>
        <w:t>因此反映出事业单位离退休下降100%。</w:t>
      </w:r>
    </w:p>
    <w:p w14:paraId="4DFABE5A">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14:paraId="181EF90A">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z w:val="32"/>
          <w:szCs w:val="32"/>
          <w:highlight w:val="none"/>
        </w:rPr>
        <w:t>一般公共预算财政拨款基本支出</w:t>
      </w:r>
      <w:r>
        <w:rPr>
          <w:rFonts w:hint="eastAsia" w:ascii="仿宋_GB2312" w:eastAsia="仿宋_GB2312"/>
          <w:color w:val="auto"/>
          <w:sz w:val="32"/>
          <w:szCs w:val="32"/>
          <w:highlight w:val="none"/>
          <w:lang w:eastAsia="zh-CN"/>
        </w:rPr>
        <w:t>131.03</w:t>
      </w:r>
      <w:r>
        <w:rPr>
          <w:rFonts w:hint="eastAsia" w:ascii="仿宋_GB2312" w:eastAsia="仿宋_GB2312"/>
          <w:color w:val="auto"/>
          <w:sz w:val="32"/>
          <w:szCs w:val="32"/>
          <w:highlight w:val="none"/>
        </w:rPr>
        <w:t>万元，其中：人员经费</w:t>
      </w:r>
      <w:r>
        <w:rPr>
          <w:rFonts w:hint="eastAsia" w:ascii="仿宋_GB2312" w:eastAsia="仿宋_GB2312"/>
          <w:color w:val="auto"/>
          <w:sz w:val="32"/>
          <w:szCs w:val="32"/>
          <w:highlight w:val="none"/>
          <w:lang w:eastAsia="zh-CN"/>
        </w:rPr>
        <w:t>129.07</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基本工资、津贴补贴、奖金、机关事业单位基本养老保险缴费、职工基本医疗保险缴费、公务员医疗补助缴费、其他社会保障缴费、住房公积金、退休费、其他对个人和家庭的补助。</w:t>
      </w:r>
    </w:p>
    <w:p w14:paraId="5A634C0C">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仿宋_GB2312" w:eastAsia="仿宋_GB2312"/>
          <w:color w:val="auto"/>
          <w:sz w:val="32"/>
          <w:szCs w:val="32"/>
          <w:highlight w:val="none"/>
          <w:lang w:val="en-US" w:eastAsia="zh-CN"/>
        </w:rPr>
      </w:pPr>
      <w:r>
        <w:rPr>
          <w:rFonts w:hint="eastAsia" w:ascii="仿宋_GB2312" w:eastAsia="仿宋_GB2312"/>
          <w:color w:val="auto"/>
          <w:sz w:val="32"/>
          <w:szCs w:val="32"/>
          <w:highlight w:val="none"/>
        </w:rPr>
        <w:t>公用经费</w:t>
      </w:r>
      <w:r>
        <w:rPr>
          <w:rFonts w:hint="eastAsia" w:ascii="仿宋_GB2312" w:eastAsia="仿宋_GB2312"/>
          <w:color w:val="auto"/>
          <w:sz w:val="32"/>
          <w:szCs w:val="32"/>
          <w:highlight w:val="none"/>
          <w:lang w:eastAsia="zh-CN"/>
        </w:rPr>
        <w:t>1.96</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办公费、工会经费、其他商品和服务支出。</w:t>
      </w:r>
    </w:p>
    <w:p w14:paraId="1BF619A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14:paraId="3EE2FB7B">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2023年度</w:t>
      </w:r>
      <w:r>
        <w:rPr>
          <w:rFonts w:hint="eastAsia" w:ascii="仿宋_GB2312" w:eastAsia="仿宋_GB2312"/>
          <w:color w:val="auto"/>
          <w:sz w:val="32"/>
          <w:szCs w:val="32"/>
          <w:highlight w:val="none"/>
          <w:lang w:val="en-US" w:eastAsia="zh-CN"/>
        </w:rPr>
        <w:t>财政拨款</w:t>
      </w:r>
      <w:r>
        <w:rPr>
          <w:rFonts w:hint="eastAsia" w:ascii="仿宋_GB2312" w:eastAsia="仿宋_GB2312"/>
          <w:color w:val="auto"/>
          <w:sz w:val="32"/>
          <w:szCs w:val="32"/>
          <w:highlight w:val="none"/>
          <w:lang w:val="zh-CN" w:eastAsia="zh-CN"/>
        </w:rPr>
        <w:t>“三公”经费支出0.00万元，</w:t>
      </w:r>
      <w:r>
        <w:rPr>
          <w:rFonts w:hint="eastAsia" w:ascii="仿宋_GB2312" w:eastAsia="仿宋_GB2312"/>
          <w:color w:val="auto"/>
          <w:sz w:val="32"/>
          <w:szCs w:val="32"/>
          <w:highlight w:val="none"/>
          <w:lang w:val="en-US" w:eastAsia="zh-CN"/>
        </w:rPr>
        <w:t>比上年</w:t>
      </w:r>
      <w:r>
        <w:rPr>
          <w:rFonts w:hint="eastAsia" w:ascii="仿宋_GB2312" w:eastAsia="仿宋_GB2312"/>
          <w:color w:val="auto"/>
          <w:sz w:val="32"/>
          <w:szCs w:val="32"/>
          <w:highlight w:val="none"/>
          <w:lang w:val="zh-CN" w:eastAsia="zh-CN"/>
        </w:rPr>
        <w:t>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w:t>
      </w:r>
      <w:r>
        <w:rPr>
          <w:rFonts w:hint="eastAsia" w:ascii="仿宋_GB2312" w:eastAsia="仿宋_GB2312"/>
          <w:color w:val="auto"/>
          <w:sz w:val="32"/>
          <w:szCs w:val="32"/>
          <w:highlight w:val="none"/>
          <w:lang w:val="en-US" w:eastAsia="zh-CN"/>
        </w:rPr>
        <w:t>本单位2023年未发生“三公”经费支出</w:t>
      </w:r>
      <w:r>
        <w:rPr>
          <w:rFonts w:hint="eastAsia" w:ascii="仿宋_GB2312" w:eastAsia="仿宋_GB2312"/>
          <w:color w:val="auto"/>
          <w:sz w:val="32"/>
          <w:szCs w:val="32"/>
          <w:highlight w:val="none"/>
          <w:lang w:val="zh-CN" w:eastAsia="zh-CN"/>
        </w:rPr>
        <w:t>。其中：因公出国（境）费支出0.00万元，占0.00%，比上年增加0.00万元，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w:t>
      </w:r>
      <w:r>
        <w:rPr>
          <w:rFonts w:hint="eastAsia" w:ascii="仿宋_GB2312" w:eastAsia="仿宋_GB2312"/>
          <w:color w:val="auto"/>
          <w:sz w:val="32"/>
          <w:szCs w:val="32"/>
          <w:highlight w:val="none"/>
          <w:lang w:val="en-US" w:eastAsia="zh-CN"/>
        </w:rPr>
        <w:t>本单位2023年未发生</w:t>
      </w:r>
      <w:r>
        <w:rPr>
          <w:rFonts w:hint="eastAsia" w:ascii="仿宋_GB2312" w:eastAsia="仿宋_GB2312"/>
          <w:color w:val="auto"/>
          <w:sz w:val="32"/>
          <w:szCs w:val="32"/>
          <w:highlight w:val="none"/>
          <w:lang w:val="zh-CN" w:eastAsia="zh-CN"/>
        </w:rPr>
        <w:t>因公出国（境）费支出；公务用车购置及运行维护费支出0.00万元，占0.00%，比上年增加0.00万元，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w:t>
      </w:r>
      <w:r>
        <w:rPr>
          <w:rFonts w:hint="eastAsia" w:ascii="仿宋_GB2312" w:eastAsia="仿宋_GB2312"/>
          <w:color w:val="auto"/>
          <w:sz w:val="32"/>
          <w:szCs w:val="32"/>
          <w:highlight w:val="none"/>
          <w:lang w:val="en-US" w:eastAsia="zh-CN"/>
        </w:rPr>
        <w:t>本单位2023年未发生</w:t>
      </w:r>
      <w:r>
        <w:rPr>
          <w:rFonts w:hint="eastAsia" w:ascii="仿宋_GB2312" w:eastAsia="仿宋_GB2312"/>
          <w:color w:val="auto"/>
          <w:sz w:val="32"/>
          <w:szCs w:val="32"/>
          <w:highlight w:val="none"/>
          <w:lang w:val="zh-CN" w:eastAsia="zh-CN"/>
        </w:rPr>
        <w:t>公务用车购置及运行维护费支出；公务接待费支出0.00万元，占0.00%，比上年增加0.00万元，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w:t>
      </w:r>
      <w:r>
        <w:rPr>
          <w:rFonts w:hint="eastAsia" w:ascii="仿宋_GB2312" w:eastAsia="仿宋_GB2312"/>
          <w:color w:val="auto"/>
          <w:sz w:val="32"/>
          <w:szCs w:val="32"/>
          <w:highlight w:val="none"/>
          <w:lang w:val="en-US" w:eastAsia="zh-CN"/>
        </w:rPr>
        <w:t>本单位2023年未发生</w:t>
      </w:r>
      <w:r>
        <w:rPr>
          <w:rFonts w:hint="eastAsia" w:ascii="仿宋_GB2312" w:eastAsia="仿宋_GB2312"/>
          <w:color w:val="auto"/>
          <w:sz w:val="32"/>
          <w:szCs w:val="32"/>
          <w:highlight w:val="none"/>
          <w:lang w:val="zh-CN" w:eastAsia="zh-CN"/>
        </w:rPr>
        <w:t>公务接待费支出。</w:t>
      </w:r>
    </w:p>
    <w:p w14:paraId="616E1D09">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具体情况如下：</w:t>
      </w:r>
    </w:p>
    <w:p w14:paraId="7776383C">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因公出国（境）费支出0.00万元。单位全年安排的因公出国（境）团组0个，因公出国（境）0人次。</w:t>
      </w:r>
    </w:p>
    <w:p w14:paraId="70AB2065">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zh-CN" w:eastAsia="zh-CN"/>
        </w:rPr>
        <w:t>公务用车购置及运行维护费0.00万元，其中：公务用车购置费0.00万元，公务用车运行维护费0.00万元。公务用车购置数0辆，公务用车保有量0辆。国有资产占用情况</w:t>
      </w:r>
      <w:r>
        <w:rPr>
          <w:rFonts w:hint="eastAsia" w:ascii="仿宋_GB2312" w:eastAsia="仿宋_GB2312"/>
          <w:color w:val="auto"/>
          <w:sz w:val="32"/>
          <w:szCs w:val="32"/>
          <w:highlight w:val="none"/>
          <w:lang w:val="en-US" w:eastAsia="zh-CN"/>
        </w:rPr>
        <w:t>中固定资产车辆</w:t>
      </w:r>
      <w:r>
        <w:rPr>
          <w:rFonts w:hint="eastAsia" w:ascii="仿宋_GB2312" w:eastAsia="仿宋_GB2312"/>
          <w:color w:val="auto"/>
          <w:sz w:val="32"/>
          <w:szCs w:val="32"/>
          <w:highlight w:val="none"/>
          <w:lang w:val="zh-CN" w:eastAsia="zh-CN"/>
        </w:rPr>
        <w:t>1辆，</w:t>
      </w:r>
      <w:r>
        <w:rPr>
          <w:rFonts w:hint="eastAsia" w:ascii="仿宋_GB2312" w:eastAsia="仿宋_GB2312"/>
          <w:color w:val="auto"/>
          <w:sz w:val="32"/>
          <w:szCs w:val="32"/>
          <w:highlight w:val="none"/>
          <w:lang w:val="en-US" w:eastAsia="zh-CN"/>
        </w:rPr>
        <w:t>与</w:t>
      </w:r>
      <w:r>
        <w:rPr>
          <w:rFonts w:hint="eastAsia" w:ascii="仿宋_GB2312" w:eastAsia="仿宋_GB2312"/>
          <w:color w:val="auto"/>
          <w:sz w:val="32"/>
          <w:szCs w:val="32"/>
          <w:highlight w:val="none"/>
          <w:lang w:val="zh-CN" w:eastAsia="zh-CN"/>
        </w:rPr>
        <w:t>公务用车</w:t>
      </w:r>
      <w:r>
        <w:rPr>
          <w:rFonts w:hint="eastAsia" w:ascii="仿宋_GB2312" w:eastAsia="仿宋_GB2312"/>
          <w:color w:val="auto"/>
          <w:sz w:val="32"/>
          <w:szCs w:val="32"/>
          <w:highlight w:val="none"/>
          <w:lang w:val="en-US" w:eastAsia="zh-CN"/>
        </w:rPr>
        <w:t>保有量差异</w:t>
      </w:r>
      <w:r>
        <w:rPr>
          <w:rFonts w:hint="eastAsia" w:ascii="仿宋_GB2312" w:eastAsia="仿宋_GB2312"/>
          <w:color w:val="auto"/>
          <w:sz w:val="32"/>
          <w:szCs w:val="32"/>
          <w:highlight w:val="none"/>
          <w:lang w:val="zh-CN" w:eastAsia="zh-CN"/>
        </w:rPr>
        <w:t>原因是：</w:t>
      </w:r>
      <w:r>
        <w:rPr>
          <w:rFonts w:hint="eastAsia" w:ascii="仿宋_GB2312" w:eastAsia="仿宋_GB2312"/>
          <w:color w:val="auto"/>
          <w:sz w:val="32"/>
          <w:szCs w:val="32"/>
          <w:highlight w:val="none"/>
          <w:lang w:val="en-US" w:eastAsia="zh-CN"/>
        </w:rPr>
        <w:t>本单位固定资产车辆是一辆上级行业部门配发的电瓶叉车，停放在库房，仅用于装卸物资</w:t>
      </w:r>
      <w:r>
        <w:rPr>
          <w:rFonts w:hint="eastAsia" w:ascii="仿宋_GB2312" w:eastAsia="仿宋_GB2312"/>
          <w:color w:val="auto"/>
          <w:sz w:val="32"/>
          <w:szCs w:val="32"/>
          <w:highlight w:val="none"/>
          <w:lang w:val="zh-CN" w:eastAsia="zh-CN"/>
        </w:rPr>
        <w:t>。</w:t>
      </w:r>
    </w:p>
    <w:p w14:paraId="5957E0F4">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公务接待费0.00万元。单位全年安排的国内公务接待0批次，0人次。</w:t>
      </w:r>
    </w:p>
    <w:p w14:paraId="00166486">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与</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预算相比</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val="zh-CN" w:eastAsia="zh-CN"/>
        </w:rPr>
        <w:t>财政拨款“三公”经费支出</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color w:val="auto"/>
          <w:sz w:val="32"/>
          <w:szCs w:val="32"/>
          <w:highlight w:val="none"/>
          <w:lang w:val="en-US" w:eastAsia="zh-CN"/>
        </w:rPr>
        <w:t>本单位未发生“三公”经费支出</w:t>
      </w:r>
      <w:r>
        <w:rPr>
          <w:rFonts w:hint="eastAsia" w:ascii="仿宋_GB2312" w:eastAsia="仿宋_GB2312"/>
          <w:color w:val="auto"/>
          <w:sz w:val="32"/>
          <w:szCs w:val="32"/>
          <w:highlight w:val="none"/>
          <w:lang w:val="zh-CN" w:eastAsia="zh-CN"/>
        </w:rPr>
        <w:t>。其中：因公出国（境）费</w:t>
      </w:r>
      <w:r>
        <w:rPr>
          <w:rFonts w:hint="eastAsia" w:ascii="仿宋_GB2312" w:eastAsia="仿宋_GB2312"/>
          <w:color w:val="auto"/>
          <w:sz w:val="32"/>
          <w:szCs w:val="32"/>
          <w:highlight w:val="none"/>
          <w:lang w:val="en-US" w:eastAsia="zh-CN"/>
        </w:rPr>
        <w:t>全年预算数</w:t>
      </w:r>
      <w:r>
        <w:rPr>
          <w:rFonts w:hint="eastAsia" w:ascii="仿宋_GB2312" w:eastAsia="仿宋_GB2312"/>
          <w:color w:val="auto"/>
          <w:sz w:val="32"/>
          <w:szCs w:val="32"/>
          <w:highlight w:val="none"/>
          <w:lang w:val="zh-CN" w:eastAsia="zh-CN"/>
        </w:rPr>
        <w:t>0.00万元，决算数0.00万元，预决算差异率0.00%，主要原因是：</w:t>
      </w:r>
      <w:r>
        <w:rPr>
          <w:rFonts w:hint="eastAsia" w:ascii="仿宋_GB2312" w:eastAsia="仿宋_GB2312"/>
          <w:color w:val="auto"/>
          <w:sz w:val="32"/>
          <w:szCs w:val="32"/>
          <w:highlight w:val="none"/>
          <w:lang w:val="en-US" w:eastAsia="zh-CN"/>
        </w:rPr>
        <w:t>本单位未发生“三公”经费支出</w:t>
      </w:r>
      <w:r>
        <w:rPr>
          <w:rFonts w:hint="eastAsia" w:ascii="仿宋_GB2312" w:eastAsia="仿宋_GB2312"/>
          <w:color w:val="auto"/>
          <w:sz w:val="32"/>
          <w:szCs w:val="32"/>
          <w:highlight w:val="none"/>
          <w:lang w:val="zh-CN" w:eastAsia="zh-CN"/>
        </w:rPr>
        <w:t>；公务用车购置费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color w:val="auto"/>
          <w:sz w:val="32"/>
          <w:szCs w:val="32"/>
          <w:highlight w:val="none"/>
          <w:lang w:val="en-US" w:eastAsia="zh-CN"/>
        </w:rPr>
        <w:t>本单位未发生公务用车购置费</w:t>
      </w:r>
      <w:r>
        <w:rPr>
          <w:rFonts w:hint="eastAsia" w:ascii="仿宋_GB2312" w:eastAsia="仿宋_GB2312"/>
          <w:color w:val="auto"/>
          <w:sz w:val="32"/>
          <w:szCs w:val="32"/>
          <w:highlight w:val="none"/>
          <w:lang w:val="zh-CN" w:eastAsia="zh-CN"/>
        </w:rPr>
        <w:t>；公务用车运行费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color w:val="auto"/>
          <w:sz w:val="32"/>
          <w:szCs w:val="32"/>
          <w:highlight w:val="none"/>
          <w:lang w:val="en-US" w:eastAsia="zh-CN"/>
        </w:rPr>
        <w:t>本单位未发生公务用车运行费</w:t>
      </w:r>
      <w:r>
        <w:rPr>
          <w:rFonts w:hint="eastAsia" w:ascii="仿宋_GB2312" w:eastAsia="仿宋_GB2312"/>
          <w:color w:val="auto"/>
          <w:sz w:val="32"/>
          <w:szCs w:val="32"/>
          <w:highlight w:val="none"/>
          <w:lang w:val="zh-CN" w:eastAsia="zh-CN"/>
        </w:rPr>
        <w:t>；公务接待费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color w:val="auto"/>
          <w:sz w:val="32"/>
          <w:szCs w:val="32"/>
          <w:highlight w:val="none"/>
          <w:lang w:val="en-US" w:eastAsia="zh-CN"/>
        </w:rPr>
        <w:t>本单位未发生公务接待费</w:t>
      </w:r>
      <w:r>
        <w:rPr>
          <w:rFonts w:hint="eastAsia" w:ascii="仿宋_GB2312" w:eastAsia="仿宋_GB2312"/>
          <w:color w:val="auto"/>
          <w:sz w:val="32"/>
          <w:szCs w:val="32"/>
          <w:highlight w:val="none"/>
          <w:lang w:val="zh-CN" w:eastAsia="zh-CN"/>
        </w:rPr>
        <w:t>。</w:t>
      </w:r>
    </w:p>
    <w:p w14:paraId="5B692F2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8" w:name="_Toc5810"/>
      <w:bookmarkStart w:id="19" w:name="_Toc7927"/>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18"/>
      <w:bookmarkEnd w:id="19"/>
    </w:p>
    <w:p w14:paraId="0597F6C9">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本年度无政府性基金预算财政拨款收入、支出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政府性基金预算财政拨款收入支出决算表为空表。</w:t>
      </w:r>
    </w:p>
    <w:p w14:paraId="1FA2E77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14:paraId="797BFE1F">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本年度无国有资本经营预算财政拨款收入、支出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，国有资本经营</w:t>
      </w:r>
      <w:r>
        <w:rPr>
          <w:rFonts w:hint="eastAsia" w:ascii="仿宋_GB2312" w:eastAsia="仿宋_GB2312"/>
          <w:color w:val="auto"/>
          <w:sz w:val="32"/>
          <w:szCs w:val="32"/>
          <w:highlight w:val="none"/>
        </w:rPr>
        <w:t>预算财政拨款收入支出决算表为空表。</w:t>
      </w:r>
    </w:p>
    <w:p w14:paraId="2A47B10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0" w:name="_Toc1235"/>
      <w:bookmarkStart w:id="21" w:name="_Toc7314"/>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0"/>
      <w:bookmarkEnd w:id="21"/>
    </w:p>
    <w:p w14:paraId="23D2DA0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rPr>
      </w:pPr>
      <w:bookmarkStart w:id="22" w:name="_Toc13105"/>
      <w:bookmarkStart w:id="23" w:name="_Toc14519"/>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2"/>
      <w:bookmarkEnd w:id="23"/>
    </w:p>
    <w:p w14:paraId="0E809560">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sz w:val="32"/>
          <w:szCs w:val="32"/>
          <w:highlight w:val="none"/>
          <w:lang w:val="zh-CN" w:eastAsia="zh-CN"/>
        </w:rPr>
      </w:pPr>
      <w:bookmarkStart w:id="24" w:name="_Toc26704"/>
      <w:bookmarkStart w:id="25" w:name="_Toc227"/>
      <w:r>
        <w:rPr>
          <w:rFonts w:hint="eastAsia" w:ascii="仿宋_GB2312" w:hAnsi="仿宋_GB2312" w:eastAsia="仿宋_GB2312" w:cs="仿宋_GB2312"/>
          <w:color w:val="auto"/>
          <w:sz w:val="32"/>
          <w:szCs w:val="32"/>
          <w:highlight w:val="none"/>
          <w:lang w:val="zh-CN" w:eastAsia="zh-CN"/>
        </w:rPr>
        <w:t>2023年度</w:t>
      </w:r>
      <w:r>
        <w:rPr>
          <w:rFonts w:hint="eastAsia" w:ascii="仿宋_GB2312" w:hAnsi="仿宋_GB2312" w:eastAsia="仿宋_GB2312" w:cs="仿宋_GB2312"/>
          <w:color w:val="auto"/>
          <w:sz w:val="32"/>
          <w:szCs w:val="32"/>
          <w:highlight w:val="none"/>
          <w:lang w:val="en-US" w:eastAsia="zh-CN"/>
        </w:rPr>
        <w:t>沙湾市军粮供应站（行政单位和参照公务员法管理事业单位）机关运行经费支出1.96万元，</w:t>
      </w:r>
      <w:r>
        <w:rPr>
          <w:rFonts w:hint="eastAsia" w:ascii="仿宋_GB2312" w:hAnsi="仿宋_GB2312" w:eastAsia="仿宋_GB2312" w:cs="仿宋_GB2312"/>
          <w:color w:val="auto"/>
          <w:sz w:val="32"/>
          <w:szCs w:val="32"/>
          <w:highlight w:val="none"/>
          <w:lang w:val="zh-CN" w:eastAsia="zh-CN"/>
        </w:rPr>
        <w:t>比上年增加0.17万元，增长9.50%，主要原因是：</w:t>
      </w:r>
      <w:r>
        <w:rPr>
          <w:rFonts w:hint="eastAsia" w:ascii="仿宋_GB2312" w:hAnsi="仿宋_GB2312" w:eastAsia="仿宋_GB2312" w:cs="仿宋_GB2312"/>
          <w:color w:val="auto"/>
          <w:sz w:val="32"/>
          <w:szCs w:val="32"/>
          <w:highlight w:val="none"/>
          <w:lang w:val="en-US" w:eastAsia="zh-CN"/>
        </w:rPr>
        <w:t>增加了单位院内绿化水费开支</w:t>
      </w:r>
      <w:r>
        <w:rPr>
          <w:rFonts w:hint="eastAsia" w:ascii="仿宋_GB2312" w:hAnsi="仿宋_GB2312" w:eastAsia="仿宋_GB2312" w:cs="仿宋_GB2312"/>
          <w:color w:val="auto"/>
          <w:sz w:val="32"/>
          <w:szCs w:val="32"/>
          <w:highlight w:val="none"/>
          <w:lang w:val="zh-CN" w:eastAsia="zh-CN"/>
        </w:rPr>
        <w:t>。</w:t>
      </w:r>
    </w:p>
    <w:p w14:paraId="48C54439">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4"/>
      <w:bookmarkEnd w:id="25"/>
    </w:p>
    <w:p w14:paraId="71AF87C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rPr>
      </w:pPr>
      <w:r>
        <w:rPr>
          <w:rFonts w:hint="eastAsia" w:ascii="仿宋_GB2312" w:hAnsi="仿宋_GB2312" w:eastAsia="仿宋_GB2312" w:cs="仿宋_GB2312"/>
          <w:color w:val="auto"/>
          <w:sz w:val="32"/>
          <w:szCs w:val="32"/>
          <w:highlight w:val="none"/>
          <w:lang w:val="zh-CN" w:eastAsia="zh-CN"/>
        </w:rPr>
        <w:t>2023年度</w:t>
      </w:r>
      <w:r>
        <w:rPr>
          <w:rFonts w:hint="eastAsia" w:ascii="仿宋_GB2312" w:hAnsi="仿宋_GB2312" w:eastAsia="仿宋_GB2312" w:cs="仿宋_GB2312"/>
          <w:color w:val="auto"/>
          <w:sz w:val="32"/>
          <w:szCs w:val="32"/>
          <w:highlight w:val="none"/>
          <w:lang w:val="zh-CN"/>
        </w:rPr>
        <w:t>政府采购支出总额</w:t>
      </w:r>
      <w:r>
        <w:rPr>
          <w:rFonts w:hint="eastAsia" w:ascii="仿宋_GB2312" w:hAnsi="仿宋_GB2312" w:eastAsia="仿宋_GB2312" w:cs="仿宋_GB2312"/>
          <w:color w:val="auto"/>
          <w:sz w:val="32"/>
          <w:szCs w:val="32"/>
          <w:highlight w:val="none"/>
          <w:lang w:val="zh-CN" w:eastAsia="zh-CN"/>
        </w:rPr>
        <w:t>0.00万元</w:t>
      </w:r>
      <w:r>
        <w:rPr>
          <w:rFonts w:hint="eastAsia" w:ascii="仿宋_GB2312" w:hAnsi="仿宋_GB2312" w:eastAsia="仿宋_GB2312" w:cs="仿宋_GB2312"/>
          <w:color w:val="auto"/>
          <w:sz w:val="32"/>
          <w:szCs w:val="32"/>
          <w:highlight w:val="none"/>
          <w:lang w:val="zh-CN"/>
        </w:rPr>
        <w:t>，</w:t>
      </w:r>
      <w:r>
        <w:rPr>
          <w:rFonts w:hint="eastAsia" w:ascii="仿宋_GB2312" w:hAnsi="仿宋_GB2312" w:eastAsia="仿宋_GB2312" w:cs="仿宋_GB2312"/>
          <w:color w:val="auto"/>
          <w:sz w:val="32"/>
          <w:szCs w:val="32"/>
          <w:highlight w:val="none"/>
          <w:lang w:val="zh-CN" w:eastAsia="zh-CN"/>
        </w:rPr>
        <w:t>其中：政府采购货物支出0.00万元、政府采购工程支出0.00万元、政府采购服务支出0.00万元。</w:t>
      </w:r>
    </w:p>
    <w:p w14:paraId="2DCCF3C2">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zh-CN" w:eastAsia="zh-CN"/>
        </w:rPr>
        <w:t>授予中小企业合同金额0.00万元，占政府采购支出总额的0.00%，其中：授予小微企业合同金额0.00万元，占政府采购支出总额的0.00%</w:t>
      </w:r>
      <w:r>
        <w:rPr>
          <w:rFonts w:hint="eastAsia" w:ascii="仿宋_GB2312" w:hAnsi="仿宋_GB2312" w:eastAsia="仿宋_GB2312" w:cs="仿宋_GB2312"/>
          <w:color w:val="auto"/>
          <w:sz w:val="32"/>
          <w:szCs w:val="32"/>
          <w:highlight w:val="none"/>
          <w:lang w:val="en-US" w:eastAsia="zh-CN"/>
        </w:rPr>
        <w:t>。</w:t>
      </w:r>
    </w:p>
    <w:p w14:paraId="5C3523F0">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0"/>
          <w:highlight w:val="none"/>
          <w:lang w:val="zh-CN" w:eastAsia="zh-CN"/>
        </w:rPr>
      </w:pPr>
      <w:bookmarkStart w:id="26" w:name="_Toc8391"/>
      <w:bookmarkStart w:id="27" w:name="_Toc4591"/>
      <w:r>
        <w:rPr>
          <w:rFonts w:hint="eastAsia" w:ascii="仿宋_GB2312" w:hAnsi="仿宋_GB2312" w:eastAsia="仿宋_GB2312" w:cs="仿宋_GB2312"/>
          <w:color w:val="auto"/>
          <w:sz w:val="32"/>
          <w:szCs w:val="30"/>
          <w:highlight w:val="none"/>
          <w:lang w:val="zh-CN" w:eastAsia="zh-CN"/>
        </w:rPr>
        <w:t>（三）国有资产占用情况说明</w:t>
      </w:r>
      <w:bookmarkEnd w:id="26"/>
      <w:bookmarkEnd w:id="27"/>
    </w:p>
    <w:p w14:paraId="2D87360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en-US" w:eastAsia="zh-CN"/>
        </w:rPr>
        <w:t>截至2023</w:t>
      </w:r>
      <w:r>
        <w:rPr>
          <w:rFonts w:hint="eastAsia" w:ascii="仿宋_GB2312" w:hAnsi="仿宋_GB2312" w:eastAsia="仿宋_GB2312" w:cs="仿宋_GB2312"/>
          <w:color w:val="auto"/>
          <w:sz w:val="32"/>
          <w:szCs w:val="32"/>
          <w:highlight w:val="none"/>
          <w:lang w:val="zh-CN" w:eastAsia="zh-CN"/>
        </w:rPr>
        <w:t>年</w:t>
      </w:r>
      <w:r>
        <w:rPr>
          <w:rFonts w:hint="eastAsia" w:ascii="仿宋_GB2312" w:hAnsi="仿宋_GB2312" w:eastAsia="仿宋_GB2312" w:cs="仿宋_GB2312"/>
          <w:color w:val="auto"/>
          <w:sz w:val="32"/>
          <w:szCs w:val="32"/>
          <w:highlight w:val="none"/>
          <w:lang w:val="en-US" w:eastAsia="zh-CN"/>
        </w:rPr>
        <w:t>12月31日</w:t>
      </w:r>
      <w:r>
        <w:rPr>
          <w:rFonts w:hint="eastAsia" w:ascii="仿宋_GB2312" w:hAnsi="仿宋_GB2312" w:eastAsia="仿宋_GB2312" w:cs="仿宋_GB2312"/>
          <w:color w:val="auto"/>
          <w:sz w:val="32"/>
          <w:szCs w:val="32"/>
          <w:highlight w:val="none"/>
          <w:lang w:val="zh-CN" w:eastAsia="zh-CN"/>
        </w:rPr>
        <w:t>，</w:t>
      </w:r>
      <w:r>
        <w:rPr>
          <w:rFonts w:hint="eastAsia" w:ascii="仿宋_GB2312" w:hAnsi="仿宋_GB2312" w:eastAsia="仿宋_GB2312" w:cs="仿宋_GB2312"/>
          <w:color w:val="auto"/>
          <w:sz w:val="32"/>
          <w:szCs w:val="32"/>
          <w:highlight w:val="none"/>
          <w:lang w:val="en-US" w:eastAsia="zh-CN"/>
        </w:rPr>
        <w:t>固定资产原值</w:t>
      </w:r>
      <w:r>
        <w:rPr>
          <w:rFonts w:hint="eastAsia" w:ascii="仿宋_GB2312" w:hAnsi="仿宋_GB2312" w:eastAsia="仿宋_GB2312" w:cs="仿宋_GB2312"/>
          <w:color w:val="auto"/>
          <w:sz w:val="32"/>
          <w:szCs w:val="32"/>
          <w:highlight w:val="none"/>
          <w:lang w:val="zh-CN" w:eastAsia="zh-CN"/>
        </w:rPr>
        <w:t>345.43</w:t>
      </w:r>
      <w:r>
        <w:rPr>
          <w:rFonts w:hint="eastAsia" w:ascii="仿宋_GB2312" w:hAnsi="仿宋_GB2312" w:eastAsia="仿宋_GB2312" w:cs="仿宋_GB2312"/>
          <w:color w:val="auto"/>
          <w:sz w:val="32"/>
          <w:szCs w:val="32"/>
          <w:highlight w:val="none"/>
          <w:lang w:val="en-US" w:eastAsia="zh-CN"/>
        </w:rPr>
        <w:t>万元，房</w:t>
      </w:r>
      <w:r>
        <w:rPr>
          <w:rFonts w:hint="eastAsia" w:ascii="仿宋_GB2312" w:hAnsi="仿宋_GB2312" w:eastAsia="仿宋_GB2312" w:cs="仿宋_GB2312"/>
          <w:color w:val="auto"/>
          <w:sz w:val="32"/>
          <w:szCs w:val="32"/>
          <w:highlight w:val="none"/>
          <w:lang w:val="zh-CN" w:eastAsia="zh-CN"/>
        </w:rPr>
        <w:t>屋2,167.91平方米，价值224.03万元。车辆1辆，价值11.00万元，其中：副部（省）级及以上领导用车0辆、主要</w:t>
      </w:r>
      <w:r>
        <w:rPr>
          <w:rFonts w:hint="eastAsia" w:ascii="仿宋_GB2312" w:hAnsi="仿宋_GB2312" w:eastAsia="仿宋_GB2312" w:cs="仿宋_GB2312"/>
          <w:color w:val="auto"/>
          <w:sz w:val="32"/>
          <w:szCs w:val="32"/>
          <w:highlight w:val="none"/>
          <w:lang w:val="en-US" w:eastAsia="zh-CN"/>
        </w:rPr>
        <w:t>负责人</w:t>
      </w:r>
      <w:r>
        <w:rPr>
          <w:rFonts w:hint="eastAsia" w:ascii="仿宋_GB2312" w:hAnsi="仿宋_GB2312" w:eastAsia="仿宋_GB2312" w:cs="仿宋_GB2312"/>
          <w:color w:val="auto"/>
          <w:sz w:val="32"/>
          <w:szCs w:val="32"/>
          <w:highlight w:val="none"/>
          <w:lang w:val="zh-CN" w:eastAsia="zh-CN"/>
        </w:rPr>
        <w:t>用车0辆、机要通信用车0辆、应急保障用车1辆、执法执勤用车0辆、特种专业技术用车0辆、离退休干部</w:t>
      </w:r>
      <w:r>
        <w:rPr>
          <w:rFonts w:hint="eastAsia" w:ascii="仿宋_GB2312" w:hAnsi="仿宋_GB2312" w:eastAsia="仿宋_GB2312" w:cs="仿宋_GB2312"/>
          <w:color w:val="auto"/>
          <w:sz w:val="32"/>
          <w:szCs w:val="32"/>
          <w:highlight w:val="none"/>
          <w:lang w:val="en-US" w:eastAsia="zh-CN"/>
        </w:rPr>
        <w:t>服务</w:t>
      </w:r>
      <w:r>
        <w:rPr>
          <w:rFonts w:hint="eastAsia" w:ascii="仿宋_GB2312" w:hAnsi="仿宋_GB2312" w:eastAsia="仿宋_GB2312" w:cs="仿宋_GB2312"/>
          <w:color w:val="auto"/>
          <w:sz w:val="32"/>
          <w:szCs w:val="32"/>
          <w:highlight w:val="none"/>
          <w:lang w:val="zh-CN" w:eastAsia="zh-CN"/>
        </w:rPr>
        <w:t>用车0辆、其他用车0辆，其他用车主要是：</w:t>
      </w:r>
      <w:r>
        <w:rPr>
          <w:rFonts w:hint="eastAsia" w:ascii="仿宋_GB2312" w:hAnsi="仿宋_GB2312" w:eastAsia="仿宋_GB2312" w:cs="仿宋_GB2312"/>
          <w:color w:val="auto"/>
          <w:sz w:val="32"/>
          <w:szCs w:val="32"/>
          <w:highlight w:val="none"/>
          <w:lang w:val="en-US" w:eastAsia="zh-CN"/>
        </w:rPr>
        <w:t>上级行业部门配发的一辆电瓶叉车，装卸物资</w:t>
      </w:r>
      <w:r>
        <w:rPr>
          <w:rFonts w:hint="eastAsia" w:ascii="仿宋_GB2312" w:hAnsi="仿宋_GB2312" w:eastAsia="仿宋_GB2312" w:cs="仿宋_GB2312"/>
          <w:color w:val="auto"/>
          <w:sz w:val="32"/>
          <w:szCs w:val="32"/>
          <w:highlight w:val="none"/>
          <w:lang w:val="zh-CN" w:eastAsia="zh-CN"/>
        </w:rPr>
        <w:t>；单价100万元（含）以上设备（不含车辆）0</w:t>
      </w:r>
      <w:r>
        <w:rPr>
          <w:rFonts w:hint="eastAsia" w:ascii="仿宋_GB2312" w:hAnsi="仿宋_GB2312" w:eastAsia="仿宋_GB2312" w:cs="仿宋_GB2312"/>
          <w:color w:val="auto"/>
          <w:sz w:val="32"/>
          <w:szCs w:val="32"/>
          <w:highlight w:val="none"/>
          <w:lang w:val="en-US" w:eastAsia="zh-CN"/>
        </w:rPr>
        <w:t>台（</w:t>
      </w:r>
      <w:r>
        <w:rPr>
          <w:rFonts w:hint="eastAsia" w:ascii="仿宋_GB2312" w:hAnsi="仿宋_GB2312" w:eastAsia="仿宋_GB2312" w:cs="仿宋_GB2312"/>
          <w:color w:val="auto"/>
          <w:sz w:val="32"/>
          <w:szCs w:val="32"/>
          <w:highlight w:val="none"/>
          <w:lang w:val="zh-CN" w:eastAsia="zh-CN"/>
        </w:rPr>
        <w:t>套）。</w:t>
      </w:r>
    </w:p>
    <w:p w14:paraId="593F2D9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8" w:name="_Toc435"/>
      <w:bookmarkStart w:id="29" w:name="_Toc11283"/>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28"/>
      <w:bookmarkEnd w:id="29"/>
    </w:p>
    <w:p w14:paraId="1781837B">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eastAsia="zh-CN"/>
        </w:rPr>
        <w:t>根据预算绩效管理要求，我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2023年度</w:t>
      </w:r>
      <w:r>
        <w:rPr>
          <w:rFonts w:hint="eastAsia" w:ascii="仿宋_GB2312" w:hAnsi="仿宋_GB2312" w:eastAsia="仿宋_GB2312" w:cs="仿宋_GB2312"/>
          <w:color w:val="auto"/>
          <w:kern w:val="0"/>
          <w:sz w:val="32"/>
          <w:szCs w:val="32"/>
          <w:highlight w:val="none"/>
        </w:rPr>
        <w:t>预算绩效管理整体</w:t>
      </w:r>
      <w:r>
        <w:rPr>
          <w:rFonts w:hint="eastAsia" w:ascii="仿宋_GB2312" w:hAnsi="仿宋_GB2312" w:eastAsia="仿宋_GB2312" w:cs="仿宋_GB2312"/>
          <w:color w:val="auto"/>
          <w:kern w:val="0"/>
          <w:sz w:val="32"/>
          <w:szCs w:val="32"/>
          <w:highlight w:val="none"/>
          <w:lang w:val="en-US" w:eastAsia="zh-CN"/>
        </w:rPr>
        <w:t>支出</w:t>
      </w:r>
      <w:r>
        <w:rPr>
          <w:rFonts w:hint="eastAsia" w:ascii="仿宋_GB2312" w:hAnsi="仿宋_GB2312" w:eastAsia="仿宋_GB2312" w:cs="仿宋_GB2312"/>
          <w:color w:val="auto"/>
          <w:kern w:val="0"/>
          <w:sz w:val="32"/>
          <w:szCs w:val="32"/>
          <w:highlight w:val="none"/>
        </w:rPr>
        <w:t>绩效自评表</w:t>
      </w:r>
      <w:r>
        <w:rPr>
          <w:rFonts w:hint="eastAsia" w:ascii="仿宋_GB2312" w:eastAsia="仿宋_GB2312"/>
          <w:color w:val="auto"/>
          <w:sz w:val="32"/>
          <w:szCs w:val="32"/>
          <w:highlight w:val="none"/>
          <w:lang w:val="en-US" w:eastAsia="zh-CN"/>
        </w:rPr>
        <w:t>1</w:t>
      </w:r>
      <w:r>
        <w:rPr>
          <w:rFonts w:hint="eastAsia" w:ascii="仿宋_GB2312" w:hAnsi="仿宋_GB2312" w:eastAsia="仿宋_GB2312" w:cs="仿宋_GB2312"/>
          <w:color w:val="auto"/>
          <w:kern w:val="0"/>
          <w:sz w:val="32"/>
          <w:szCs w:val="32"/>
          <w:highlight w:val="none"/>
          <w:lang w:val="en-US" w:eastAsia="zh-CN"/>
        </w:rPr>
        <w:t>个，全年</w:t>
      </w:r>
      <w:r>
        <w:rPr>
          <w:rFonts w:hint="eastAsia" w:ascii="仿宋_GB2312" w:eastAsia="仿宋_GB2312"/>
          <w:color w:val="auto"/>
          <w:sz w:val="32"/>
          <w:szCs w:val="32"/>
          <w:highlight w:val="none"/>
          <w:lang w:val="en-US" w:eastAsia="zh-CN"/>
        </w:rPr>
        <w:t>预算总额131.03</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实际执行总额131.03</w:t>
      </w:r>
      <w:r>
        <w:rPr>
          <w:rFonts w:hint="eastAsia" w:ascii="仿宋_GB2312" w:eastAsia="仿宋_GB2312"/>
          <w:color w:val="auto"/>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w:t>
      </w:r>
      <w:r>
        <w:rPr>
          <w:rFonts w:hint="eastAsia" w:ascii="仿宋_GB2312" w:eastAsia="仿宋_GB2312"/>
          <w:color w:val="auto"/>
          <w:sz w:val="32"/>
          <w:szCs w:val="32"/>
          <w:highlight w:val="none"/>
          <w:lang w:eastAsia="zh-CN"/>
        </w:rPr>
        <w:t>预算绩效评价项目</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lang w:eastAsia="zh-CN"/>
        </w:rPr>
        <w:t>个，</w:t>
      </w:r>
      <w:r>
        <w:rPr>
          <w:rFonts w:hint="eastAsia" w:ascii="仿宋_GB2312" w:eastAsia="仿宋_GB2312"/>
          <w:color w:val="auto"/>
          <w:sz w:val="32"/>
          <w:szCs w:val="32"/>
          <w:highlight w:val="none"/>
          <w:lang w:val="en-US" w:eastAsia="zh-CN"/>
        </w:rPr>
        <w:t>全年预算数0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全年执行数0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。预算绩效管理取得的成效：一是</w:t>
      </w:r>
      <w:r>
        <w:rPr>
          <w:rFonts w:hint="eastAsia" w:ascii="仿宋_GB2312" w:eastAsia="仿宋_GB2312"/>
          <w:color w:val="auto"/>
          <w:sz w:val="32"/>
          <w:szCs w:val="32"/>
          <w:highlight w:val="none"/>
          <w:lang w:val="en-US" w:eastAsia="zh-CN"/>
        </w:rPr>
        <w:t>粮油检验合格率100%</w:t>
      </w:r>
      <w:r>
        <w:rPr>
          <w:rFonts w:hint="eastAsia" w:ascii="仿宋_GB2312" w:eastAsia="仿宋_GB2312"/>
          <w:color w:val="auto"/>
          <w:sz w:val="32"/>
          <w:szCs w:val="32"/>
          <w:highlight w:val="none"/>
          <w:lang w:eastAsia="zh-CN"/>
        </w:rPr>
        <w:t>；二是</w:t>
      </w:r>
      <w:r>
        <w:rPr>
          <w:rFonts w:hint="eastAsia" w:ascii="仿宋_GB2312" w:eastAsia="仿宋_GB2312"/>
          <w:color w:val="auto"/>
          <w:sz w:val="32"/>
          <w:szCs w:val="32"/>
          <w:highlight w:val="none"/>
          <w:lang w:val="en-US" w:eastAsia="zh-CN"/>
        </w:rPr>
        <w:t>部队官兵满意度100%</w:t>
      </w:r>
      <w:r>
        <w:rPr>
          <w:rFonts w:hint="eastAsia" w:ascii="仿宋_GB2312" w:eastAsia="仿宋_GB2312"/>
          <w:color w:val="auto"/>
          <w:sz w:val="32"/>
          <w:szCs w:val="32"/>
          <w:highlight w:val="none"/>
          <w:lang w:eastAsia="zh-CN"/>
        </w:rPr>
        <w:t>。发现的问题及原因：一是“</w:t>
      </w:r>
      <w:r>
        <w:rPr>
          <w:rFonts w:hint="eastAsia" w:ascii="仿宋_GB2312" w:eastAsia="仿宋_GB2312"/>
          <w:color w:val="auto"/>
          <w:sz w:val="32"/>
          <w:szCs w:val="32"/>
          <w:highlight w:val="none"/>
          <w:lang w:val="en-US" w:eastAsia="zh-CN"/>
        </w:rPr>
        <w:t>开展科技进军营”活动上半年未完成</w:t>
      </w:r>
      <w:r>
        <w:rPr>
          <w:rFonts w:hint="eastAsia" w:ascii="仿宋_GB2312" w:eastAsia="仿宋_GB2312"/>
          <w:color w:val="auto"/>
          <w:sz w:val="32"/>
          <w:szCs w:val="32"/>
          <w:highlight w:val="none"/>
          <w:lang w:eastAsia="zh-CN"/>
        </w:rPr>
        <w:t>；二是</w:t>
      </w:r>
      <w:r>
        <w:rPr>
          <w:rFonts w:hint="eastAsia" w:ascii="仿宋_GB2312" w:eastAsia="仿宋_GB2312"/>
          <w:color w:val="auto"/>
          <w:sz w:val="32"/>
          <w:szCs w:val="32"/>
          <w:highlight w:val="none"/>
          <w:lang w:val="en-US" w:eastAsia="zh-CN"/>
        </w:rPr>
        <w:t>预算绩效管理主体责任意识不强</w:t>
      </w:r>
      <w:r>
        <w:rPr>
          <w:rFonts w:hint="eastAsia" w:ascii="仿宋_GB2312" w:eastAsia="仿宋_GB2312"/>
          <w:color w:val="auto"/>
          <w:sz w:val="32"/>
          <w:szCs w:val="32"/>
          <w:highlight w:val="none"/>
          <w:lang w:eastAsia="zh-CN"/>
        </w:rPr>
        <w:t>。下一步改进措施：一是</w:t>
      </w:r>
      <w:r>
        <w:rPr>
          <w:rFonts w:hint="eastAsia" w:ascii="仿宋_GB2312" w:eastAsia="仿宋_GB2312"/>
          <w:color w:val="auto"/>
          <w:sz w:val="32"/>
          <w:szCs w:val="32"/>
          <w:highlight w:val="none"/>
          <w:lang w:val="en-US" w:eastAsia="zh-CN"/>
        </w:rPr>
        <w:t>强化内部控制管理，严格按规定做好绩效目标申报，提高绩效管理水平</w:t>
      </w:r>
      <w:r>
        <w:rPr>
          <w:rFonts w:hint="eastAsia" w:ascii="仿宋_GB2312" w:eastAsia="仿宋_GB2312"/>
          <w:color w:val="auto"/>
          <w:sz w:val="32"/>
          <w:szCs w:val="32"/>
          <w:highlight w:val="none"/>
          <w:lang w:eastAsia="zh-CN"/>
        </w:rPr>
        <w:t>；二是</w:t>
      </w:r>
      <w:r>
        <w:rPr>
          <w:rFonts w:hint="eastAsia" w:ascii="仿宋_GB2312" w:eastAsia="仿宋_GB2312"/>
          <w:color w:val="auto"/>
          <w:sz w:val="32"/>
          <w:szCs w:val="32"/>
          <w:highlight w:val="none"/>
          <w:lang w:val="en-US" w:eastAsia="zh-CN"/>
        </w:rPr>
        <w:t>树立绩效管理理念，强化绩效管理意识，加强预算执行管理</w:t>
      </w:r>
      <w:r>
        <w:rPr>
          <w:rFonts w:hint="eastAsia" w:ascii="仿宋_GB2312" w:eastAsia="仿宋_GB2312"/>
          <w:color w:val="auto"/>
          <w:sz w:val="32"/>
          <w:szCs w:val="32"/>
          <w:highlight w:val="none"/>
          <w:lang w:eastAsia="zh-CN"/>
        </w:rPr>
        <w:t>。具体</w:t>
      </w:r>
      <w:r>
        <w:rPr>
          <w:rFonts w:hint="eastAsia" w:ascii="仿宋_GB2312" w:eastAsia="仿宋_GB2312"/>
          <w:color w:val="auto"/>
          <w:sz w:val="32"/>
          <w:szCs w:val="32"/>
          <w:highlight w:val="none"/>
        </w:rPr>
        <w:t>项目自评情况附绩效自评表</w:t>
      </w:r>
      <w:r>
        <w:rPr>
          <w:rFonts w:hint="eastAsia" w:ascii="仿宋_GB2312" w:eastAsia="仿宋_GB2312"/>
          <w:color w:val="auto"/>
          <w:sz w:val="32"/>
          <w:szCs w:val="32"/>
          <w:highlight w:val="none"/>
          <w:lang w:val="en-US" w:eastAsia="zh-CN"/>
        </w:rPr>
        <w:t>及自评报告</w:t>
      </w:r>
      <w:r>
        <w:rPr>
          <w:rFonts w:hint="eastAsia" w:ascii="仿宋_GB2312" w:eastAsia="仿宋_GB2312"/>
          <w:color w:val="auto"/>
          <w:sz w:val="32"/>
          <w:szCs w:val="32"/>
          <w:highlight w:val="none"/>
        </w:rPr>
        <w:t>。</w:t>
      </w:r>
    </w:p>
    <w:p w14:paraId="3F2C6681">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14:paraId="307F1063">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本单位授予中小企业合同金额、授予小微企业合同金额为0万元，原因是本单位2023年无政府采购业务。</w:t>
      </w:r>
      <w:bookmarkStart w:id="30" w:name="_Toc3250"/>
      <w:bookmarkStart w:id="31" w:name="_Toc24143"/>
    </w:p>
    <w:p w14:paraId="72DE5B22">
      <w:pPr>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br w:type="page"/>
      </w:r>
    </w:p>
    <w:p w14:paraId="48767F15">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0"/>
      <w:bookmarkEnd w:id="31"/>
    </w:p>
    <w:p w14:paraId="76702B33">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14:paraId="21521EB0">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14:paraId="799CEEE6">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14:paraId="0D47C839">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14:paraId="353DC411">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14:paraId="3AEE1585">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14:paraId="6DF03D06">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14:paraId="38932D9F">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3D235971">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14:paraId="7AD6B7B0">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14:paraId="21F6971E">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14:paraId="341FCC54">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14:paraId="564BB0F2">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14:paraId="08CBAEA9">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14:paraId="3D115830">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14:paraId="49A8DE1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2" w:name="_Toc6062"/>
      <w:bookmarkStart w:id="33" w:name="_Toc2183"/>
      <w:r>
        <w:rPr>
          <w:rFonts w:hint="eastAsia" w:ascii="黑体" w:hAnsi="黑体" w:eastAsia="仿宋_GB2312" w:cs="宋体"/>
          <w:bCs/>
          <w:color w:val="auto"/>
          <w:kern w:val="0"/>
          <w:sz w:val="32"/>
          <w:szCs w:val="32"/>
          <w:highlight w:val="none"/>
        </w:rPr>
        <w:t>一、《收入支出决算总表》</w:t>
      </w:r>
      <w:bookmarkEnd w:id="32"/>
      <w:bookmarkEnd w:id="33"/>
    </w:p>
    <w:p w14:paraId="12252BCD">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4" w:name="_Toc30364"/>
      <w:bookmarkStart w:id="35" w:name="_Toc24532"/>
      <w:bookmarkStart w:id="48" w:name="_GoBack"/>
      <w:bookmarkEnd w:id="48"/>
      <w:r>
        <w:rPr>
          <w:rFonts w:hint="eastAsia" w:ascii="黑体" w:hAnsi="黑体" w:eastAsia="仿宋_GB2312" w:cs="宋体"/>
          <w:bCs/>
          <w:color w:val="auto"/>
          <w:kern w:val="0"/>
          <w:sz w:val="32"/>
          <w:szCs w:val="32"/>
          <w:highlight w:val="none"/>
        </w:rPr>
        <w:t>二、《收入决算表》</w:t>
      </w:r>
      <w:bookmarkEnd w:id="34"/>
      <w:bookmarkEnd w:id="35"/>
    </w:p>
    <w:p w14:paraId="1DCD541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6" w:name="_Toc21304"/>
      <w:bookmarkStart w:id="37" w:name="_Toc32434"/>
      <w:r>
        <w:rPr>
          <w:rFonts w:hint="eastAsia" w:ascii="黑体" w:hAnsi="黑体" w:eastAsia="仿宋_GB2312" w:cs="宋体"/>
          <w:bCs/>
          <w:color w:val="auto"/>
          <w:kern w:val="0"/>
          <w:sz w:val="32"/>
          <w:szCs w:val="32"/>
          <w:highlight w:val="none"/>
        </w:rPr>
        <w:t>三、《支出决算表》</w:t>
      </w:r>
      <w:bookmarkEnd w:id="36"/>
      <w:bookmarkEnd w:id="37"/>
    </w:p>
    <w:p w14:paraId="28D774B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8" w:name="_Toc28786"/>
      <w:bookmarkStart w:id="39" w:name="_Toc14238"/>
      <w:r>
        <w:rPr>
          <w:rFonts w:hint="eastAsia" w:ascii="黑体" w:hAnsi="黑体" w:eastAsia="仿宋_GB2312" w:cs="宋体"/>
          <w:bCs/>
          <w:color w:val="auto"/>
          <w:kern w:val="0"/>
          <w:sz w:val="32"/>
          <w:szCs w:val="32"/>
          <w:highlight w:val="none"/>
        </w:rPr>
        <w:t>四、《财政拨款收入支出决算总表》</w:t>
      </w:r>
      <w:bookmarkEnd w:id="38"/>
      <w:bookmarkEnd w:id="39"/>
    </w:p>
    <w:p w14:paraId="7889AF8D">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0" w:name="_Toc14869"/>
      <w:bookmarkStart w:id="41" w:name="_Toc10347"/>
      <w:r>
        <w:rPr>
          <w:rFonts w:hint="eastAsia" w:ascii="黑体" w:hAnsi="黑体" w:eastAsia="仿宋_GB2312" w:cs="宋体"/>
          <w:bCs/>
          <w:color w:val="auto"/>
          <w:kern w:val="0"/>
          <w:sz w:val="32"/>
          <w:szCs w:val="32"/>
          <w:highlight w:val="none"/>
        </w:rPr>
        <w:t>五、《一般公共预算财政拨款支出决算表》</w:t>
      </w:r>
      <w:bookmarkEnd w:id="40"/>
      <w:bookmarkEnd w:id="41"/>
    </w:p>
    <w:p w14:paraId="27AEEA20">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2" w:name="_Toc8884"/>
      <w:bookmarkStart w:id="43" w:name="_Toc5626"/>
      <w:r>
        <w:rPr>
          <w:rFonts w:hint="eastAsia" w:ascii="黑体" w:hAnsi="黑体" w:eastAsia="仿宋_GB2312" w:cs="宋体"/>
          <w:bCs/>
          <w:color w:val="auto"/>
          <w:kern w:val="0"/>
          <w:sz w:val="32"/>
          <w:szCs w:val="32"/>
          <w:highlight w:val="none"/>
        </w:rPr>
        <w:t>六、《一般公共预算财政拨款基本支出决算表》</w:t>
      </w:r>
      <w:bookmarkEnd w:id="42"/>
      <w:bookmarkEnd w:id="43"/>
    </w:p>
    <w:p w14:paraId="1838323A">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4" w:name="_Toc29106"/>
      <w:bookmarkStart w:id="45" w:name="_Toc32663"/>
      <w:r>
        <w:rPr>
          <w:rFonts w:hint="eastAsia" w:ascii="黑体" w:hAnsi="黑体" w:eastAsia="仿宋_GB2312" w:cs="宋体"/>
          <w:bCs/>
          <w:color w:val="auto"/>
          <w:kern w:val="0"/>
          <w:sz w:val="32"/>
          <w:szCs w:val="32"/>
          <w:highlight w:val="none"/>
        </w:rPr>
        <w:t>《财政拨款“三公”经费支出决算表》</w:t>
      </w:r>
      <w:bookmarkEnd w:id="44"/>
      <w:bookmarkEnd w:id="45"/>
    </w:p>
    <w:p w14:paraId="503AB510">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6" w:name="_Toc5453"/>
      <w:bookmarkStart w:id="47" w:name="_Toc7643"/>
      <w:r>
        <w:rPr>
          <w:rFonts w:hint="eastAsia" w:ascii="黑体" w:hAnsi="黑体" w:eastAsia="仿宋_GB2312" w:cs="宋体"/>
          <w:bCs/>
          <w:color w:val="auto"/>
          <w:kern w:val="0"/>
          <w:sz w:val="32"/>
          <w:szCs w:val="32"/>
          <w:highlight w:val="none"/>
        </w:rPr>
        <w:t>八、《政府性基金预算财政拨款收入支出决算表》</w:t>
      </w:r>
      <w:bookmarkEnd w:id="46"/>
      <w:bookmarkEnd w:id="47"/>
    </w:p>
    <w:p w14:paraId="47509CA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14:paraId="4511666A">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p>
    <w:p w14:paraId="7051ED3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F760D6">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DA9673C">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1DA9673C">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E1ZjY5MTFjMDc4YjFjZTUwN2JkNWZlMDFjZGZiMWMifQ=="/>
    <w:docVar w:name="KSO_WPS_MARK_KEY" w:val="41ee2a61-2d54-4f93-83be-afdb9a40d732"/>
  </w:docVars>
  <w:rsids>
    <w:rsidRoot w:val="00000000"/>
    <w:rsid w:val="00213C59"/>
    <w:rsid w:val="003210CE"/>
    <w:rsid w:val="00B70D59"/>
    <w:rsid w:val="00F52A8D"/>
    <w:rsid w:val="019404F8"/>
    <w:rsid w:val="01C30B6B"/>
    <w:rsid w:val="01ED22F2"/>
    <w:rsid w:val="02BD3108"/>
    <w:rsid w:val="02F73D26"/>
    <w:rsid w:val="034D4FEF"/>
    <w:rsid w:val="035D1785"/>
    <w:rsid w:val="039F47CE"/>
    <w:rsid w:val="03BD5310"/>
    <w:rsid w:val="03E05CE8"/>
    <w:rsid w:val="03F973EE"/>
    <w:rsid w:val="043E5B56"/>
    <w:rsid w:val="04C04386"/>
    <w:rsid w:val="04D1736D"/>
    <w:rsid w:val="04D96608"/>
    <w:rsid w:val="04F210E4"/>
    <w:rsid w:val="04FA68C4"/>
    <w:rsid w:val="053F5AE6"/>
    <w:rsid w:val="057C0B0F"/>
    <w:rsid w:val="05EF4B48"/>
    <w:rsid w:val="05F76ECA"/>
    <w:rsid w:val="06183A24"/>
    <w:rsid w:val="063E1A78"/>
    <w:rsid w:val="06792773"/>
    <w:rsid w:val="06FD75CA"/>
    <w:rsid w:val="07093795"/>
    <w:rsid w:val="07804730"/>
    <w:rsid w:val="079052BE"/>
    <w:rsid w:val="08145C21"/>
    <w:rsid w:val="08422688"/>
    <w:rsid w:val="085854ED"/>
    <w:rsid w:val="0879188F"/>
    <w:rsid w:val="08A0354D"/>
    <w:rsid w:val="08CC1EAC"/>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172DAA"/>
    <w:rsid w:val="0D4903E8"/>
    <w:rsid w:val="0D7A4A46"/>
    <w:rsid w:val="0E640559"/>
    <w:rsid w:val="0F1113DA"/>
    <w:rsid w:val="0F78534A"/>
    <w:rsid w:val="0F89358A"/>
    <w:rsid w:val="0F8C6D51"/>
    <w:rsid w:val="105B0B5E"/>
    <w:rsid w:val="112E58D0"/>
    <w:rsid w:val="11731CAC"/>
    <w:rsid w:val="11797DBA"/>
    <w:rsid w:val="119500A0"/>
    <w:rsid w:val="119E6AF3"/>
    <w:rsid w:val="11C0733B"/>
    <w:rsid w:val="11D50D17"/>
    <w:rsid w:val="120E0809"/>
    <w:rsid w:val="127F665A"/>
    <w:rsid w:val="12F7068C"/>
    <w:rsid w:val="14207DC0"/>
    <w:rsid w:val="14B932DA"/>
    <w:rsid w:val="150A66AF"/>
    <w:rsid w:val="154C1139"/>
    <w:rsid w:val="158C5B77"/>
    <w:rsid w:val="15AE4919"/>
    <w:rsid w:val="15E96E6A"/>
    <w:rsid w:val="160D1149"/>
    <w:rsid w:val="163563C0"/>
    <w:rsid w:val="164315EF"/>
    <w:rsid w:val="16557DFE"/>
    <w:rsid w:val="167268FB"/>
    <w:rsid w:val="16770D0A"/>
    <w:rsid w:val="169A0039"/>
    <w:rsid w:val="16D50C50"/>
    <w:rsid w:val="16E120E1"/>
    <w:rsid w:val="17385A05"/>
    <w:rsid w:val="173B3901"/>
    <w:rsid w:val="176747F9"/>
    <w:rsid w:val="17954A6E"/>
    <w:rsid w:val="17BE2C86"/>
    <w:rsid w:val="180059E9"/>
    <w:rsid w:val="184510FD"/>
    <w:rsid w:val="185C6973"/>
    <w:rsid w:val="18C94428"/>
    <w:rsid w:val="190648B0"/>
    <w:rsid w:val="19071D6C"/>
    <w:rsid w:val="19785883"/>
    <w:rsid w:val="19D26CD4"/>
    <w:rsid w:val="19E60D19"/>
    <w:rsid w:val="1A3E3450"/>
    <w:rsid w:val="1AD807E5"/>
    <w:rsid w:val="1B39345B"/>
    <w:rsid w:val="1B9958F1"/>
    <w:rsid w:val="1BFB2A1F"/>
    <w:rsid w:val="1C015D4A"/>
    <w:rsid w:val="1C290ED5"/>
    <w:rsid w:val="1C317E4F"/>
    <w:rsid w:val="1C472464"/>
    <w:rsid w:val="1D22799A"/>
    <w:rsid w:val="1D5C1A72"/>
    <w:rsid w:val="1DAF458D"/>
    <w:rsid w:val="1E086ACE"/>
    <w:rsid w:val="1E62130A"/>
    <w:rsid w:val="1E97358B"/>
    <w:rsid w:val="1EAA4A5F"/>
    <w:rsid w:val="1EE869A7"/>
    <w:rsid w:val="1F3F37CF"/>
    <w:rsid w:val="1FA15E62"/>
    <w:rsid w:val="1FED69B6"/>
    <w:rsid w:val="2064678E"/>
    <w:rsid w:val="20DC1AB9"/>
    <w:rsid w:val="20DD6197"/>
    <w:rsid w:val="212631E0"/>
    <w:rsid w:val="2138666F"/>
    <w:rsid w:val="21663D40"/>
    <w:rsid w:val="21742080"/>
    <w:rsid w:val="217D3B0D"/>
    <w:rsid w:val="21A53757"/>
    <w:rsid w:val="21F879E1"/>
    <w:rsid w:val="221236C6"/>
    <w:rsid w:val="226C2429"/>
    <w:rsid w:val="22D7662C"/>
    <w:rsid w:val="23326B7F"/>
    <w:rsid w:val="2380045B"/>
    <w:rsid w:val="23BC04D2"/>
    <w:rsid w:val="23EF1892"/>
    <w:rsid w:val="2483647E"/>
    <w:rsid w:val="24A32D55"/>
    <w:rsid w:val="24CE6D9A"/>
    <w:rsid w:val="25292727"/>
    <w:rsid w:val="252E5CA9"/>
    <w:rsid w:val="256F7692"/>
    <w:rsid w:val="25BA2154"/>
    <w:rsid w:val="25C8773F"/>
    <w:rsid w:val="26235823"/>
    <w:rsid w:val="264A7253"/>
    <w:rsid w:val="26AA56C1"/>
    <w:rsid w:val="26F0170C"/>
    <w:rsid w:val="26FE3B9A"/>
    <w:rsid w:val="27201D62"/>
    <w:rsid w:val="27286E73"/>
    <w:rsid w:val="273E1F0B"/>
    <w:rsid w:val="27CF2642"/>
    <w:rsid w:val="27E777F5"/>
    <w:rsid w:val="27EA1D4C"/>
    <w:rsid w:val="27EA2E41"/>
    <w:rsid w:val="28190909"/>
    <w:rsid w:val="282459E2"/>
    <w:rsid w:val="283A7FE5"/>
    <w:rsid w:val="285F51FF"/>
    <w:rsid w:val="28DA4193"/>
    <w:rsid w:val="28DF2665"/>
    <w:rsid w:val="28E72895"/>
    <w:rsid w:val="29072599"/>
    <w:rsid w:val="291029F3"/>
    <w:rsid w:val="29CB58F0"/>
    <w:rsid w:val="2A053397"/>
    <w:rsid w:val="2A145E96"/>
    <w:rsid w:val="2A2131BB"/>
    <w:rsid w:val="2AF5378F"/>
    <w:rsid w:val="2BB94DBF"/>
    <w:rsid w:val="2BF37410"/>
    <w:rsid w:val="2C6F314E"/>
    <w:rsid w:val="2CC206BE"/>
    <w:rsid w:val="2D1136DF"/>
    <w:rsid w:val="2D20606D"/>
    <w:rsid w:val="2D6729FE"/>
    <w:rsid w:val="2DB87198"/>
    <w:rsid w:val="2DB93C54"/>
    <w:rsid w:val="2E3D144C"/>
    <w:rsid w:val="2E891204"/>
    <w:rsid w:val="2F3F0A28"/>
    <w:rsid w:val="2FBF7029"/>
    <w:rsid w:val="2FD0187F"/>
    <w:rsid w:val="2FD27414"/>
    <w:rsid w:val="2FFE4BB0"/>
    <w:rsid w:val="300E7B60"/>
    <w:rsid w:val="300F6E18"/>
    <w:rsid w:val="30862F5F"/>
    <w:rsid w:val="30A4775A"/>
    <w:rsid w:val="314029C9"/>
    <w:rsid w:val="31C63837"/>
    <w:rsid w:val="31C82E39"/>
    <w:rsid w:val="32601BAD"/>
    <w:rsid w:val="329F6389"/>
    <w:rsid w:val="3389023A"/>
    <w:rsid w:val="33CB74FA"/>
    <w:rsid w:val="343642F2"/>
    <w:rsid w:val="343F3010"/>
    <w:rsid w:val="345D0A00"/>
    <w:rsid w:val="34713BFD"/>
    <w:rsid w:val="34C13589"/>
    <w:rsid w:val="353369E3"/>
    <w:rsid w:val="35B21E0B"/>
    <w:rsid w:val="35E00D72"/>
    <w:rsid w:val="36965B9D"/>
    <w:rsid w:val="36C549FD"/>
    <w:rsid w:val="37A755DD"/>
    <w:rsid w:val="37F33BFE"/>
    <w:rsid w:val="37F94FA0"/>
    <w:rsid w:val="380D3381"/>
    <w:rsid w:val="38115B1F"/>
    <w:rsid w:val="385E3AC3"/>
    <w:rsid w:val="387D6B9E"/>
    <w:rsid w:val="38B75FF0"/>
    <w:rsid w:val="38D45016"/>
    <w:rsid w:val="38D90432"/>
    <w:rsid w:val="3914510A"/>
    <w:rsid w:val="3926770B"/>
    <w:rsid w:val="393F2C69"/>
    <w:rsid w:val="3982065B"/>
    <w:rsid w:val="398D3668"/>
    <w:rsid w:val="39DA0497"/>
    <w:rsid w:val="3A780FB6"/>
    <w:rsid w:val="3A893816"/>
    <w:rsid w:val="3A893B6D"/>
    <w:rsid w:val="3AD1763A"/>
    <w:rsid w:val="3B196883"/>
    <w:rsid w:val="3B6716E3"/>
    <w:rsid w:val="3B682A7C"/>
    <w:rsid w:val="3B6C6B2D"/>
    <w:rsid w:val="3C242659"/>
    <w:rsid w:val="3C96719C"/>
    <w:rsid w:val="3CA72BE8"/>
    <w:rsid w:val="3CDC1E1E"/>
    <w:rsid w:val="3CF37F8C"/>
    <w:rsid w:val="3D137554"/>
    <w:rsid w:val="3D5275AC"/>
    <w:rsid w:val="3DCC2473"/>
    <w:rsid w:val="3DEB0883"/>
    <w:rsid w:val="3E2527BF"/>
    <w:rsid w:val="3E70484C"/>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2C10D7B"/>
    <w:rsid w:val="434E6957"/>
    <w:rsid w:val="43BA0E31"/>
    <w:rsid w:val="43C15147"/>
    <w:rsid w:val="43E14DD2"/>
    <w:rsid w:val="43F800E9"/>
    <w:rsid w:val="443A7E4B"/>
    <w:rsid w:val="444A7D08"/>
    <w:rsid w:val="452F5B3A"/>
    <w:rsid w:val="454E7FD2"/>
    <w:rsid w:val="46061BDC"/>
    <w:rsid w:val="461404F8"/>
    <w:rsid w:val="46413018"/>
    <w:rsid w:val="464B7E04"/>
    <w:rsid w:val="468041AA"/>
    <w:rsid w:val="468123C6"/>
    <w:rsid w:val="46901EEE"/>
    <w:rsid w:val="469C74D2"/>
    <w:rsid w:val="47445515"/>
    <w:rsid w:val="474B4782"/>
    <w:rsid w:val="47D90D14"/>
    <w:rsid w:val="47DE1152"/>
    <w:rsid w:val="48387FB0"/>
    <w:rsid w:val="483A6114"/>
    <w:rsid w:val="488727DB"/>
    <w:rsid w:val="48B82268"/>
    <w:rsid w:val="48C354B3"/>
    <w:rsid w:val="493D58B5"/>
    <w:rsid w:val="494A7A04"/>
    <w:rsid w:val="49605EF7"/>
    <w:rsid w:val="4A0A26D2"/>
    <w:rsid w:val="4A2019A5"/>
    <w:rsid w:val="4A241A0B"/>
    <w:rsid w:val="4A5C2BD7"/>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4FC95439"/>
    <w:rsid w:val="50447CC2"/>
    <w:rsid w:val="50874A7C"/>
    <w:rsid w:val="50895EE7"/>
    <w:rsid w:val="50921B9D"/>
    <w:rsid w:val="50D16158"/>
    <w:rsid w:val="50DB5F45"/>
    <w:rsid w:val="51025EB1"/>
    <w:rsid w:val="51141503"/>
    <w:rsid w:val="513C450E"/>
    <w:rsid w:val="518D0ED5"/>
    <w:rsid w:val="51A72E16"/>
    <w:rsid w:val="525C687F"/>
    <w:rsid w:val="52A3740A"/>
    <w:rsid w:val="52F647F7"/>
    <w:rsid w:val="52F92565"/>
    <w:rsid w:val="53AE735E"/>
    <w:rsid w:val="53D03877"/>
    <w:rsid w:val="542F73CA"/>
    <w:rsid w:val="5430786D"/>
    <w:rsid w:val="545A1D2A"/>
    <w:rsid w:val="54C811C0"/>
    <w:rsid w:val="556A442D"/>
    <w:rsid w:val="55DA564E"/>
    <w:rsid w:val="55E816A3"/>
    <w:rsid w:val="55F33BA2"/>
    <w:rsid w:val="5604127D"/>
    <w:rsid w:val="56044E6C"/>
    <w:rsid w:val="56166703"/>
    <w:rsid w:val="56510474"/>
    <w:rsid w:val="56861525"/>
    <w:rsid w:val="56A93273"/>
    <w:rsid w:val="56BD550C"/>
    <w:rsid w:val="56E07045"/>
    <w:rsid w:val="56FF28AF"/>
    <w:rsid w:val="57540E7D"/>
    <w:rsid w:val="577B4878"/>
    <w:rsid w:val="57926973"/>
    <w:rsid w:val="57D1482F"/>
    <w:rsid w:val="58175352"/>
    <w:rsid w:val="581F2200"/>
    <w:rsid w:val="583059FA"/>
    <w:rsid w:val="584A0929"/>
    <w:rsid w:val="58CD2491"/>
    <w:rsid w:val="591B41B2"/>
    <w:rsid w:val="59254A26"/>
    <w:rsid w:val="59326325"/>
    <w:rsid w:val="595C505B"/>
    <w:rsid w:val="595E55C3"/>
    <w:rsid w:val="596E7E20"/>
    <w:rsid w:val="5A5D23AA"/>
    <w:rsid w:val="5A60780B"/>
    <w:rsid w:val="5AB34579"/>
    <w:rsid w:val="5AB40E78"/>
    <w:rsid w:val="5AF80B40"/>
    <w:rsid w:val="5AFC6609"/>
    <w:rsid w:val="5B113480"/>
    <w:rsid w:val="5BD456CE"/>
    <w:rsid w:val="5C0D1F49"/>
    <w:rsid w:val="5CBB0CE2"/>
    <w:rsid w:val="5CC17177"/>
    <w:rsid w:val="5CF306BC"/>
    <w:rsid w:val="5D3F3D64"/>
    <w:rsid w:val="5D833043"/>
    <w:rsid w:val="5DD92690"/>
    <w:rsid w:val="5DDB1CFD"/>
    <w:rsid w:val="5E7E6D93"/>
    <w:rsid w:val="5E82459B"/>
    <w:rsid w:val="5ED44800"/>
    <w:rsid w:val="5F350BDE"/>
    <w:rsid w:val="5F61632C"/>
    <w:rsid w:val="5FA17648"/>
    <w:rsid w:val="5FE705CB"/>
    <w:rsid w:val="6007714E"/>
    <w:rsid w:val="603D5080"/>
    <w:rsid w:val="606842D0"/>
    <w:rsid w:val="60D0261B"/>
    <w:rsid w:val="618E3791"/>
    <w:rsid w:val="61947DCA"/>
    <w:rsid w:val="61A46A97"/>
    <w:rsid w:val="61D1382F"/>
    <w:rsid w:val="61F114A2"/>
    <w:rsid w:val="622B0ABA"/>
    <w:rsid w:val="623D272F"/>
    <w:rsid w:val="625104E0"/>
    <w:rsid w:val="62512BB4"/>
    <w:rsid w:val="625D7D1A"/>
    <w:rsid w:val="62660469"/>
    <w:rsid w:val="62DD7D21"/>
    <w:rsid w:val="637D586B"/>
    <w:rsid w:val="63A5560B"/>
    <w:rsid w:val="63E9091F"/>
    <w:rsid w:val="64322AF9"/>
    <w:rsid w:val="64B56D4E"/>
    <w:rsid w:val="64D6010D"/>
    <w:rsid w:val="64D82665"/>
    <w:rsid w:val="64E47C96"/>
    <w:rsid w:val="651E5741"/>
    <w:rsid w:val="655D7702"/>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9F47AD7"/>
    <w:rsid w:val="6A2C39D4"/>
    <w:rsid w:val="6B68175F"/>
    <w:rsid w:val="6BFD799F"/>
    <w:rsid w:val="6C4A2E5A"/>
    <w:rsid w:val="6C8138D0"/>
    <w:rsid w:val="6CEF0725"/>
    <w:rsid w:val="6D4B2604"/>
    <w:rsid w:val="6D77358F"/>
    <w:rsid w:val="6D8030E4"/>
    <w:rsid w:val="6E0E35C4"/>
    <w:rsid w:val="6E0F7A08"/>
    <w:rsid w:val="6E3947F5"/>
    <w:rsid w:val="6E611ED9"/>
    <w:rsid w:val="6E6733A0"/>
    <w:rsid w:val="6E6E3938"/>
    <w:rsid w:val="6E9C74ED"/>
    <w:rsid w:val="6EC75888"/>
    <w:rsid w:val="6EF72976"/>
    <w:rsid w:val="6F795A80"/>
    <w:rsid w:val="6F7C1D2E"/>
    <w:rsid w:val="6F8E0407"/>
    <w:rsid w:val="6FDD069F"/>
    <w:rsid w:val="702B4D16"/>
    <w:rsid w:val="70AA6621"/>
    <w:rsid w:val="7111480F"/>
    <w:rsid w:val="71261F49"/>
    <w:rsid w:val="712E6956"/>
    <w:rsid w:val="71473612"/>
    <w:rsid w:val="71504F32"/>
    <w:rsid w:val="7152309F"/>
    <w:rsid w:val="718F7F65"/>
    <w:rsid w:val="71C657A1"/>
    <w:rsid w:val="71DA6992"/>
    <w:rsid w:val="727B234E"/>
    <w:rsid w:val="728A58B0"/>
    <w:rsid w:val="72D068C7"/>
    <w:rsid w:val="72E42ED8"/>
    <w:rsid w:val="72FC34C3"/>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6E6594C"/>
    <w:rsid w:val="770719AC"/>
    <w:rsid w:val="776526CC"/>
    <w:rsid w:val="77983DE1"/>
    <w:rsid w:val="77A262E1"/>
    <w:rsid w:val="77B13C33"/>
    <w:rsid w:val="77DC095A"/>
    <w:rsid w:val="77ED6F44"/>
    <w:rsid w:val="77F45548"/>
    <w:rsid w:val="77FC440B"/>
    <w:rsid w:val="784E7CA6"/>
    <w:rsid w:val="78574801"/>
    <w:rsid w:val="7873527F"/>
    <w:rsid w:val="788B412F"/>
    <w:rsid w:val="790A6425"/>
    <w:rsid w:val="790E2D96"/>
    <w:rsid w:val="791B54B2"/>
    <w:rsid w:val="793C0F89"/>
    <w:rsid w:val="795A0A34"/>
    <w:rsid w:val="797339C3"/>
    <w:rsid w:val="799F4B7F"/>
    <w:rsid w:val="79D57D57"/>
    <w:rsid w:val="79F00650"/>
    <w:rsid w:val="7A6242BF"/>
    <w:rsid w:val="7A794513"/>
    <w:rsid w:val="7A9B3811"/>
    <w:rsid w:val="7AB467DA"/>
    <w:rsid w:val="7AB9318D"/>
    <w:rsid w:val="7AE952D2"/>
    <w:rsid w:val="7B9F26AF"/>
    <w:rsid w:val="7BB607FE"/>
    <w:rsid w:val="7C7248A0"/>
    <w:rsid w:val="7C976D69"/>
    <w:rsid w:val="7CD752DA"/>
    <w:rsid w:val="7CDE40AB"/>
    <w:rsid w:val="7CF057E2"/>
    <w:rsid w:val="7D1548B5"/>
    <w:rsid w:val="7DD10BAB"/>
    <w:rsid w:val="7DF84014"/>
    <w:rsid w:val="7E207949"/>
    <w:rsid w:val="7E5C0A47"/>
    <w:rsid w:val="7E670C75"/>
    <w:rsid w:val="7EE24272"/>
    <w:rsid w:val="7EEA6053"/>
    <w:rsid w:val="7F487C04"/>
    <w:rsid w:val="7F611CBA"/>
    <w:rsid w:val="7FB45F2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1">
    <w:name w:val="Strong"/>
    <w:basedOn w:val="10"/>
    <w:qFormat/>
    <w:uiPriority w:val="0"/>
    <w:rPr>
      <w:b/>
    </w:rPr>
  </w:style>
  <w:style w:type="paragraph" w:customStyle="1" w:styleId="12">
    <w:name w:val="WPSOffice手动目录 3"/>
    <w:qFormat/>
    <w:uiPriority w:val="0"/>
    <w:pPr>
      <w:ind w:leftChars="400"/>
    </w:pPr>
    <w:rPr>
      <w:rFonts w:ascii="Times New Roman" w:hAnsi="Times New Roman" w:eastAsia="宋体" w:cs="Times New Roman"/>
      <w:sz w:val="20"/>
      <w:szCs w:val="20"/>
    </w:rPr>
  </w:style>
  <w:style w:type="paragraph" w:customStyle="1" w:styleId="13">
    <w:name w:val="WPSOffice手动目录 2"/>
    <w:qFormat/>
    <w:uiPriority w:val="0"/>
    <w:pPr>
      <w:ind w:leftChars="200"/>
    </w:pPr>
    <w:rPr>
      <w:rFonts w:ascii="Times New Roman" w:hAnsi="Times New Roman" w:eastAsia="宋体" w:cs="Times New Roman"/>
      <w:sz w:val="20"/>
      <w:szCs w:val="20"/>
    </w:rPr>
  </w:style>
  <w:style w:type="paragraph" w:customStyle="1" w:styleId="14">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18</Pages>
  <Words>6580</Words>
  <Characters>7340</Characters>
  <Lines>0</Lines>
  <Paragraphs>0</Paragraphs>
  <TotalTime>13</TotalTime>
  <ScaleCrop>false</ScaleCrop>
  <LinksUpToDate>false</LinksUpToDate>
  <CharactersWithSpaces>7360</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雯雯酱</cp:lastModifiedBy>
  <dcterms:modified xsi:type="dcterms:W3CDTF">2025-03-28T03:21:18Z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7A2CB30EE2B44094A6BA61FEE87CDEEC</vt:lpwstr>
  </property>
  <property fmtid="{D5CDD505-2E9C-101B-9397-08002B2CF9AE}" pid="4" name="KSOTemplateDocerSaveRecord">
    <vt:lpwstr>eyJoZGlkIjoiZDU4MmQ2ZWMyMDZlYzhmM2M0MmMwNGNmYmFiY2Q3YTQiLCJ1c2VySWQiOiI1Mzk1NTEzNjcifQ==</vt:lpwstr>
  </property>
</Properties>
</file>