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C4BC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黑体" w:hAnsi="黑体" w:eastAsia="黑体"/>
          <w:color w:val="auto"/>
          <w:sz w:val="32"/>
          <w:szCs w:val="32"/>
          <w:highlight w:val="none"/>
        </w:rPr>
      </w:pPr>
    </w:p>
    <w:p w14:paraId="4B3DD625">
      <w:pPr>
        <w:keepNext w:val="0"/>
        <w:keepLines w:val="0"/>
        <w:pageBreakBefore w:val="0"/>
        <w:widowControl w:val="0"/>
        <w:kinsoku/>
        <w:wordWrap/>
        <w:overflowPunct/>
        <w:topLinePunct w:val="0"/>
        <w:bidi w:val="0"/>
        <w:adjustRightInd/>
        <w:snapToGrid/>
        <w:spacing w:line="240" w:lineRule="auto"/>
        <w:ind w:firstLine="880" w:firstLineChars="200"/>
        <w:jc w:val="left"/>
        <w:textAlignment w:val="auto"/>
        <w:rPr>
          <w:rFonts w:hint="eastAsia" w:ascii="方正小标宋_GBK" w:hAnsi="宋体" w:eastAsia="方正小标宋_GBK"/>
          <w:color w:val="auto"/>
          <w:sz w:val="44"/>
          <w:szCs w:val="44"/>
          <w:highlight w:val="none"/>
        </w:rPr>
      </w:pPr>
    </w:p>
    <w:p w14:paraId="78908A0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沙湾市住房和城乡建设局</w:t>
      </w:r>
    </w:p>
    <w:p w14:paraId="27E4BB0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2023年度部门决算</w:t>
      </w:r>
    </w:p>
    <w:p w14:paraId="0D02578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公开说明</w:t>
      </w:r>
    </w:p>
    <w:p w14:paraId="7F6E228B">
      <w:pPr>
        <w:keepNext w:val="0"/>
        <w:keepLines w:val="0"/>
        <w:pageBreakBefore w:val="0"/>
        <w:wordWrap/>
        <w:overflowPunct/>
        <w:topLinePunct w:val="0"/>
        <w:bidi w:val="0"/>
        <w:spacing w:line="240" w:lineRule="auto"/>
        <w:ind w:firstLine="880" w:firstLineChars="200"/>
        <w:jc w:val="left"/>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D8B87C2">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left"/>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A169A1F">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FBE89C2">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90D82DF">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A93EAC4">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BF6997F">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685BDA1">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6ED38BE">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81C4820">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1931C65">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F93BA46">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591100F">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E3D7BD1">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E6B0161">
      <w:pPr>
        <w:keepNext w:val="0"/>
        <w:keepLines w:val="0"/>
        <w:pageBreakBefore w:val="0"/>
        <w:wordWrap/>
        <w:overflowPunct/>
        <w:topLinePunct w:val="0"/>
        <w:bidi w:val="0"/>
        <w:spacing w:line="240" w:lineRule="auto"/>
        <w:ind w:firstLine="640" w:firstLineChars="200"/>
        <w:jc w:val="left"/>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B583FA4">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AE8E90E">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5857722">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3424937">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FD0214B">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C550E0D">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0625378">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570F2DE">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B3FB52D">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732AEAA">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8D1C084">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D191BCD">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27FD42B">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E6E35F6">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BF6BF6F">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4D68F1F">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210B0E7">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9B0B548">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A93A4F5">
      <w:pPr>
        <w:keepNext w:val="0"/>
        <w:keepLines w:val="0"/>
        <w:pageBreakBefore w:val="0"/>
        <w:wordWrap/>
        <w:overflowPunct/>
        <w:topLinePunct w:val="0"/>
        <w:bidi w:val="0"/>
        <w:spacing w:line="240" w:lineRule="auto"/>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F8586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3B9B47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25F451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（1）承担保障全县城镇低收入家庭住房的职责。</w:t>
      </w:r>
    </w:p>
    <w:p w14:paraId="7AAD8D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（2）承担编制全县住房建设规划和年度计划并指导实施的职责。</w:t>
      </w:r>
    </w:p>
    <w:p w14:paraId="3243AB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（3）承担规范住房和城乡建设管理秩序的责任。</w:t>
      </w:r>
    </w:p>
    <w:p w14:paraId="5FE033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（4）承担监督各类工程建设标准定额实施和工程造价计价，发布工程造价信息的职责。</w:t>
      </w:r>
    </w:p>
    <w:p w14:paraId="5C6665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（5）承担规范房地产市场秩序、监督管理房地产市场的责任。</w:t>
      </w:r>
    </w:p>
    <w:p w14:paraId="30CCB9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（6）监督管理全县建筑市场，规范各方主体行为。</w:t>
      </w:r>
    </w:p>
    <w:p w14:paraId="649BB7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7）市政公用行业监督管理；市政公用事业特许经营、排水、供气、供热和市容环境卫生、园林绿化法律法规规章执行的监督指导；负责燃气经营许可证的核发，依据《城镇燃气管理条例》对燃气企业进行监督管理。负责城市市政公用设施建设、安全和应急管理。</w:t>
      </w:r>
    </w:p>
    <w:p w14:paraId="5FA4A4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（8）承担规范和指导全县村镇建设的责任。</w:t>
      </w:r>
    </w:p>
    <w:p w14:paraId="38813F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（9）承担建筑工程质量安全监管的责任。</w:t>
      </w:r>
    </w:p>
    <w:p w14:paraId="08417B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10）组织编制城乡建设抗震减灾、市政设施安全管理规划并监督实施；负责住房城乡建设系统应急预案体系建设，建立重大危险源安全隐患定期排查、动态监控、限期整改机制；组织城乡重要建（构）筑物抗震性能鉴定及抗震加固工作；承担城乡抗震防灾工作综合管理，指导震后重建工作；负责对全县各类房屋 建筑及其附属设施和城市市政工程的抗震设计规范的实施进行监督检查；负责房屋建筑、市政设施突发公共事件应急处置工作。</w:t>
      </w:r>
    </w:p>
    <w:p w14:paraId="51144C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（11）承担推进建筑节能、城镇减排的责任。</w:t>
      </w:r>
    </w:p>
    <w:p w14:paraId="7AD0CA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（12）承担房屋建筑工程和市政基础设施工程防雷装置竣工验收备案；督促全县各建设工程设计、施工、监理、检测单位以及业主单位等单位落实在防雷工程质量安全方面的主体责任。</w:t>
      </w:r>
    </w:p>
    <w:p w14:paraId="299749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（13）贯彻执行国家关于人民防空建设的法律、法规和方针、政策，拟定全县人民防空工作的办法和措施；编制全县人民防空建设中长期规划和年度计划。</w:t>
      </w:r>
    </w:p>
    <w:p w14:paraId="03A21F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（14）负责全县人民防空组织指挥、通信、警报、信息化建设与管理。</w:t>
      </w:r>
    </w:p>
    <w:p w14:paraId="00B6AA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（15）负责组织全县城市管理专项检查和大执法活动。</w:t>
      </w:r>
    </w:p>
    <w:p w14:paraId="34E7CE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52C78F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沙湾市住房和城乡建设局</w:t>
      </w: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实有人数 138人，其中：在职87人，退休51人，离休0人。</w:t>
      </w:r>
    </w:p>
    <w:p w14:paraId="42DC9F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住房和城乡建设局无下属预算单位，下设10个处室，分别是：沙湾市城建监察大队、沙湾市保障性住房服务中心、沙湾市建筑工程质量监督站、沙湾市建筑市场服务中心、沙湾市工程造价中心、沙湾市村镇建设服务中心、沙湾市供热服务中心、沙湾市物业服务中心、沙湾市城乡建设档案馆、沙湾市建筑规划设计室。</w:t>
      </w:r>
      <w:bookmarkStart w:id="6" w:name="_Toc3092"/>
      <w:bookmarkStart w:id="7" w:name="_Toc29374"/>
    </w:p>
    <w:p w14:paraId="17D3152B">
      <w:pPr>
        <w:rPr>
          <w:rFonts w:hint="eastAsia"/>
        </w:rPr>
      </w:pPr>
      <w:r>
        <w:rPr>
          <w:rFonts w:hint="eastAsia" w:ascii="仿宋_GB2312" w:eastAsia="仿宋_GB2312"/>
          <w:color w:val="auto"/>
          <w:sz w:val="32"/>
          <w:szCs w:val="32"/>
          <w:highlight w:val="none"/>
          <w:lang w:val="en-US" w:eastAsia="zh-CN"/>
        </w:rPr>
        <w:br w:type="page"/>
      </w:r>
    </w:p>
    <w:p w14:paraId="77FB7D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25DB1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EA59A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61,462.12万元，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61,462.12万元，使用非财政拨款结余0.00万元，年初结转和结余0.00万元。</w:t>
      </w:r>
    </w:p>
    <w:p w14:paraId="5AB1ED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61,462.12万元，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61,462.12万元，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1112DC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增加33,661.98万元</w:t>
      </w:r>
      <w:r>
        <w:rPr>
          <w:rFonts w:hint="eastAsia" w:ascii="仿宋_GB2312" w:eastAsia="仿宋_GB2312"/>
          <w:color w:val="auto"/>
          <w:spacing w:val="0"/>
          <w:sz w:val="32"/>
          <w:szCs w:val="32"/>
          <w:highlight w:val="none"/>
          <w:lang w:eastAsia="zh-CN"/>
        </w:rPr>
        <w:t>，增长121.09%，主要原因是：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年相比202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市政基础设施建设</w:t>
      </w:r>
      <w:r>
        <w:rPr>
          <w:rFonts w:hint="eastAsia" w:ascii="仿宋_GB2312" w:eastAsia="仿宋_GB2312"/>
          <w:sz w:val="32"/>
          <w:szCs w:val="32"/>
          <w:highlight w:val="none"/>
          <w:lang w:val="en-US" w:eastAsia="zh-CN"/>
        </w:rPr>
        <w:t>如</w:t>
      </w:r>
      <w:r>
        <w:rPr>
          <w:rFonts w:hint="eastAsia" w:ascii="仿宋_GB2312" w:eastAsia="仿宋_GB2312"/>
          <w:color w:val="auto"/>
          <w:spacing w:val="0"/>
          <w:sz w:val="32"/>
          <w:szCs w:val="32"/>
          <w:highlight w:val="none"/>
          <w:lang w:val="en-US" w:eastAsia="zh-CN"/>
        </w:rPr>
        <w:t>老旧小区改造、智慧水务、供水修复改扩建等</w:t>
      </w:r>
      <w:r>
        <w:rPr>
          <w:rFonts w:hint="eastAsia" w:ascii="仿宋_GB2312" w:eastAsia="仿宋_GB2312"/>
          <w:sz w:val="32"/>
          <w:szCs w:val="32"/>
          <w:highlight w:val="none"/>
        </w:rPr>
        <w:t>项目投入</w:t>
      </w:r>
      <w:r>
        <w:rPr>
          <w:rFonts w:hint="eastAsia" w:ascii="仿宋_GB2312" w:eastAsia="仿宋_GB2312"/>
          <w:sz w:val="32"/>
          <w:szCs w:val="32"/>
          <w:highlight w:val="none"/>
          <w:lang w:val="en-US" w:eastAsia="zh-CN"/>
        </w:rPr>
        <w:t>增加</w:t>
      </w:r>
      <w:r>
        <w:rPr>
          <w:rFonts w:hint="eastAsia" w:ascii="仿宋_GB2312" w:eastAsia="仿宋_GB2312"/>
          <w:sz w:val="32"/>
          <w:szCs w:val="32"/>
          <w:highlight w:val="none"/>
        </w:rPr>
        <w:t>，房屋建筑物构建项目</w:t>
      </w:r>
      <w:r>
        <w:rPr>
          <w:rFonts w:hint="eastAsia" w:ascii="仿宋_GB2312" w:eastAsia="仿宋_GB2312"/>
          <w:sz w:val="32"/>
          <w:szCs w:val="32"/>
          <w:highlight w:val="none"/>
          <w:lang w:val="en-US" w:eastAsia="zh-CN"/>
        </w:rPr>
        <w:t>增加</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新招录2名公务员，人员经费增加</w:t>
      </w:r>
      <w:r>
        <w:rPr>
          <w:rFonts w:hint="eastAsia" w:ascii="仿宋_GB2312" w:eastAsia="仿宋_GB2312"/>
          <w:sz w:val="32"/>
          <w:szCs w:val="32"/>
          <w:highlight w:val="none"/>
        </w:rPr>
        <w:t>。</w:t>
      </w:r>
    </w:p>
    <w:p w14:paraId="596401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5AA11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61,462.12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61,365.82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99.84%</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96.30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0.16%</w:t>
      </w:r>
      <w:r>
        <w:rPr>
          <w:rFonts w:hint="eastAsia" w:ascii="仿宋_GB2312" w:eastAsia="仿宋_GB2312"/>
          <w:color w:val="auto"/>
          <w:sz w:val="32"/>
          <w:szCs w:val="32"/>
          <w:highlight w:val="none"/>
        </w:rPr>
        <w:t>。</w:t>
      </w:r>
    </w:p>
    <w:p w14:paraId="49DE18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0A4453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本年支出61,462.12万元，其中：基本支出1,573.42万元，占2.56%；项目支出59,888.69万元，占97.44%；上缴上级支出0.00万元，占0.00%；经营支出0.00万元，占0.00%；对附属单位补助支出0.00万元，占0.00%。</w:t>
      </w:r>
    </w:p>
    <w:p w14:paraId="6B9F1C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FED2B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61,365.82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61,365.82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61,365.82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61,365.82</w:t>
      </w:r>
      <w:r>
        <w:rPr>
          <w:rFonts w:hint="eastAsia" w:ascii="仿宋_GB2312" w:eastAsia="仿宋_GB2312"/>
          <w:color w:val="auto"/>
          <w:spacing w:val="0"/>
          <w:sz w:val="32"/>
          <w:szCs w:val="32"/>
          <w:highlight w:val="none"/>
          <w:lang w:eastAsia="zh-CN"/>
        </w:rPr>
        <w:t>万元。</w:t>
      </w:r>
    </w:p>
    <w:p w14:paraId="2D9ED3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yellow"/>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增加33,565.68万元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增长120.74%,</w:t>
      </w:r>
      <w:r>
        <w:rPr>
          <w:rFonts w:hint="eastAsia" w:ascii="仿宋_GB2312" w:eastAsia="仿宋_GB2312"/>
          <w:color w:val="auto"/>
          <w:spacing w:val="0"/>
          <w:sz w:val="32"/>
          <w:szCs w:val="32"/>
          <w:highlight w:val="none"/>
          <w:lang w:eastAsia="zh-CN"/>
        </w:rPr>
        <w:t>主要原因是：本年</w:t>
      </w:r>
      <w:r>
        <w:rPr>
          <w:rFonts w:hint="eastAsia" w:ascii="仿宋_GB2312" w:eastAsia="仿宋_GB2312"/>
          <w:color w:val="auto"/>
          <w:spacing w:val="0"/>
          <w:sz w:val="32"/>
          <w:szCs w:val="32"/>
          <w:highlight w:val="none"/>
          <w:lang w:val="en-US" w:eastAsia="zh-CN"/>
        </w:rPr>
        <w:t>老旧小区改造、智慧水务、供水修复改扩建等</w:t>
      </w:r>
      <w:r>
        <w:rPr>
          <w:rFonts w:hint="eastAsia" w:ascii="仿宋_GB2312" w:eastAsia="仿宋_GB2312"/>
          <w:color w:val="auto"/>
          <w:spacing w:val="0"/>
          <w:sz w:val="32"/>
          <w:szCs w:val="32"/>
          <w:highlight w:val="none"/>
          <w:lang w:eastAsia="zh-CN"/>
        </w:rPr>
        <w:t>项目支出增加、专项业务费增加、人员工资增加。与年初预算相比，年初预算数</w:t>
      </w:r>
      <w:r>
        <w:rPr>
          <w:rFonts w:hint="eastAsia" w:ascii="仿宋_GB2312" w:eastAsia="仿宋_GB2312"/>
          <w:color w:val="auto"/>
          <w:spacing w:val="0"/>
          <w:sz w:val="32"/>
          <w:szCs w:val="32"/>
          <w:highlight w:val="none"/>
          <w:lang w:val="zh-CN" w:eastAsia="zh-CN"/>
        </w:rPr>
        <w:t>23,915.03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61,365.82</w:t>
      </w:r>
      <w:r>
        <w:rPr>
          <w:rFonts w:hint="eastAsia" w:ascii="仿宋_GB2312" w:eastAsia="仿宋_GB2312"/>
          <w:color w:val="auto"/>
          <w:spacing w:val="0"/>
          <w:sz w:val="32"/>
          <w:szCs w:val="32"/>
          <w:highlight w:val="none"/>
          <w:lang w:eastAsia="zh-CN"/>
        </w:rPr>
        <w:t>万元，预决算差异率156.60%，主要原因是：本年</w:t>
      </w:r>
      <w:r>
        <w:rPr>
          <w:rFonts w:hint="eastAsia" w:ascii="仿宋_GB2312" w:eastAsia="仿宋_GB2312"/>
          <w:color w:val="auto"/>
          <w:spacing w:val="0"/>
          <w:sz w:val="32"/>
          <w:szCs w:val="32"/>
          <w:highlight w:val="none"/>
          <w:lang w:val="en-US" w:eastAsia="zh-CN"/>
        </w:rPr>
        <w:t>2023年老旧小区改造、智慧水务、供水改扩建修复、2015年棚户区改造、2016年棚户区改造等</w:t>
      </w:r>
      <w:r>
        <w:rPr>
          <w:rFonts w:hint="eastAsia" w:ascii="仿宋_GB2312" w:eastAsia="仿宋_GB2312"/>
          <w:color w:val="auto"/>
          <w:spacing w:val="0"/>
          <w:sz w:val="32"/>
          <w:szCs w:val="32"/>
          <w:highlight w:val="none"/>
          <w:lang w:eastAsia="zh-CN"/>
        </w:rPr>
        <w:t>项目支出增加、专项业务费增加、人员工资增加</w:t>
      </w:r>
      <w:r>
        <w:rPr>
          <w:rFonts w:hint="eastAsia" w:ascii="仿宋_GB2312" w:eastAsia="仿宋_GB2312"/>
          <w:color w:val="auto"/>
          <w:spacing w:val="0"/>
          <w:sz w:val="32"/>
          <w:szCs w:val="32"/>
          <w:highlight w:val="none"/>
          <w:lang w:val="en-US" w:eastAsia="zh-CN"/>
        </w:rPr>
        <w:t>等</w:t>
      </w:r>
      <w:r>
        <w:rPr>
          <w:rFonts w:hint="eastAsia" w:ascii="仿宋_GB2312" w:eastAsia="仿宋_GB2312"/>
          <w:color w:val="auto"/>
          <w:spacing w:val="0"/>
          <w:sz w:val="32"/>
          <w:szCs w:val="32"/>
          <w:highlight w:val="none"/>
          <w:lang w:eastAsia="zh-CN"/>
        </w:rPr>
        <w:t>。</w:t>
      </w:r>
    </w:p>
    <w:p w14:paraId="750EFE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639BD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56B7B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2023年度一般公共预算财政拨款支出13,830.59万元，占本年支出合计的</w:t>
      </w:r>
      <w:r>
        <w:rPr>
          <w:rFonts w:hint="eastAsia" w:ascii="仿宋_GB2312" w:eastAsia="仿宋_GB2312"/>
          <w:color w:val="auto"/>
          <w:spacing w:val="0"/>
          <w:sz w:val="32"/>
          <w:szCs w:val="32"/>
          <w:highlight w:val="none"/>
          <w:lang w:val="zh-CN" w:eastAsia="zh-CN"/>
        </w:rPr>
        <w:t>22.50%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增加3,738.52万元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增长37.04%,</w:t>
      </w:r>
      <w:r>
        <w:rPr>
          <w:rFonts w:hint="eastAsia" w:ascii="仿宋_GB2312" w:eastAsia="仿宋_GB2312"/>
          <w:color w:val="auto"/>
          <w:spacing w:val="0"/>
          <w:sz w:val="32"/>
          <w:szCs w:val="32"/>
          <w:highlight w:val="none"/>
          <w:lang w:eastAsia="zh-CN"/>
        </w:rPr>
        <w:t>主要原因是：本年市政基础设施建设项目支出增加，金沟河生态景观工程绿化项目、影剧院室外设施配套工程项目等。与年初预算相比，年初预算数</w:t>
      </w:r>
      <w:r>
        <w:rPr>
          <w:rFonts w:hint="eastAsia" w:ascii="仿宋_GB2312" w:eastAsia="仿宋_GB2312"/>
          <w:color w:val="auto"/>
          <w:spacing w:val="0"/>
          <w:sz w:val="32"/>
          <w:szCs w:val="32"/>
          <w:highlight w:val="none"/>
          <w:lang w:val="zh-CN" w:eastAsia="zh-CN"/>
        </w:rPr>
        <w:t>3,909.76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13,830.59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253.75%</w:t>
      </w:r>
      <w:r>
        <w:rPr>
          <w:rFonts w:hint="eastAsia" w:ascii="仿宋_GB2312" w:eastAsia="仿宋_GB2312"/>
          <w:color w:val="auto"/>
          <w:spacing w:val="0"/>
          <w:sz w:val="32"/>
          <w:szCs w:val="32"/>
          <w:highlight w:val="none"/>
          <w:lang w:eastAsia="zh-CN"/>
        </w:rPr>
        <w:t>，主要原因是：本年市政基础设施建设项目支出增加，金沟河生态景观工程绿化项目、影剧院室外设施配套工程项目等。</w:t>
      </w:r>
    </w:p>
    <w:p w14:paraId="093EB36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C6CDF9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169.85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1.23%</w:t>
      </w:r>
      <w:r>
        <w:rPr>
          <w:rFonts w:hint="default" w:ascii="仿宋_GB2312" w:hAnsi="Times New Roman" w:eastAsia="仿宋_GB2312" w:cs="Times New Roman"/>
          <w:color w:val="auto"/>
          <w:spacing w:val="0"/>
          <w:kern w:val="2"/>
          <w:sz w:val="32"/>
          <w:szCs w:val="32"/>
          <w:highlight w:val="none"/>
          <w:lang w:val="zh-CN" w:eastAsia="zh-CN" w:bidi="ar-SA"/>
        </w:rPr>
        <w:t>；</w:t>
      </w:r>
    </w:p>
    <w:p w14:paraId="309E5EC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65.66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0.47%</w:t>
      </w:r>
      <w:r>
        <w:rPr>
          <w:rFonts w:hint="default" w:ascii="仿宋_GB2312" w:hAnsi="Times New Roman" w:eastAsia="仿宋_GB2312" w:cs="Times New Roman"/>
          <w:color w:val="auto"/>
          <w:spacing w:val="0"/>
          <w:kern w:val="2"/>
          <w:sz w:val="32"/>
          <w:szCs w:val="32"/>
          <w:highlight w:val="none"/>
          <w:lang w:val="zh-CN" w:eastAsia="zh-CN" w:bidi="ar-SA"/>
        </w:rPr>
        <w:t>；</w:t>
      </w:r>
    </w:p>
    <w:p w14:paraId="6F7B372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w:t>
      </w:r>
      <w:r>
        <w:rPr>
          <w:rFonts w:hint="eastAsia" w:ascii="仿宋_GB2312" w:hAnsi="Times New Roman" w:eastAsia="仿宋_GB2312" w:cs="Times New Roman"/>
          <w:color w:val="auto"/>
          <w:spacing w:val="0"/>
          <w:kern w:val="2"/>
          <w:sz w:val="32"/>
          <w:szCs w:val="32"/>
          <w:highlight w:val="none"/>
          <w:lang w:val="zh-CN" w:eastAsia="zh-CN" w:bidi="ar-SA"/>
        </w:rPr>
        <w:t>.城乡社区支出（类）10,286.89万元，占 74.38%；</w:t>
      </w:r>
    </w:p>
    <w:p w14:paraId="6EB0276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.商业服务业等支出（类）</w:t>
      </w:r>
      <w:r>
        <w:rPr>
          <w:rFonts w:hint="eastAsia" w:ascii="仿宋_GB2312" w:hAnsi="Times New Roman" w:eastAsia="仿宋_GB2312" w:cs="Times New Roman"/>
          <w:color w:val="auto"/>
          <w:spacing w:val="0"/>
          <w:kern w:val="2"/>
          <w:sz w:val="32"/>
          <w:szCs w:val="32"/>
          <w:highlight w:val="none"/>
          <w:lang w:val="zh-CN" w:eastAsia="zh-CN" w:bidi="ar-SA"/>
        </w:rPr>
        <w:t>2.96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0.02%</w:t>
      </w:r>
      <w:r>
        <w:rPr>
          <w:rFonts w:hint="default" w:ascii="仿宋_GB2312" w:hAnsi="Times New Roman" w:eastAsia="仿宋_GB2312" w:cs="Times New Roman"/>
          <w:color w:val="auto"/>
          <w:spacing w:val="0"/>
          <w:kern w:val="2"/>
          <w:sz w:val="32"/>
          <w:szCs w:val="32"/>
          <w:highlight w:val="none"/>
          <w:lang w:val="zh-CN" w:eastAsia="zh-CN" w:bidi="ar-SA"/>
        </w:rPr>
        <w:t>；</w:t>
      </w:r>
    </w:p>
    <w:p w14:paraId="4D5803E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3,283.00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23.74%</w:t>
      </w:r>
      <w:r>
        <w:rPr>
          <w:rFonts w:hint="default" w:ascii="仿宋_GB2312" w:hAnsi="Times New Roman" w:eastAsia="仿宋_GB2312" w:cs="Times New Roman"/>
          <w:color w:val="auto"/>
          <w:spacing w:val="0"/>
          <w:kern w:val="2"/>
          <w:sz w:val="32"/>
          <w:szCs w:val="32"/>
          <w:highlight w:val="none"/>
          <w:lang w:val="zh-CN" w:eastAsia="zh-CN" w:bidi="ar-SA"/>
        </w:rPr>
        <w:t>；</w:t>
      </w:r>
    </w:p>
    <w:p w14:paraId="7669EEA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22.24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0.16%</w:t>
      </w:r>
      <w:r>
        <w:rPr>
          <w:rFonts w:hint="default" w:ascii="仿宋_GB2312" w:hAnsi="Times New Roman" w:eastAsia="仿宋_GB2312" w:cs="Times New Roman"/>
          <w:color w:val="auto"/>
          <w:spacing w:val="0"/>
          <w:kern w:val="2"/>
          <w:sz w:val="32"/>
          <w:szCs w:val="32"/>
          <w:highlight w:val="none"/>
          <w:lang w:val="zh-CN" w:eastAsia="zh-CN" w:bidi="ar-SA"/>
        </w:rPr>
        <w:t>；</w:t>
      </w:r>
    </w:p>
    <w:p w14:paraId="1882AE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D1088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1.卫生健康支出（类）行政事业单位医疗（款）行政单位医疗（项）:支出决算数为27.14万元，比上年决算减少17.10万元，下降38.65%，主要原因是：我单位不再负担35名行政退休人员行政医疗保险缴费。</w:t>
      </w:r>
    </w:p>
    <w:p w14:paraId="0B5A79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2.卫生健康支出（类）行政事业单位医疗（款）事业单位医疗（项）:支出决算数为19.01万元，比上年决算减少5.36万元，下降21.99%，主要原因是：我单位不再负担16名事业退休人员医疗保险缴费。</w:t>
      </w:r>
    </w:p>
    <w:p w14:paraId="2E0CC4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3.卫生健康支出（类）行政事业单位医疗（款）公务员医疗补助（项）:支出决算数为19.51万元，比上年决算减少0.56万元，下降2.79%，主要原因是：我单位不再负担35名退休人员公务员医疗保险缴费。</w:t>
      </w:r>
    </w:p>
    <w:p w14:paraId="4A8358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4.住房保障支出（类）保障性安居工程支出（款）农村危房改造（项）:支出决算数为7.40万元，比上年决算减少30.25万元，下降80.35%，主要原因是：2023 年农村危房改造项目减少。</w:t>
      </w:r>
    </w:p>
    <w:p w14:paraId="26892C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5.住房保障支出（类）住房改革支出（款）住房公积金（项）:支出决算数为84.92万元，比上年决算增加6.57万元，增长8.39%，主要原因是：2023 年我单位新招录人员2人，年初住房公积金基数调整，增加在职人员住房公积金支出。</w:t>
      </w:r>
    </w:p>
    <w:p w14:paraId="496920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6.住房保障支出（类）保障性安居工程支出（款）老旧小区改造（项）:支出决算数为3,161.00万元，比上年决算增加1,263.82万元，增长66.62%，主要原因是：2023年增加塔地财综【2022】23 号沙财综【2022】8 号中央财政城镇保障性安居工程补助资金项目。</w:t>
      </w:r>
    </w:p>
    <w:p w14:paraId="515CCF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5.62万元，比上年决算增加1.15万元，增长25.73%，主要原因是：2023年退休人员增加，机关事业单位基本养老保险缴费支出单位部分也增加。</w:t>
      </w:r>
    </w:p>
    <w:p w14:paraId="0D410F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8.住房保障支出（类）保障性安居工程支出（款）公共租赁住房（项）:支出决算数为29.68万元，比上年决算增加29.68万元，增长100%，主要原因是：2017年三期公租房装修工程项目支出增加</w:t>
      </w:r>
      <w:r>
        <w:rPr>
          <w:rFonts w:hint="eastAsia" w:ascii="仿宋_GB2312" w:hAnsi="仿宋_GB2312" w:eastAsia="仿宋_GB2312" w:cs="仿宋_GB2312"/>
          <w:color w:val="auto"/>
          <w:kern w:val="2"/>
          <w:sz w:val="32"/>
          <w:szCs w:val="32"/>
          <w:highlight w:val="none"/>
          <w:lang w:val="zh-CN" w:eastAsia="zh-CN" w:bidi="ar-SA"/>
        </w:rPr>
        <w:t>。</w:t>
      </w:r>
    </w:p>
    <w:p w14:paraId="03BF1F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行政单位离退休（项）:支出决算数为24.97万元，比上年决算增加9.61万元，增长62.57%，主要原因是：2023年我单位新增行政退休人员3人，独生子女奖励金及交通费增加，增加了退休人员年度绩效考核奖。</w:t>
      </w:r>
    </w:p>
    <w:p w14:paraId="4D6B23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职业年金缴费支出（项）:支出决算数为32.01万元，比上年决算减少11.94万元，下降27.17%，主要原因是：2023年在职转退休人员比2022年减少3个人，职业年金缴费支出减少。</w:t>
      </w:r>
    </w:p>
    <w:p w14:paraId="627326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11.社会保障和就业支出（类）行政事业单位养老支出（款）机关事业单位基本养老保险缴费支出（项）:支出决算数为107.26万元，比上年决算增加21.15万元，增长24.56%，主要原因是：2023 年机关养老缴费基数增加。</w:t>
      </w:r>
    </w:p>
    <w:p w14:paraId="35DB44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12.城乡社区支出（类）城乡社区管理事务（款）城管执法（项）:支出决算数为316.86万元，比上年决算增加194.43万元，增长158.81%，主要原因是：我单位 2023 年事业差额人员财政拨款比例调增，考核工资增加。</w:t>
      </w:r>
    </w:p>
    <w:p w14:paraId="6B38CC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13.城乡社区支出（类）城乡社区管理事务（款）行政运行（项）:支出决算数为936.14万元，比上年决算减少44.36万元，下降4.52%，主要原因是：2023年度城乡社区管理事务行政运行的人员经费和公务经费减少。</w:t>
      </w:r>
    </w:p>
    <w:p w14:paraId="0269D9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14.城乡社区支出（类）城乡社区公共设施（款）其他城乡社区公共设施支出（项）:支出决算数为9,033.89万元，比上年决算增加2,404.29万元，增长36.27%，主要原因是：沙湾县影剧院室外配套设施工程、金沟河生态治理亮化四标段项目、沙湾县金沟河生态景观工程绿化项目、大美沙湾城东新区项目优惠政策等项目费用增加。</w:t>
      </w:r>
    </w:p>
    <w:p w14:paraId="57572A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15.其他支出（类）其他支出（款）其他支出（项）:支出决算数为22.24万元，比上年决算减少53.06万元，下降70.46%，主要原因是：2023年为民办实事</w:t>
      </w:r>
      <w:r>
        <w:rPr>
          <w:rFonts w:hint="eastAsia" w:ascii="仿宋_GB2312" w:hAnsi="仿宋_GB2312" w:eastAsia="仿宋_GB2312" w:cs="仿宋_GB2312"/>
          <w:color w:val="auto"/>
          <w:kern w:val="2"/>
          <w:sz w:val="32"/>
          <w:szCs w:val="32"/>
          <w:highlight w:val="none"/>
          <w:lang w:val="zh-CN" w:eastAsia="zh-CN" w:bidi="ar-SA"/>
        </w:rPr>
        <w:t>项目减少。</w:t>
      </w:r>
    </w:p>
    <w:p w14:paraId="299663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商业服务业等支出（类）其他商业服务业等支出（款）其他商业服务业等支出（项）:支出决算数为2.96万元，比上年决算减少2.54万元，下降46.18%，主要原因是：2023年度我单位缴纳恒祥外贸公司人员医疗保险金额比2022年减少。</w:t>
      </w:r>
    </w:p>
    <w:p w14:paraId="1F4816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灾害防治及应急管理支出（类）应急管理事务（款）灾害风险防治（项）:支出决算数为0.00万元，比上年决算减少27.00万元，下降100%，主要原因是：自然灾害防治体系建设补助资金及自然灾害综合风险普查中央补助资金减少</w:t>
      </w:r>
      <w:r>
        <w:rPr>
          <w:rFonts w:hint="eastAsia" w:ascii="仿宋_GB2312" w:hAnsi="仿宋_GB2312" w:eastAsia="仿宋_GB2312" w:cs="仿宋_GB2312"/>
          <w:color w:val="auto"/>
          <w:kern w:val="2"/>
          <w:sz w:val="32"/>
          <w:szCs w:val="32"/>
          <w:highlight w:val="none"/>
          <w:lang w:val="zh-CN" w:eastAsia="zh-CN" w:bidi="ar-SA"/>
        </w:rPr>
        <w:t>。</w:t>
      </w:r>
    </w:p>
    <w:p w14:paraId="701B1B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298C3C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1,573.42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1,330.23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2A6E535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243.20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办公费、邮电费、差旅费、维修（护）费、培训费、劳务费、工会经费、公务用车运行维护费、其他商品和服务支出</w:t>
      </w:r>
      <w:r>
        <w:rPr>
          <w:rFonts w:hint="eastAsia" w:ascii="仿宋_GB2312" w:eastAsia="仿宋_GB2312"/>
          <w:color w:val="auto"/>
          <w:sz w:val="32"/>
          <w:szCs w:val="32"/>
          <w:highlight w:val="none"/>
          <w:lang w:eastAsia="zh-CN"/>
        </w:rPr>
        <w:t>。</w:t>
      </w:r>
    </w:p>
    <w:p w14:paraId="02920E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0137D7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“三公”经费支出7.38万元，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减少0.40万元，</w:t>
      </w:r>
      <w:r>
        <w:rPr>
          <w:rFonts w:hint="eastAsia" w:ascii="仿宋_GB2312" w:eastAsia="仿宋_GB2312"/>
          <w:color w:val="auto"/>
          <w:sz w:val="32"/>
          <w:szCs w:val="32"/>
          <w:highlight w:val="none"/>
          <w:lang w:val="en-US" w:eastAsia="zh-CN"/>
        </w:rPr>
        <w:t>下降5.14%,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我单位严格落实中央八项规定，厉行节约，减少公务用车。</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；公务用车购置及运行维护费支出7.38万元，占100.00%，比上年减少0.40万元，</w:t>
      </w:r>
      <w:r>
        <w:rPr>
          <w:rFonts w:hint="eastAsia" w:ascii="仿宋_GB2312" w:eastAsia="仿宋_GB2312"/>
          <w:color w:val="auto"/>
          <w:sz w:val="32"/>
          <w:szCs w:val="32"/>
          <w:highlight w:val="none"/>
          <w:lang w:val="en-US" w:eastAsia="zh-CN"/>
        </w:rPr>
        <w:t>下降5.14%,</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我单位厉行节约，压缩公用经费,公务</w:t>
      </w:r>
      <w:r>
        <w:rPr>
          <w:rFonts w:hint="eastAsia" w:ascii="仿宋_GB2312" w:eastAsia="仿宋_GB2312"/>
          <w:sz w:val="32"/>
          <w:szCs w:val="32"/>
          <w:highlight w:val="none"/>
          <w:lang w:val="en-US" w:eastAsia="zh-CN"/>
        </w:rPr>
        <w:t>用</w:t>
      </w:r>
      <w:r>
        <w:rPr>
          <w:rFonts w:hint="eastAsia" w:ascii="仿宋_GB2312" w:eastAsia="仿宋_GB2312"/>
          <w:sz w:val="32"/>
          <w:szCs w:val="32"/>
          <w:highlight w:val="none"/>
        </w:rPr>
        <w:t>车运行费比上年减少</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主要原因是我单位无公务接待业务。</w:t>
      </w:r>
    </w:p>
    <w:p w14:paraId="5567946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3CDFFF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因公出国（境）费支出0.00万元。开支内容包括因公出国（境）费支出，</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2ABFA15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公务用车购置及运行维护费7.38万元，其中：公务用车购置费0.00万元，公务用车运行维护费7.38万元。公务用车运行维护费开支内容包括</w:t>
      </w:r>
      <w:r>
        <w:rPr>
          <w:rFonts w:hint="eastAsia" w:ascii="仿宋_GB2312" w:eastAsia="仿宋_GB2312"/>
          <w:sz w:val="32"/>
          <w:szCs w:val="32"/>
          <w:highlight w:val="none"/>
        </w:rPr>
        <w:t>车辆燃油费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保险费</w:t>
      </w:r>
      <w:r>
        <w:rPr>
          <w:rFonts w:hint="eastAsia" w:ascii="仿宋_GB2312" w:eastAsia="仿宋_GB2312"/>
          <w:sz w:val="32"/>
          <w:szCs w:val="32"/>
          <w:highlight w:val="none"/>
          <w:lang w:val="en-US" w:eastAsia="zh-CN"/>
        </w:rPr>
        <w:t>和车辆维修费</w:t>
      </w:r>
      <w:r>
        <w:rPr>
          <w:rFonts w:hint="eastAsia" w:ascii="仿宋_GB2312" w:eastAsia="仿宋_GB2312"/>
          <w:sz w:val="32"/>
          <w:szCs w:val="32"/>
          <w:highlight w:val="none"/>
        </w:rPr>
        <w:t>支出。</w:t>
      </w:r>
      <w:r>
        <w:rPr>
          <w:rFonts w:hint="eastAsia" w:ascii="仿宋_GB2312" w:eastAsia="仿宋_GB2312"/>
          <w:color w:val="auto"/>
          <w:sz w:val="32"/>
          <w:szCs w:val="32"/>
          <w:highlight w:val="none"/>
          <w:lang w:val="zh-CN" w:eastAsia="zh-CN"/>
        </w:rPr>
        <w:t>公务用车购置数0辆，公务用车保有量</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有一辆其他用车正在办理报废手续</w:t>
      </w:r>
      <w:r>
        <w:rPr>
          <w:rFonts w:hint="eastAsia" w:ascii="仿宋_GB2312" w:eastAsia="仿宋_GB2312"/>
          <w:color w:val="auto"/>
          <w:sz w:val="32"/>
          <w:szCs w:val="32"/>
          <w:highlight w:val="none"/>
          <w:lang w:val="zh-CN" w:eastAsia="zh-CN"/>
        </w:rPr>
        <w:t>。</w:t>
      </w:r>
    </w:p>
    <w:p w14:paraId="6C5B225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开支内容。单位全年安排的国内公务接待0批次，0人次。</w:t>
      </w:r>
    </w:p>
    <w:p w14:paraId="03BB99E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预算数21.89万元，决算数7.38万元，预决算差异率-66.29%，主要原因是：</w:t>
      </w:r>
      <w:r>
        <w:rPr>
          <w:rFonts w:hint="eastAsia" w:ascii="仿宋_GB2312" w:eastAsia="仿宋_GB2312"/>
          <w:color w:val="auto"/>
          <w:sz w:val="32"/>
          <w:szCs w:val="32"/>
          <w:highlight w:val="none"/>
          <w:lang w:val="en-US" w:eastAsia="zh-CN"/>
        </w:rPr>
        <w:t>我单位严格落实中央八项规定，厉行节约，减少公务用车</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我单位未</w:t>
      </w:r>
      <w:r>
        <w:rPr>
          <w:rFonts w:hint="eastAsia" w:ascii="仿宋_GB2312" w:eastAsia="仿宋_GB2312"/>
          <w:color w:val="auto"/>
          <w:sz w:val="32"/>
          <w:szCs w:val="32"/>
          <w:highlight w:val="none"/>
          <w:lang w:val="zh-CN" w:eastAsia="zh-CN"/>
        </w:rPr>
        <w:t>购置公务用车；公务用车运行费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预算数19.99万元，决算数7.38万元，预决算差异率-63.08%，主要原因是：</w:t>
      </w:r>
      <w:r>
        <w:rPr>
          <w:rFonts w:hint="eastAsia" w:ascii="仿宋_GB2312" w:eastAsia="仿宋_GB2312"/>
          <w:color w:val="auto"/>
          <w:sz w:val="32"/>
          <w:szCs w:val="32"/>
          <w:highlight w:val="none"/>
          <w:lang w:val="en-US" w:eastAsia="zh-CN"/>
        </w:rPr>
        <w:t>我单位严格落实中央八项规定，厉行节约，减少公务用车</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预算数1.90万元，决算数0.00万元，预决算差异率-100.00%，主要原因是：</w:t>
      </w:r>
      <w:r>
        <w:rPr>
          <w:rFonts w:hint="eastAsia" w:ascii="仿宋_GB2312" w:eastAsia="仿宋_GB2312"/>
          <w:color w:val="auto"/>
          <w:sz w:val="32"/>
          <w:szCs w:val="32"/>
          <w:highlight w:val="none"/>
          <w:lang w:val="en-US" w:eastAsia="zh-CN"/>
        </w:rPr>
        <w:t>我单位严格落实中央八项规定，厉行节约，减少公务接待</w:t>
      </w:r>
      <w:r>
        <w:rPr>
          <w:rFonts w:hint="eastAsia" w:ascii="仿宋_GB2312" w:eastAsia="仿宋_GB2312"/>
          <w:color w:val="auto"/>
          <w:sz w:val="32"/>
          <w:szCs w:val="32"/>
          <w:highlight w:val="none"/>
          <w:lang w:val="zh-CN" w:eastAsia="zh-CN"/>
        </w:rPr>
        <w:t>。</w:t>
      </w:r>
    </w:p>
    <w:p w14:paraId="1A506C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98733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总计47,535.23</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本年收入47,535.23</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总计47,535.23</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本年支出47,535.23</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14:paraId="3DF20040">
      <w:pPr>
        <w:keepNext w:val="0"/>
        <w:keepLines w:val="0"/>
        <w:pageBreakBefore w:val="0"/>
        <w:wordWrap/>
        <w:overflowPunct/>
        <w:topLinePunct w:val="0"/>
        <w:bidi w:val="0"/>
        <w:spacing w:line="240" w:lineRule="auto"/>
        <w:ind w:firstLine="640" w:firstLineChars="200"/>
        <w:jc w:val="left"/>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与上年相比，增加29,827.16万元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增长168.44%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新增沙湾县城排涝管网工程（一期）耕地补偿、沙湾市环卫和园林政府购买社会化服务塔城地区沙湾市供水修复改造工程、沙湾市智慧水务计量设施改造项目等项目。</w:t>
      </w:r>
      <w:r>
        <w:rPr>
          <w:rFonts w:hint="eastAsia" w:ascii="仿宋_GB2312" w:hAnsi="仿宋_GB2312" w:eastAsia="仿宋_GB2312" w:cs="仿宋_GB2312"/>
          <w:color w:val="auto"/>
          <w:sz w:val="32"/>
          <w:szCs w:val="32"/>
          <w:highlight w:val="none"/>
          <w:lang w:val="zh-CN"/>
        </w:rPr>
        <w:t>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20,005.27</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47,535.23</w:t>
      </w:r>
      <w:r>
        <w:rPr>
          <w:rFonts w:hint="eastAsia" w:ascii="仿宋_GB2312" w:hAnsi="仿宋_GB2312" w:eastAsia="仿宋_GB2312" w:cs="仿宋_GB2312"/>
          <w:color w:val="auto"/>
          <w:sz w:val="32"/>
          <w:szCs w:val="32"/>
          <w:highlight w:val="none"/>
          <w:lang w:val="zh-CN"/>
        </w:rPr>
        <w:t>万元，预决算差异率137.61%。</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新增沙湾县城排涝管网工程（一期）耕地补偿、沙湾市环卫和园林政府购买社会化服务塔城地区沙湾市供水修复改造工程、沙湾市智慧水务计量设施改造项目等项目。</w:t>
      </w:r>
    </w:p>
    <w:p w14:paraId="08CBD4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47,535.23</w:t>
      </w:r>
      <w:r>
        <w:rPr>
          <w:rFonts w:hint="eastAsia" w:ascii="仿宋_GB2312" w:hAnsi="仿宋_GB2312" w:eastAsia="仿宋_GB2312" w:cs="仿宋_GB2312"/>
          <w:color w:val="auto"/>
          <w:sz w:val="32"/>
          <w:szCs w:val="32"/>
          <w:highlight w:val="none"/>
          <w:lang w:val="zh-CN"/>
        </w:rPr>
        <w:t>万元。</w:t>
      </w:r>
    </w:p>
    <w:p w14:paraId="333CA9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1.城乡社区支出（类）国有土地使用权出让收入安排的支出（款）征地和拆迁补偿支出（项）:支出决算数为30.45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30.45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w:t>
      </w:r>
      <w:r>
        <w:rPr>
          <w:rFonts w:hint="eastAsia" w:ascii="仿宋_GB2312" w:hAnsi="仿宋_GB2312" w:eastAsia="仿宋_GB2312" w:cs="仿宋_GB2312"/>
          <w:color w:val="auto"/>
          <w:sz w:val="32"/>
          <w:szCs w:val="32"/>
          <w:highlight w:val="none"/>
          <w:lang w:val="en-US" w:eastAsia="zh-CN"/>
        </w:rPr>
        <w:t>新增沙湾县城排涝管网工程（一期）耕地补偿项目</w:t>
      </w:r>
      <w:r>
        <w:rPr>
          <w:rFonts w:hint="eastAsia" w:ascii="仿宋_GB2312" w:hAnsi="仿宋_GB2312" w:eastAsia="仿宋_GB2312" w:cs="仿宋_GB2312"/>
          <w:color w:val="auto"/>
          <w:sz w:val="32"/>
          <w:szCs w:val="32"/>
          <w:highlight w:val="none"/>
          <w:lang w:val="zh-CN"/>
        </w:rPr>
        <w:t>。</w:t>
      </w:r>
    </w:p>
    <w:p w14:paraId="60C58E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2.城乡社区支出（类）国有土地使用权出让收入安排的支出（款）城市建设支出（项）:支出决算数为1,317.42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1,317.42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w:t>
      </w:r>
      <w:r>
        <w:rPr>
          <w:rFonts w:hint="eastAsia" w:ascii="仿宋_GB2312" w:hAnsi="仿宋_GB2312" w:eastAsia="仿宋_GB2312" w:cs="仿宋_GB2312"/>
          <w:color w:val="auto"/>
          <w:sz w:val="32"/>
          <w:szCs w:val="32"/>
          <w:highlight w:val="none"/>
          <w:lang w:val="en-US" w:eastAsia="zh-CN"/>
        </w:rPr>
        <w:t>沙湾市环卫和园林政府购买社会化服务项目支出增加</w:t>
      </w:r>
      <w:r>
        <w:rPr>
          <w:rFonts w:hint="eastAsia" w:ascii="仿宋_GB2312" w:hAnsi="仿宋_GB2312" w:eastAsia="仿宋_GB2312" w:cs="仿宋_GB2312"/>
          <w:color w:val="auto"/>
          <w:sz w:val="32"/>
          <w:szCs w:val="32"/>
          <w:highlight w:val="none"/>
          <w:lang w:val="zh-CN"/>
        </w:rPr>
        <w:t>。</w:t>
      </w:r>
    </w:p>
    <w:p w14:paraId="4E06E0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3.城乡社区支出（类）国有土地使用权出让收入安排的支出（款）农村基础设施建设支出（项）:支出决算数为9,329.60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4,077.60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77.64%，主要原因是：</w:t>
      </w:r>
      <w:r>
        <w:rPr>
          <w:rFonts w:hint="eastAsia" w:ascii="仿宋_GB2312" w:hAnsi="仿宋_GB2312" w:eastAsia="仿宋_GB2312" w:cs="仿宋_GB2312"/>
          <w:color w:val="auto"/>
          <w:sz w:val="32"/>
          <w:szCs w:val="32"/>
          <w:highlight w:val="none"/>
          <w:lang w:val="en-US" w:eastAsia="zh-CN"/>
        </w:rPr>
        <w:t>2015-2016年棚户区改造项目及2015年农村土地整治项目购买服务费从其他国有土地使用权出让收入安排支出调至农村基础设施建设支出</w:t>
      </w:r>
      <w:r>
        <w:rPr>
          <w:rFonts w:hint="eastAsia" w:ascii="仿宋_GB2312" w:hAnsi="仿宋_GB2312" w:eastAsia="仿宋_GB2312" w:cs="仿宋_GB2312"/>
          <w:color w:val="auto"/>
          <w:sz w:val="32"/>
          <w:szCs w:val="32"/>
          <w:highlight w:val="none"/>
          <w:lang w:val="zh-CN"/>
        </w:rPr>
        <w:t>。</w:t>
      </w:r>
    </w:p>
    <w:p w14:paraId="77D21F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4.城乡社区支出（类）国有土地使用权出让收入安排的支出（款）其他国有土地使用权出让收入安排的支出（项）:支出决算数为4,803.11</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减少</w:t>
      </w:r>
      <w:r>
        <w:rPr>
          <w:rFonts w:hint="eastAsia" w:ascii="仿宋_GB2312" w:hAnsi="仿宋_GB2312" w:eastAsia="仿宋_GB2312" w:cs="仿宋_GB2312"/>
          <w:color w:val="auto"/>
          <w:sz w:val="32"/>
          <w:szCs w:val="32"/>
          <w:highlight w:val="none"/>
          <w:lang w:val="zh-CN"/>
        </w:rPr>
        <w:t>4,652.96</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下降</w:t>
      </w:r>
      <w:r>
        <w:rPr>
          <w:rFonts w:hint="eastAsia" w:ascii="仿宋_GB2312" w:hAnsi="仿宋_GB2312" w:eastAsia="仿宋_GB2312" w:cs="仿宋_GB2312"/>
          <w:color w:val="auto"/>
          <w:sz w:val="32"/>
          <w:szCs w:val="32"/>
          <w:highlight w:val="none"/>
          <w:lang w:val="zh-CN"/>
        </w:rPr>
        <w:t>49.21%，主要原因是：</w:t>
      </w:r>
      <w:r>
        <w:rPr>
          <w:rFonts w:hint="eastAsia" w:ascii="仿宋_GB2312" w:hAnsi="仿宋_GB2312" w:eastAsia="仿宋_GB2312" w:cs="仿宋_GB2312"/>
          <w:color w:val="auto"/>
          <w:sz w:val="32"/>
          <w:szCs w:val="32"/>
          <w:highlight w:val="none"/>
          <w:lang w:val="en-US" w:eastAsia="zh-CN"/>
        </w:rPr>
        <w:t>2015-2016年棚户区改造项目及2015年农村土地整治项目购买服务费从其他国有土地使用权出让收入安排支出调至农村基础设施建设支出</w:t>
      </w:r>
      <w:r>
        <w:rPr>
          <w:rFonts w:hint="eastAsia" w:ascii="仿宋_GB2312" w:hAnsi="仿宋_GB2312" w:eastAsia="仿宋_GB2312" w:cs="仿宋_GB2312"/>
          <w:color w:val="auto"/>
          <w:sz w:val="32"/>
          <w:szCs w:val="32"/>
          <w:highlight w:val="none"/>
          <w:lang w:val="zh-CN"/>
        </w:rPr>
        <w:t>。</w:t>
      </w:r>
    </w:p>
    <w:p w14:paraId="07B580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5.城乡社区支出（类）国有土地使用权出让收入对应专项债务收入安排的支出（款）其他国有土地使用权出让收入对应专项债务收入安排的支出（项）:支出决算数为6,854.64</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6,854.64</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w:t>
      </w:r>
      <w:r>
        <w:rPr>
          <w:rFonts w:hint="eastAsia" w:ascii="仿宋_GB2312" w:hAnsi="仿宋_GB2312" w:eastAsia="仿宋_GB2312" w:cs="仿宋_GB2312"/>
          <w:color w:val="auto"/>
          <w:sz w:val="32"/>
          <w:szCs w:val="32"/>
          <w:highlight w:val="none"/>
          <w:lang w:val="en-US" w:eastAsia="zh-CN"/>
        </w:rPr>
        <w:t>新增沙湾县金沟河城镇段生态治理工程、沙湾县2015年棚户区改造项目支出</w:t>
      </w:r>
      <w:r>
        <w:rPr>
          <w:rFonts w:hint="eastAsia" w:ascii="仿宋_GB2312" w:hAnsi="仿宋_GB2312" w:eastAsia="仿宋_GB2312" w:cs="仿宋_GB2312"/>
          <w:color w:val="auto"/>
          <w:sz w:val="32"/>
          <w:szCs w:val="32"/>
          <w:highlight w:val="none"/>
          <w:lang w:val="zh-CN"/>
        </w:rPr>
        <w:t>。</w:t>
      </w:r>
    </w:p>
    <w:p w14:paraId="2F91DC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6.其他支出（类）其他政府性基金及对应专项债务收入安排的支出（款）其他地方自行试点项目收益专项债券收入安排的支出（项）:支出决算数为25,200.00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22,200.00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740.00%，主要原因是：</w:t>
      </w:r>
      <w:r>
        <w:rPr>
          <w:rFonts w:hint="eastAsia" w:ascii="仿宋_GB2312" w:hAnsi="仿宋_GB2312" w:eastAsia="仿宋_GB2312" w:cs="仿宋_GB2312"/>
          <w:color w:val="auto"/>
          <w:sz w:val="32"/>
          <w:szCs w:val="32"/>
          <w:highlight w:val="none"/>
          <w:lang w:val="en-US" w:eastAsia="zh-CN"/>
        </w:rPr>
        <w:t>沙湾县2015年棚户区改造项目、沙湾县2016年棚户区（城中村）改造项目、沙湾县金沟河城镇段生态治理工程、塔城地区沙湾市供水修复改造工程、沙湾市智慧水务计量设施改造项目支出增加</w:t>
      </w:r>
      <w:r>
        <w:rPr>
          <w:rFonts w:hint="eastAsia" w:ascii="仿宋_GB2312" w:hAnsi="仿宋_GB2312" w:eastAsia="仿宋_GB2312" w:cs="仿宋_GB2312"/>
          <w:color w:val="auto"/>
          <w:sz w:val="32"/>
          <w:szCs w:val="32"/>
          <w:highlight w:val="none"/>
          <w:lang w:val="zh-CN"/>
        </w:rPr>
        <w:t>。</w:t>
      </w:r>
    </w:p>
    <w:p w14:paraId="56B7DD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8F0AF2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183520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6720A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05217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sz w:val="32"/>
          <w:szCs w:val="32"/>
          <w:highlight w:val="yellow"/>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沙湾市住房和城乡建设局（行政单位和参照公务员法管理事业单位）机关运行经费支出243.20万元，</w:t>
      </w:r>
      <w:r>
        <w:rPr>
          <w:rFonts w:hint="eastAsia" w:ascii="仿宋_GB2312" w:hAnsi="仿宋_GB2312" w:eastAsia="仿宋_GB2312" w:cs="仿宋_GB2312"/>
          <w:color w:val="auto"/>
          <w:sz w:val="32"/>
          <w:szCs w:val="32"/>
          <w:highlight w:val="none"/>
          <w:lang w:val="zh-CN" w:eastAsia="zh-CN"/>
        </w:rPr>
        <w:t>比上年增加92.72万元，增长61.62%，主要原因是：</w:t>
      </w:r>
      <w:r>
        <w:rPr>
          <w:rFonts w:hint="eastAsia" w:ascii="仿宋_GB2312" w:hAnsi="仿宋_GB2312" w:eastAsia="仿宋_GB2312" w:cs="仿宋_GB2312"/>
          <w:color w:val="auto"/>
          <w:sz w:val="32"/>
          <w:szCs w:val="32"/>
          <w:highlight w:val="none"/>
          <w:lang w:val="en-US" w:eastAsia="zh-CN"/>
        </w:rPr>
        <w:t>增加设计室人员工资、社保及公积金缴费。</w:t>
      </w:r>
    </w:p>
    <w:p w14:paraId="555193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AB4BD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145.04万元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其中：政府采购货物支出10.74万元、政府采购工程支出0.00万元、政府采购服务支出134.29万元。</w:t>
      </w:r>
    </w:p>
    <w:p w14:paraId="47469F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授予中小企业合同金额145.04万元，占政府采购支出总额的100.00%，其中：授予小微企业合同金额104.99万元，占政府采购支出总额的72.39%</w:t>
      </w:r>
      <w:r>
        <w:rPr>
          <w:rFonts w:hint="eastAsia" w:ascii="仿宋_GB2312" w:hAnsi="仿宋_GB2312" w:eastAsia="仿宋_GB2312" w:cs="仿宋_GB2312"/>
          <w:color w:val="auto"/>
          <w:sz w:val="32"/>
          <w:szCs w:val="32"/>
          <w:highlight w:val="none"/>
          <w:lang w:val="en-US" w:eastAsia="zh-CN"/>
        </w:rPr>
        <w:t>。</w:t>
      </w:r>
    </w:p>
    <w:p w14:paraId="5C0886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26F2A4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1,116.12</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屋6,461.98平方米，价值718.06万元。车辆5辆，价值65.36万元，其中：副部（省）级及以上领导用车0辆、主要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用车0辆、机要通信用车0辆、应急保障用车0辆、执法执勤用车2辆、特种专业技术用车0辆、离退休干部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用车0辆、其他用车3辆，其他用车主要是：</w:t>
      </w:r>
      <w:r>
        <w:rPr>
          <w:rFonts w:hint="eastAsia" w:ascii="仿宋_GB2312" w:eastAsia="仿宋_GB2312"/>
          <w:sz w:val="32"/>
          <w:szCs w:val="32"/>
          <w:highlight w:val="none"/>
          <w:lang w:eastAsia="zh-CN"/>
        </w:rPr>
        <w:t>非执法用车，用于本单位开展正常工作的</w:t>
      </w:r>
      <w:r>
        <w:rPr>
          <w:rFonts w:hint="eastAsia" w:ascii="仿宋_GB2312" w:eastAsia="仿宋_GB2312"/>
          <w:sz w:val="32"/>
          <w:szCs w:val="32"/>
          <w:highlight w:val="none"/>
          <w:lang w:val="en-US" w:eastAsia="zh-CN"/>
        </w:rPr>
        <w:t>业务</w:t>
      </w:r>
      <w:r>
        <w:rPr>
          <w:rFonts w:hint="eastAsia" w:ascii="仿宋_GB2312" w:eastAsia="仿宋_GB2312"/>
          <w:sz w:val="32"/>
          <w:szCs w:val="32"/>
          <w:highlight w:val="none"/>
          <w:lang w:eastAsia="zh-CN"/>
        </w:rPr>
        <w:t>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738C41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F7E57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hAnsi="宋体" w:eastAsia="仿宋_GB2312"/>
          <w:bCs/>
          <w:sz w:val="32"/>
          <w:szCs w:val="32"/>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eastAsia="zh-CN"/>
        </w:rPr>
        <w:t>绩效自评表</w:t>
      </w:r>
      <w:r>
        <w:rPr>
          <w:rFonts w:hint="eastAsia" w:ascii="仿宋_GB2312" w:eastAsia="仿宋_GB2312"/>
          <w:color w:val="auto"/>
          <w:sz w:val="32"/>
          <w:szCs w:val="32"/>
          <w:highlight w:val="none"/>
          <w:lang w:val="en-US" w:eastAsia="zh-CN"/>
        </w:rPr>
        <w:t>1张，全年预算总额66071.13</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实际执行总额61462.12</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全年预算数60460.69</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全年执行数</w:t>
      </w:r>
      <w:r>
        <w:rPr>
          <w:rFonts w:hint="eastAsia" w:ascii="仿宋_GB2312" w:eastAsia="仿宋_GB2312"/>
          <w:color w:val="auto"/>
          <w:sz w:val="32"/>
          <w:szCs w:val="32"/>
          <w:highlight w:val="none"/>
          <w:lang w:eastAsia="zh-CN"/>
        </w:rPr>
        <w:t>59888.69万元</w:t>
      </w:r>
      <w:r>
        <w:rPr>
          <w:rFonts w:hint="eastAsia" w:ascii="仿宋_GB2312" w:hAnsi="宋体" w:eastAsia="仿宋_GB2312"/>
          <w:bCs/>
          <w:sz w:val="32"/>
          <w:szCs w:val="32"/>
        </w:rPr>
        <w:t>。</w:t>
      </w:r>
      <w:r>
        <w:rPr>
          <w:rFonts w:hint="eastAsia" w:ascii="仿宋_GB2312" w:eastAsia="仿宋_GB2312"/>
          <w:color w:val="auto"/>
          <w:sz w:val="32"/>
          <w:szCs w:val="32"/>
          <w:highlight w:val="none"/>
          <w:lang w:eastAsia="zh-CN"/>
        </w:rPr>
        <w:t>本单位sm项目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47365.97</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47365.97</w:t>
      </w:r>
      <w:r>
        <w:rPr>
          <w:rFonts w:hint="eastAsia" w:ascii="仿宋_GB2312" w:eastAsia="仿宋_GB2312"/>
          <w:color w:val="auto"/>
          <w:sz w:val="32"/>
          <w:szCs w:val="32"/>
          <w:highlight w:val="none"/>
          <w:lang w:eastAsia="zh-CN"/>
        </w:rPr>
        <w:t>万元，不予以公开。预算绩效管理取得的成效：一是</w:t>
      </w:r>
      <w:r>
        <w:rPr>
          <w:rFonts w:hint="eastAsia" w:ascii="仿宋_GB2312" w:hAnsi="宋体" w:eastAsia="仿宋_GB2312"/>
          <w:bCs/>
          <w:sz w:val="32"/>
          <w:szCs w:val="32"/>
        </w:rPr>
        <w:t>对3个片区的3511户老旧小区进行改造、建设沙湾市供水修复改造工程、新增智慧停车场及新能源汽车充电站</w:t>
      </w:r>
      <w:r>
        <w:rPr>
          <w:rFonts w:hint="eastAsia" w:ascii="仿宋_GB2312" w:eastAsia="仿宋_GB2312"/>
          <w:color w:val="auto"/>
          <w:sz w:val="32"/>
          <w:szCs w:val="32"/>
          <w:highlight w:val="none"/>
          <w:lang w:eastAsia="zh-CN"/>
        </w:rPr>
        <w:t>；</w:t>
      </w:r>
      <w:r>
        <w:rPr>
          <w:rFonts w:hint="eastAsia" w:ascii="仿宋_GB2312" w:hAnsi="宋体" w:eastAsia="仿宋_GB2312"/>
          <w:bCs/>
          <w:sz w:val="32"/>
          <w:szCs w:val="32"/>
        </w:rPr>
        <w:t>二是促进房地产市场平稳健康发展。整治房地产市场乱象、加强商品房预售监管、开展二手房资金监管、物业管理融入基层治理体系</w:t>
      </w:r>
      <w:r>
        <w:rPr>
          <w:rFonts w:hint="eastAsia" w:ascii="仿宋_GB2312" w:hAnsi="宋体" w:eastAsia="仿宋_GB2312"/>
          <w:bCs/>
          <w:sz w:val="32"/>
          <w:szCs w:val="32"/>
          <w:lang w:eastAsia="zh-CN"/>
        </w:rPr>
        <w:t>；</w:t>
      </w:r>
      <w:r>
        <w:rPr>
          <w:rFonts w:hint="eastAsia" w:ascii="仿宋_GB2312" w:hAnsi="宋体" w:eastAsia="仿宋_GB2312"/>
          <w:bCs/>
          <w:sz w:val="32"/>
          <w:szCs w:val="32"/>
        </w:rPr>
        <w:t>三是聚焦人民群众急难愁盼问题。加强供热、供水燃气管理</w:t>
      </w:r>
      <w:r>
        <w:rPr>
          <w:rFonts w:hint="eastAsia" w:ascii="仿宋_GB2312" w:hAnsi="宋体" w:eastAsia="仿宋_GB2312"/>
          <w:bCs/>
          <w:sz w:val="32"/>
          <w:szCs w:val="32"/>
          <w:lang w:eastAsia="zh-CN"/>
        </w:rPr>
        <w:t>；</w:t>
      </w:r>
      <w:r>
        <w:rPr>
          <w:rFonts w:hint="eastAsia" w:ascii="仿宋_GB2312" w:hAnsi="宋体" w:eastAsia="仿宋_GB2312"/>
          <w:bCs/>
          <w:sz w:val="32"/>
          <w:szCs w:val="32"/>
        </w:rPr>
        <w:t>四是打好组合拳，筑牢经济发展基础。用心用力优化营商环境、持续推进建筑业发展、强化住建领域综合执法</w:t>
      </w:r>
      <w:r>
        <w:rPr>
          <w:rFonts w:hint="eastAsia" w:ascii="仿宋_GB2312" w:hAnsi="宋体" w:eastAsia="仿宋_GB2312"/>
          <w:bCs/>
          <w:sz w:val="32"/>
          <w:szCs w:val="32"/>
          <w:lang w:eastAsia="zh-CN"/>
        </w:rPr>
        <w:t>；</w:t>
      </w:r>
      <w:r>
        <w:rPr>
          <w:rFonts w:hint="eastAsia" w:ascii="仿宋_GB2312" w:hAnsi="宋体" w:eastAsia="仿宋_GB2312"/>
          <w:bCs/>
          <w:sz w:val="32"/>
          <w:szCs w:val="32"/>
        </w:rPr>
        <w:t>五是深化城市管理改革，提高城市管理水平。守好建筑工地、燃气安全、市政运营企业、自建房安全底线</w:t>
      </w:r>
      <w:r>
        <w:rPr>
          <w:rFonts w:hint="eastAsia" w:ascii="仿宋_GB2312" w:hAnsi="宋体" w:eastAsia="仿宋_GB2312"/>
          <w:bCs/>
          <w:sz w:val="32"/>
          <w:szCs w:val="32"/>
          <w:lang w:eastAsia="zh-CN"/>
        </w:rPr>
        <w:t>；</w:t>
      </w:r>
      <w:r>
        <w:rPr>
          <w:rFonts w:hint="eastAsia" w:ascii="仿宋_GB2312" w:hAnsi="宋体" w:eastAsia="仿宋_GB2312"/>
          <w:bCs/>
          <w:sz w:val="32"/>
          <w:szCs w:val="32"/>
        </w:rPr>
        <w:t>六是缩小城乡基础设施差距。抓好农村危房改造和农房抗震改造工程、农村生活垃圾、农村抗震不达标住房抗震加固方面</w:t>
      </w:r>
      <w:r>
        <w:rPr>
          <w:rFonts w:hint="eastAsia" w:ascii="仿宋_GB2312" w:hAnsi="宋体" w:eastAsia="仿宋_GB2312"/>
          <w:bCs/>
          <w:sz w:val="32"/>
          <w:szCs w:val="32"/>
          <w:lang w:eastAsia="zh-CN"/>
        </w:rPr>
        <w:t>。</w:t>
      </w:r>
    </w:p>
    <w:p w14:paraId="4250C8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auto"/>
          <w:sz w:val="32"/>
          <w:szCs w:val="32"/>
          <w:highlight w:val="none"/>
          <w:lang w:eastAsia="zh-CN"/>
        </w:rPr>
        <w:t>发现的问题及原因：一是</w:t>
      </w:r>
      <w:r>
        <w:rPr>
          <w:rFonts w:hint="eastAsia" w:ascii="仿宋" w:hAnsi="仿宋" w:eastAsia="仿宋" w:cstheme="minorBidi"/>
          <w:kern w:val="2"/>
          <w:sz w:val="32"/>
          <w:szCs w:val="32"/>
          <w:lang w:val="en-US" w:eastAsia="zh-CN" w:bidi="ar-SA"/>
        </w:rPr>
        <w:t>预算编制前根据年度单位可预见的工作任务，确定了单位年度预算目标，细化了预算指标，但是在实际支付过程中，个别时候未严格按照预算指标执行</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经费预算编制精准度有待提高。由于预算执行中的不确定性，实际经费核算的科目、支出内容与预算会出现一定偏差</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三是</w:t>
      </w:r>
      <w:r>
        <w:rPr>
          <w:rFonts w:hint="eastAsia" w:ascii="仿宋_GB2312" w:eastAsia="仿宋_GB2312"/>
          <w:b w:val="0"/>
          <w:bCs/>
          <w:sz w:val="32"/>
          <w:szCs w:val="32"/>
          <w:highlight w:val="none"/>
          <w:lang w:val="en-US" w:eastAsia="zh-CN"/>
        </w:rPr>
        <w:t>财务人员业务素质有待进一步提高。由于缺乏系统学习，财务人员对预算绩效管理认识不到位、理解不充分；四是对预算绩效管理业务不了解、不熟悉，对工作重点把握不到位，由此造成绩效评价工作还未摆脱财务考评或验收的影响。</w:t>
      </w:r>
    </w:p>
    <w:p w14:paraId="37B494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en-US" w:eastAsia="zh-CN"/>
        </w:rPr>
      </w:pPr>
      <w:r>
        <w:rPr>
          <w:rFonts w:hint="eastAsia" w:ascii="仿宋_GB2312" w:hAnsi="仿宋_GB2312" w:eastAsia="仿宋_GB2312" w:cs="仿宋_GB2312"/>
          <w:color w:val="auto"/>
          <w:sz w:val="32"/>
          <w:szCs w:val="30"/>
          <w:highlight w:val="none"/>
          <w:lang w:val="en-US" w:eastAsia="zh-CN"/>
        </w:rPr>
        <w:t>下一步改进措施：一是加强内部管理，严格执行预算，坚持厉行节约，进一步降低财政支出；二是高度重视财政预决算工作，加强预算的约束力,加强学习，组织单位财务人员认真学习《中华人民共和国预算法》等相关法规、制度。三是提高单位领导对全面预算管理的重视程度，增强财务人员的预算意识。具体项目自评情况附绩效自评表及自评报告。</w:t>
      </w:r>
    </w:p>
    <w:p w14:paraId="0B0D72E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31055F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en-US" w:eastAsia="zh-CN"/>
        </w:rPr>
      </w:pPr>
      <w:bookmarkStart w:id="30" w:name="_Toc3250"/>
      <w:bookmarkStart w:id="31" w:name="_Toc24143"/>
      <w:r>
        <w:rPr>
          <w:rFonts w:hint="eastAsia" w:ascii="仿宋_GB2312" w:hAnsi="仿宋_GB2312" w:eastAsia="仿宋_GB2312" w:cs="仿宋_GB2312"/>
          <w:color w:val="auto"/>
          <w:sz w:val="32"/>
          <w:szCs w:val="30"/>
          <w:highlight w:val="none"/>
          <w:lang w:val="en-US" w:eastAsia="zh-CN"/>
        </w:rPr>
        <w:t>本单位sm项目6个，全年预算数</w:t>
      </w:r>
      <w:r>
        <w:rPr>
          <w:rFonts w:hint="eastAsia" w:ascii="仿宋_GB2312" w:eastAsia="仿宋_GB2312"/>
          <w:color w:val="auto"/>
          <w:sz w:val="32"/>
          <w:szCs w:val="32"/>
          <w:highlight w:val="none"/>
          <w:lang w:val="en-US" w:eastAsia="zh-CN"/>
        </w:rPr>
        <w:t>47365.97</w:t>
      </w:r>
      <w:r>
        <w:rPr>
          <w:rFonts w:hint="eastAsia" w:ascii="仿宋_GB2312" w:hAnsi="仿宋_GB2312" w:eastAsia="仿宋_GB2312" w:cs="仿宋_GB2312"/>
          <w:color w:val="auto"/>
          <w:sz w:val="32"/>
          <w:szCs w:val="30"/>
          <w:highlight w:val="none"/>
          <w:lang w:val="en-US" w:eastAsia="zh-CN"/>
        </w:rPr>
        <w:t>万元，全年执行数</w:t>
      </w:r>
      <w:r>
        <w:rPr>
          <w:rFonts w:hint="eastAsia" w:ascii="仿宋_GB2312" w:eastAsia="仿宋_GB2312"/>
          <w:color w:val="auto"/>
          <w:sz w:val="32"/>
          <w:szCs w:val="32"/>
          <w:highlight w:val="none"/>
          <w:lang w:val="en-US" w:eastAsia="zh-CN"/>
        </w:rPr>
        <w:t>47365.97</w:t>
      </w:r>
      <w:r>
        <w:rPr>
          <w:rFonts w:hint="eastAsia" w:ascii="仿宋_GB2312" w:hAnsi="仿宋_GB2312" w:eastAsia="仿宋_GB2312" w:cs="仿宋_GB2312"/>
          <w:color w:val="auto"/>
          <w:sz w:val="32"/>
          <w:szCs w:val="30"/>
          <w:highlight w:val="none"/>
          <w:lang w:val="en-US" w:eastAsia="zh-CN"/>
        </w:rPr>
        <w:t>万元，不予以公开绩效自评表。</w:t>
      </w:r>
    </w:p>
    <w:p w14:paraId="778F9E37">
      <w:pPr>
        <w:rPr>
          <w:rFonts w:hint="eastAsia"/>
          <w:lang w:eastAsia="zh-CN"/>
        </w:rPr>
      </w:pPr>
      <w:r>
        <w:rPr>
          <w:rFonts w:hint="eastAsia" w:ascii="仿宋_GB2312" w:hAnsi="仿宋_GB2312" w:eastAsia="仿宋_GB2312" w:cs="仿宋_GB2312"/>
          <w:color w:val="auto"/>
          <w:sz w:val="32"/>
          <w:szCs w:val="30"/>
          <w:highlight w:val="none"/>
          <w:lang w:val="en-US" w:eastAsia="zh-CN"/>
        </w:rPr>
        <w:br w:type="page"/>
      </w:r>
      <w:bookmarkStart w:id="48" w:name="_GoBack"/>
      <w:bookmarkEnd w:id="48"/>
    </w:p>
    <w:p w14:paraId="19740E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D4EB32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0B8737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935C0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5DBB0C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4330D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DDD8F0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98F14B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E0EF51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8B280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E7E65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DB51EC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65B1B7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CF8E74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4625A1F">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A3105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FB88C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039714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060D71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340A35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17D225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257D1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762BA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0665C8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54FC2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6A2C53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14:paraId="015F9D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14:paraId="3F8726AA">
      <w:pPr>
        <w:keepNext w:val="0"/>
        <w:keepLines w:val="0"/>
        <w:pageBreakBefore w:val="0"/>
        <w:wordWrap/>
        <w:overflowPunct/>
        <w:topLinePunct w:val="0"/>
        <w:bidi w:val="0"/>
        <w:spacing w:line="240" w:lineRule="auto"/>
        <w:ind w:firstLine="420" w:firstLineChars="200"/>
        <w:jc w:val="left"/>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FA99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D86D4A">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DD86D4A">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6f1e91f5-19b2-46d4-9f85-148142e24415"/>
  </w:docVars>
  <w:rsids>
    <w:rsidRoot w:val="52E40786"/>
    <w:rsid w:val="006300CD"/>
    <w:rsid w:val="04CB6C61"/>
    <w:rsid w:val="072361C8"/>
    <w:rsid w:val="07A64AE1"/>
    <w:rsid w:val="082F4AD6"/>
    <w:rsid w:val="0DCF2DAD"/>
    <w:rsid w:val="12062D4C"/>
    <w:rsid w:val="22D93B65"/>
    <w:rsid w:val="25276E09"/>
    <w:rsid w:val="27E64D5A"/>
    <w:rsid w:val="2D766B80"/>
    <w:rsid w:val="2E1F2D74"/>
    <w:rsid w:val="347B4A7C"/>
    <w:rsid w:val="36EC3A0F"/>
    <w:rsid w:val="37B53228"/>
    <w:rsid w:val="386F48F8"/>
    <w:rsid w:val="3C236125"/>
    <w:rsid w:val="3D5905CD"/>
    <w:rsid w:val="40610FCA"/>
    <w:rsid w:val="46F012F9"/>
    <w:rsid w:val="47E8739C"/>
    <w:rsid w:val="4B3F63AB"/>
    <w:rsid w:val="4FA15947"/>
    <w:rsid w:val="525A1D1D"/>
    <w:rsid w:val="52E40786"/>
    <w:rsid w:val="5383598C"/>
    <w:rsid w:val="54E67898"/>
    <w:rsid w:val="561A1B7E"/>
    <w:rsid w:val="58592462"/>
    <w:rsid w:val="62C05BCC"/>
    <w:rsid w:val="64704443"/>
    <w:rsid w:val="65E240AB"/>
    <w:rsid w:val="6A0B3BD1"/>
    <w:rsid w:val="6AB833F4"/>
    <w:rsid w:val="6C5850C7"/>
    <w:rsid w:val="6FA36659"/>
    <w:rsid w:val="7081505B"/>
    <w:rsid w:val="70E21403"/>
    <w:rsid w:val="77F0563E"/>
    <w:rsid w:val="7ADA2310"/>
    <w:rsid w:val="7E167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semiHidden/>
    <w:qFormat/>
    <w:uiPriority w:val="0"/>
    <w:pPr>
      <w:kinsoku w:val="0"/>
      <w:autoSpaceDE w:val="0"/>
      <w:autoSpaceDN w:val="0"/>
      <w:adjustRightInd w:val="0"/>
      <w:snapToGrid w:val="0"/>
      <w:spacing w:line="240" w:lineRule="auto"/>
      <w:jc w:val="left"/>
      <w:textAlignment w:val="baseline"/>
    </w:pPr>
    <w:rPr>
      <w:rFonts w:ascii="仿宋" w:hAnsi="仿宋" w:eastAsia="仿宋" w:cs="仿宋"/>
      <w:snapToGrid w:val="0"/>
      <w:color w:val="000000"/>
      <w:kern w:val="0"/>
      <w:sz w:val="31"/>
      <w:szCs w:val="31"/>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1">
    <w:name w:val="正文-公1"/>
    <w:basedOn w:val="1"/>
    <w:next w:val="1"/>
    <w:qFormat/>
    <w:uiPriority w:val="0"/>
    <w:pPr>
      <w:ind w:firstLine="200" w:firstLineChars="200"/>
      <w:jc w:val="left"/>
    </w:pPr>
    <w:rPr>
      <w:rFonts w:eastAsia="仿宋_GB2312"/>
    </w:rPr>
  </w:style>
  <w:style w:type="paragraph" w:customStyle="1" w:styleId="12">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8550</Words>
  <Characters>9781</Characters>
  <Lines>0</Lines>
  <Paragraphs>0</Paragraphs>
  <TotalTime>0</TotalTime>
  <ScaleCrop>false</ScaleCrop>
  <LinksUpToDate>false</LinksUpToDate>
  <CharactersWithSpaces>9801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2024-10-28T03:02:00Z</dcterms:created>
  <dc:creator>艳</dc:creator>
  <cp:lastModifiedBy>雯雯酱</cp:lastModifiedBy>
  <dcterms:modified xsi:type="dcterms:W3CDTF">2025-03-28T03:38:33Z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745B02C6EEB74DDEB50C305BD279B067</vt:lpwstr>
  </property>
  <property fmtid="{D5CDD505-2E9C-101B-9397-08002B2CF9AE}" pid="4" name="KSOTemplateDocerSaveRecord">
    <vt:lpwstr>eyJoZGlkIjoiZDU4MmQ2ZWMyMDZlYzhmM2M0MmMwNGNmYmFiY2Q3YTQiLCJ1c2VySWQiOiI1Mzk1NTEzNjcifQ==</vt:lpwstr>
  </property>
</Properties>
</file>