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21"/>
          <w:szCs w:val="24"/>
          <w:lang w:val="en-US" w:eastAsia="zh-CN" w:bidi="ar-SA"/>
        </w:rPr>
        <w:id w:val="147454977"/>
        <w15:color w:val="DBDBDB"/>
        <w:docPartObj>
          <w:docPartGallery w:val="Table of Contents"/>
          <w:docPartUnique/>
        </w:docPartObj>
      </w:sdtPr>
      <w:sdtEndPr>
        <w:rPr>
          <w:rFonts w:hint="eastAsia" w:ascii="Arial" w:hAnsi="Arial" w:eastAsia="黑体" w:cstheme="minorBidi"/>
          <w:b/>
          <w:kern w:val="2"/>
          <w:sz w:val="32"/>
          <w:szCs w:val="24"/>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jc w:val="center"/>
            <w:rPr>
              <w:rFonts w:hint="eastAsia" w:ascii="仿宋" w:hAnsi="仿宋" w:eastAsia="仿宋" w:cs="仿宋"/>
              <w:b/>
              <w:bCs/>
              <w:i w:val="0"/>
              <w:caps w:val="0"/>
              <w:color w:val="333333"/>
              <w:spacing w:val="0"/>
              <w:sz w:val="28"/>
              <w:szCs w:val="28"/>
              <w:shd w:val="clear" w:fill="FFFFFF"/>
              <w:lang w:val="en-US" w:eastAsia="zh-CN"/>
            </w:rPr>
          </w:pPr>
        </w:p>
        <w:p>
          <w:pPr>
            <w:jc w:val="center"/>
            <w:outlineLvl w:val="0"/>
            <w:rPr>
              <w:rFonts w:hint="eastAsia" w:ascii="宋体" w:hAnsi="宋体" w:eastAsia="宋体" w:cs="宋体"/>
              <w:b/>
              <w:bCs/>
              <w:i w:val="0"/>
              <w:caps w:val="0"/>
              <w:color w:val="333333"/>
              <w:spacing w:val="0"/>
              <w:sz w:val="44"/>
              <w:szCs w:val="44"/>
              <w:shd w:val="clear" w:fill="FFFFFF"/>
              <w:lang w:val="en-US" w:eastAsia="zh-CN"/>
            </w:rPr>
          </w:pPr>
          <w:r>
            <w:rPr>
              <w:rFonts w:hint="eastAsia" w:ascii="宋体" w:hAnsi="宋体" w:eastAsia="宋体" w:cs="宋体"/>
              <w:b/>
              <w:bCs/>
              <w:i w:val="0"/>
              <w:caps w:val="0"/>
              <w:color w:val="333333"/>
              <w:spacing w:val="0"/>
              <w:sz w:val="44"/>
              <w:szCs w:val="44"/>
              <w:shd w:val="clear" w:fill="FFFFFF"/>
              <w:lang w:val="en-US" w:eastAsia="zh-CN"/>
            </w:rPr>
            <w:t>沙湾科发环保科技有限公司污水处理工程</w:t>
          </w:r>
        </w:p>
        <w:p>
          <w:pPr>
            <w:jc w:val="center"/>
            <w:rPr>
              <w:rFonts w:hint="eastAsia" w:ascii="宋体" w:hAnsi="宋体" w:eastAsia="宋体" w:cs="宋体"/>
              <w:b/>
              <w:bCs/>
              <w:i w:val="0"/>
              <w:caps w:val="0"/>
              <w:color w:val="333333"/>
              <w:spacing w:val="0"/>
              <w:sz w:val="44"/>
              <w:szCs w:val="44"/>
              <w:shd w:val="clear" w:fill="FFFFFF"/>
              <w:lang w:val="en-US" w:eastAsia="zh-CN"/>
            </w:rPr>
          </w:pPr>
        </w:p>
        <w:p>
          <w:pPr>
            <w:jc w:val="center"/>
            <w:rPr>
              <w:rFonts w:hint="eastAsia" w:ascii="宋体" w:hAnsi="宋体" w:eastAsia="宋体" w:cs="宋体"/>
              <w:b/>
              <w:bCs/>
              <w:i w:val="0"/>
              <w:caps w:val="0"/>
              <w:color w:val="333333"/>
              <w:spacing w:val="0"/>
              <w:sz w:val="44"/>
              <w:szCs w:val="44"/>
              <w:shd w:val="clear" w:fill="FFFFFF"/>
              <w:lang w:val="en-US" w:eastAsia="zh-CN"/>
            </w:rPr>
          </w:pPr>
        </w:p>
        <w:p>
          <w:pPr>
            <w:jc w:val="center"/>
            <w:rPr>
              <w:rFonts w:hint="eastAsia" w:ascii="宋体" w:hAnsi="宋体" w:eastAsia="宋体" w:cs="宋体"/>
              <w:b/>
              <w:bCs/>
              <w:i w:val="0"/>
              <w:caps w:val="0"/>
              <w:color w:val="333333"/>
              <w:spacing w:val="0"/>
              <w:sz w:val="44"/>
              <w:szCs w:val="44"/>
              <w:shd w:val="clear" w:fill="FFFFFF"/>
              <w:lang w:val="en-US" w:eastAsia="zh-CN"/>
            </w:rPr>
          </w:pPr>
          <w:r>
            <w:rPr>
              <w:rFonts w:hint="eastAsia" w:ascii="宋体" w:hAnsi="宋体" w:eastAsia="宋体" w:cs="宋体"/>
              <w:b/>
              <w:bCs/>
              <w:i w:val="0"/>
              <w:caps w:val="0"/>
              <w:color w:val="333333"/>
              <w:spacing w:val="0"/>
              <w:sz w:val="44"/>
              <w:szCs w:val="44"/>
              <w:shd w:val="clear" w:fill="FFFFFF"/>
              <w:lang w:val="en-US" w:eastAsia="zh-CN"/>
            </w:rPr>
            <w:t>自评报告</w:t>
          </w:r>
        </w:p>
        <w:p>
          <w:pPr>
            <w:jc w:val="center"/>
            <w:rPr>
              <w:rFonts w:hint="eastAsia" w:ascii="仿宋" w:hAnsi="仿宋" w:eastAsia="仿宋" w:cs="仿宋"/>
              <w:b w:val="0"/>
              <w:bCs w:val="0"/>
              <w:i w:val="0"/>
              <w:caps w:val="0"/>
              <w:color w:val="333333"/>
              <w:spacing w:val="0"/>
              <w:sz w:val="28"/>
              <w:szCs w:val="28"/>
              <w:shd w:val="clear" w:fill="FFFFFF"/>
              <w:lang w:val="en-US" w:eastAsia="zh-CN"/>
            </w:rPr>
          </w:pPr>
          <w:r>
            <w:rPr>
              <w:rFonts w:hint="eastAsia" w:ascii="仿宋" w:hAnsi="仿宋" w:eastAsia="仿宋" w:cs="仿宋"/>
              <w:b w:val="0"/>
              <w:bCs w:val="0"/>
              <w:i w:val="0"/>
              <w:caps w:val="0"/>
              <w:color w:val="333333"/>
              <w:spacing w:val="0"/>
              <w:sz w:val="28"/>
              <w:szCs w:val="28"/>
              <w:shd w:val="clear" w:fill="FFFFFF"/>
              <w:lang w:val="en-US" w:eastAsia="zh-CN"/>
            </w:rPr>
            <w:t>（2023年度）</w:t>
          </w:r>
        </w:p>
        <w:p>
          <w:pPr>
            <w:jc w:val="center"/>
            <w:rPr>
              <w:rFonts w:hint="eastAsia" w:ascii="仿宋" w:hAnsi="仿宋" w:eastAsia="仿宋" w:cs="仿宋"/>
              <w:b/>
              <w:bCs/>
              <w:i w:val="0"/>
              <w:caps w:val="0"/>
              <w:color w:val="333333"/>
              <w:spacing w:val="0"/>
              <w:sz w:val="28"/>
              <w:szCs w:val="28"/>
              <w:shd w:val="clear" w:fill="FFFFFF"/>
              <w:lang w:val="en-US" w:eastAsia="zh-CN"/>
            </w:rPr>
          </w:pPr>
        </w:p>
        <w:p>
          <w:pPr>
            <w:jc w:val="center"/>
            <w:rPr>
              <w:rFonts w:hint="eastAsia" w:ascii="仿宋" w:hAnsi="仿宋" w:eastAsia="仿宋" w:cs="仿宋"/>
              <w:b/>
              <w:bCs/>
              <w:i w:val="0"/>
              <w:caps w:val="0"/>
              <w:color w:val="333333"/>
              <w:spacing w:val="0"/>
              <w:sz w:val="28"/>
              <w:szCs w:val="28"/>
              <w:shd w:val="clear" w:fill="FFFFFF"/>
              <w:lang w:val="en-US" w:eastAsia="zh-CN"/>
            </w:rPr>
          </w:pPr>
        </w:p>
        <w:p>
          <w:pPr>
            <w:jc w:val="center"/>
            <w:rPr>
              <w:rFonts w:hint="eastAsia" w:ascii="仿宋" w:hAnsi="仿宋" w:eastAsia="仿宋" w:cs="仿宋"/>
              <w:b/>
              <w:bCs/>
              <w:i w:val="0"/>
              <w:caps w:val="0"/>
              <w:color w:val="333333"/>
              <w:spacing w:val="0"/>
              <w:sz w:val="28"/>
              <w:szCs w:val="28"/>
              <w:shd w:val="clear" w:fill="FFFFFF"/>
              <w:lang w:val="en-US" w:eastAsia="zh-CN"/>
            </w:rPr>
          </w:pPr>
        </w:p>
        <w:p>
          <w:pPr>
            <w:jc w:val="center"/>
            <w:rPr>
              <w:rFonts w:hint="eastAsia" w:ascii="仿宋" w:hAnsi="仿宋" w:eastAsia="仿宋" w:cs="仿宋"/>
              <w:b/>
              <w:bCs/>
              <w:i w:val="0"/>
              <w:caps w:val="0"/>
              <w:color w:val="333333"/>
              <w:spacing w:val="0"/>
              <w:sz w:val="28"/>
              <w:szCs w:val="28"/>
              <w:shd w:val="clear" w:fill="FFFFFF"/>
              <w:lang w:val="en-US" w:eastAsia="zh-CN"/>
            </w:rPr>
          </w:pPr>
        </w:p>
        <w:p>
          <w:pPr>
            <w:jc w:val="center"/>
            <w:rPr>
              <w:rFonts w:hint="eastAsia" w:ascii="仿宋" w:hAnsi="仿宋" w:eastAsia="仿宋" w:cs="仿宋"/>
              <w:b/>
              <w:bCs/>
              <w:i w:val="0"/>
              <w:caps w:val="0"/>
              <w:color w:val="333333"/>
              <w:spacing w:val="0"/>
              <w:sz w:val="28"/>
              <w:szCs w:val="28"/>
              <w:shd w:val="clear" w:fill="FFFFFF"/>
              <w:lang w:val="en-US" w:eastAsia="zh-CN"/>
            </w:rPr>
          </w:pPr>
        </w:p>
        <w:p>
          <w:pPr>
            <w:rPr>
              <w:rFonts w:hint="eastAsia" w:ascii="仿宋" w:hAnsi="仿宋" w:eastAsia="仿宋" w:cs="仿宋"/>
              <w:b w:val="0"/>
              <w:bCs w:val="0"/>
              <w:i w:val="0"/>
              <w:caps w:val="0"/>
              <w:color w:val="333333"/>
              <w:spacing w:val="0"/>
              <w:sz w:val="28"/>
              <w:szCs w:val="28"/>
              <w:shd w:val="clear" w:fill="FFFFFF"/>
              <w:lang w:val="en-US" w:eastAsia="zh-CN"/>
            </w:rPr>
          </w:pPr>
          <w:r>
            <w:rPr>
              <w:rFonts w:hint="eastAsia" w:ascii="仿宋" w:hAnsi="仿宋" w:eastAsia="仿宋" w:cs="仿宋"/>
              <w:b w:val="0"/>
              <w:bCs w:val="0"/>
              <w:i w:val="0"/>
              <w:caps w:val="0"/>
              <w:color w:val="333333"/>
              <w:spacing w:val="0"/>
              <w:sz w:val="28"/>
              <w:szCs w:val="28"/>
              <w:shd w:val="clear" w:fill="FFFFFF"/>
              <w:lang w:val="en-US" w:eastAsia="zh-CN"/>
            </w:rPr>
            <w:t>项目名称：沙湾科发环保科技有限公司污水处理工程</w:t>
          </w:r>
        </w:p>
        <w:p>
          <w:pPr>
            <w:rPr>
              <w:rFonts w:hint="eastAsia" w:ascii="仿宋" w:hAnsi="仿宋" w:eastAsia="仿宋" w:cs="仿宋"/>
              <w:b w:val="0"/>
              <w:bCs w:val="0"/>
              <w:i w:val="0"/>
              <w:caps w:val="0"/>
              <w:color w:val="333333"/>
              <w:spacing w:val="0"/>
              <w:sz w:val="28"/>
              <w:szCs w:val="28"/>
              <w:shd w:val="clear" w:fill="FFFFFF"/>
              <w:lang w:val="en-US" w:eastAsia="zh-CN"/>
            </w:rPr>
          </w:pPr>
        </w:p>
        <w:p>
          <w:pPr>
            <w:rPr>
              <w:rFonts w:hint="eastAsia" w:ascii="仿宋" w:hAnsi="仿宋" w:eastAsia="仿宋" w:cs="仿宋"/>
              <w:b w:val="0"/>
              <w:bCs w:val="0"/>
              <w:i w:val="0"/>
              <w:caps w:val="0"/>
              <w:color w:val="333333"/>
              <w:spacing w:val="0"/>
              <w:sz w:val="28"/>
              <w:szCs w:val="28"/>
              <w:shd w:val="clear" w:fill="FFFFFF"/>
              <w:lang w:val="en-US" w:eastAsia="zh-CN"/>
            </w:rPr>
          </w:pPr>
          <w:r>
            <w:rPr>
              <w:rFonts w:hint="eastAsia" w:ascii="仿宋" w:hAnsi="仿宋" w:eastAsia="仿宋" w:cs="仿宋"/>
              <w:b w:val="0"/>
              <w:bCs w:val="0"/>
              <w:i w:val="0"/>
              <w:caps w:val="0"/>
              <w:color w:val="333333"/>
              <w:spacing w:val="0"/>
              <w:sz w:val="28"/>
              <w:szCs w:val="28"/>
              <w:shd w:val="clear" w:fill="FFFFFF"/>
              <w:lang w:val="en-US" w:eastAsia="zh-CN"/>
            </w:rPr>
            <w:t>实施单位（盖章）：沙湾科发环保科技有限公司</w:t>
          </w:r>
        </w:p>
        <w:p>
          <w:pPr>
            <w:rPr>
              <w:rFonts w:hint="eastAsia" w:ascii="仿宋" w:hAnsi="仿宋" w:eastAsia="仿宋" w:cs="仿宋"/>
              <w:b w:val="0"/>
              <w:bCs w:val="0"/>
              <w:i w:val="0"/>
              <w:caps w:val="0"/>
              <w:color w:val="333333"/>
              <w:spacing w:val="0"/>
              <w:sz w:val="28"/>
              <w:szCs w:val="28"/>
              <w:shd w:val="clear" w:fill="FFFFFF"/>
              <w:lang w:val="en-US" w:eastAsia="zh-CN"/>
            </w:rPr>
          </w:pPr>
        </w:p>
        <w:p>
          <w:pPr>
            <w:rPr>
              <w:rFonts w:hint="eastAsia" w:ascii="仿宋" w:hAnsi="仿宋" w:eastAsia="仿宋" w:cs="仿宋"/>
              <w:b w:val="0"/>
              <w:bCs w:val="0"/>
              <w:i w:val="0"/>
              <w:caps w:val="0"/>
              <w:color w:val="333333"/>
              <w:spacing w:val="0"/>
              <w:sz w:val="28"/>
              <w:szCs w:val="28"/>
              <w:shd w:val="clear" w:fill="FFFFFF"/>
              <w:lang w:val="en-US" w:eastAsia="zh-CN"/>
            </w:rPr>
          </w:pPr>
          <w:r>
            <w:rPr>
              <w:rFonts w:hint="eastAsia" w:ascii="仿宋" w:hAnsi="仿宋" w:eastAsia="仿宋" w:cs="仿宋"/>
              <w:b w:val="0"/>
              <w:bCs w:val="0"/>
              <w:i w:val="0"/>
              <w:caps w:val="0"/>
              <w:color w:val="333333"/>
              <w:spacing w:val="0"/>
              <w:sz w:val="28"/>
              <w:szCs w:val="28"/>
              <w:shd w:val="clear" w:fill="FFFFFF"/>
              <w:lang w:val="en-US" w:eastAsia="zh-CN"/>
            </w:rPr>
            <w:t>填报时间：2024年4月1日</w:t>
          </w: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pPr>
        </w:p>
        <w:p>
          <w:pPr>
            <w:pageBreakBefore w:val="0"/>
            <w:kinsoku/>
            <w:wordWrap/>
            <w:overflowPunct/>
            <w:topLinePunct w:val="0"/>
            <w:autoSpaceDE/>
            <w:autoSpaceDN/>
            <w:bidi w:val="0"/>
            <w:adjustRightInd/>
            <w:snapToGrid/>
            <w:spacing w:before="0" w:beforeLines="0" w:after="0" w:afterLines="0" w:line="720" w:lineRule="auto"/>
            <w:ind w:left="0" w:leftChars="0" w:right="0" w:rightChars="0" w:firstLine="0" w:firstLineChars="0"/>
            <w:jc w:val="center"/>
            <w:textAlignment w:val="auto"/>
            <w:rPr>
              <w:sz w:val="32"/>
              <w:szCs w:val="32"/>
            </w:rPr>
          </w:pPr>
          <w:r>
            <w:rPr>
              <w:rFonts w:ascii="宋体" w:hAnsi="宋体" w:eastAsia="宋体"/>
              <w:sz w:val="32"/>
              <w:szCs w:val="32"/>
            </w:rPr>
            <w:t>目录</w:t>
          </w:r>
        </w:p>
        <w:p>
          <w:pPr>
            <w:pStyle w:val="15"/>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b/>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TOC \o "1-2" \h \u </w:instrText>
          </w:r>
          <w:r>
            <w:rPr>
              <w:rFonts w:hint="eastAsia" w:ascii="仿宋" w:hAnsi="仿宋" w:eastAsia="仿宋" w:cs="仿宋"/>
              <w:sz w:val="32"/>
              <w:szCs w:val="32"/>
              <w:lang w:val="en-US" w:eastAsia="zh-CN"/>
            </w:rPr>
            <w:fldChar w:fldCharType="separate"/>
          </w:r>
          <w:r>
            <w:rPr>
              <w:rFonts w:hint="eastAsia" w:ascii="仿宋" w:hAnsi="仿宋" w:eastAsia="仿宋" w:cs="仿宋"/>
              <w:b/>
              <w:sz w:val="32"/>
              <w:szCs w:val="32"/>
              <w:lang w:val="en-US" w:eastAsia="zh-CN"/>
            </w:rPr>
            <w:fldChar w:fldCharType="begin"/>
          </w:r>
          <w:r>
            <w:rPr>
              <w:rFonts w:hint="eastAsia" w:ascii="仿宋" w:hAnsi="仿宋" w:eastAsia="仿宋" w:cs="仿宋"/>
              <w:b/>
              <w:sz w:val="32"/>
              <w:szCs w:val="32"/>
              <w:lang w:val="en-US" w:eastAsia="zh-CN"/>
            </w:rPr>
            <w:instrText xml:space="preserve"> HYPERLINK \l _Toc23787 </w:instrText>
          </w:r>
          <w:r>
            <w:rPr>
              <w:rFonts w:hint="eastAsia" w:ascii="仿宋" w:hAnsi="仿宋" w:eastAsia="仿宋" w:cs="仿宋"/>
              <w:b/>
              <w:sz w:val="32"/>
              <w:szCs w:val="32"/>
              <w:lang w:val="en-US" w:eastAsia="zh-CN"/>
            </w:rPr>
            <w:fldChar w:fldCharType="separate"/>
          </w:r>
          <w:r>
            <w:rPr>
              <w:rFonts w:hint="eastAsia" w:ascii="仿宋" w:hAnsi="仿宋" w:eastAsia="仿宋" w:cs="仿宋"/>
              <w:b/>
              <w:sz w:val="32"/>
              <w:szCs w:val="32"/>
              <w:lang w:val="en-US" w:eastAsia="zh-CN"/>
            </w:rPr>
            <w:t>一、项目基本概述</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_Toc23787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w:t>
          </w:r>
          <w:r>
            <w:rPr>
              <w:rFonts w:hint="eastAsia" w:ascii="仿宋" w:hAnsi="仿宋" w:eastAsia="仿宋" w:cs="仿宋"/>
              <w:b/>
              <w:sz w:val="32"/>
              <w:szCs w:val="32"/>
            </w:rPr>
            <w:fldChar w:fldCharType="end"/>
          </w:r>
          <w:r>
            <w:rPr>
              <w:rFonts w:hint="eastAsia" w:ascii="仿宋" w:hAnsi="仿宋" w:eastAsia="仿宋" w:cs="仿宋"/>
              <w:b/>
              <w:sz w:val="32"/>
              <w:szCs w:val="32"/>
              <w:lang w:val="en-US" w:eastAsia="zh-CN"/>
            </w:rPr>
            <w:fldChar w:fldCharType="end"/>
          </w:r>
        </w:p>
        <w:p>
          <w:pPr>
            <w:pStyle w:val="16"/>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_Toc369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（一）项目实施背景</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_Toc369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6"/>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_Toc11249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（二）项目概况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_Toc11249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5"/>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fldChar w:fldCharType="begin"/>
          </w:r>
          <w:r>
            <w:rPr>
              <w:rFonts w:hint="eastAsia" w:ascii="仿宋" w:hAnsi="仿宋" w:eastAsia="仿宋" w:cs="仿宋"/>
              <w:b/>
              <w:sz w:val="32"/>
              <w:szCs w:val="32"/>
              <w:lang w:val="en-US" w:eastAsia="zh-CN"/>
            </w:rPr>
            <w:instrText xml:space="preserve"> HYPERLINK \l _Toc10021 </w:instrText>
          </w:r>
          <w:r>
            <w:rPr>
              <w:rFonts w:hint="eastAsia" w:ascii="仿宋" w:hAnsi="仿宋" w:eastAsia="仿宋" w:cs="仿宋"/>
              <w:b/>
              <w:sz w:val="32"/>
              <w:szCs w:val="32"/>
              <w:lang w:val="en-US" w:eastAsia="zh-CN"/>
            </w:rPr>
            <w:fldChar w:fldCharType="separate"/>
          </w:r>
          <w:r>
            <w:rPr>
              <w:rFonts w:hint="eastAsia" w:ascii="仿宋" w:hAnsi="仿宋" w:eastAsia="仿宋" w:cs="仿宋"/>
              <w:b/>
              <w:sz w:val="32"/>
              <w:szCs w:val="32"/>
              <w:lang w:val="en-US" w:eastAsia="zh-CN"/>
            </w:rPr>
            <w:t>二、项目运维情况</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_Toc10021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lang w:val="en-US" w:eastAsia="zh-CN"/>
            </w:rPr>
            <w:fldChar w:fldCharType="end"/>
          </w:r>
        </w:p>
        <w:p>
          <w:pPr>
            <w:pStyle w:val="15"/>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fldChar w:fldCharType="begin"/>
          </w:r>
          <w:r>
            <w:rPr>
              <w:rFonts w:hint="eastAsia" w:ascii="仿宋" w:hAnsi="仿宋" w:eastAsia="仿宋" w:cs="仿宋"/>
              <w:b/>
              <w:sz w:val="32"/>
              <w:szCs w:val="32"/>
              <w:lang w:val="en-US" w:eastAsia="zh-CN"/>
            </w:rPr>
            <w:instrText xml:space="preserve"> HYPERLINK \l _Toc15518 </w:instrText>
          </w:r>
          <w:r>
            <w:rPr>
              <w:rFonts w:hint="eastAsia" w:ascii="仿宋" w:hAnsi="仿宋" w:eastAsia="仿宋" w:cs="仿宋"/>
              <w:b/>
              <w:sz w:val="32"/>
              <w:szCs w:val="32"/>
              <w:lang w:val="en-US" w:eastAsia="zh-CN"/>
            </w:rPr>
            <w:fldChar w:fldCharType="separate"/>
          </w:r>
          <w:r>
            <w:rPr>
              <w:rFonts w:hint="eastAsia" w:ascii="仿宋" w:hAnsi="仿宋" w:eastAsia="仿宋" w:cs="仿宋"/>
              <w:b/>
              <w:sz w:val="32"/>
              <w:szCs w:val="32"/>
              <w:lang w:val="en-US" w:eastAsia="zh-CN"/>
            </w:rPr>
            <w:t>三、绩效评价组织实施情况</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_Toc15518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lang w:val="en-US" w:eastAsia="zh-CN"/>
            </w:rPr>
            <w:fldChar w:fldCharType="end"/>
          </w:r>
        </w:p>
        <w:p>
          <w:pPr>
            <w:pStyle w:val="16"/>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_Toc16743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（一）绩效评价目的、对象和范围</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_Toc16743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6"/>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sz w:val="32"/>
              <w:szCs w:val="32"/>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_Toc5150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（二）绩效评价原则、指标体系、标准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_Toc5150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5"/>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fldChar w:fldCharType="begin"/>
          </w:r>
          <w:r>
            <w:rPr>
              <w:rFonts w:hint="eastAsia" w:ascii="仿宋" w:hAnsi="仿宋" w:eastAsia="仿宋" w:cs="仿宋"/>
              <w:b/>
              <w:sz w:val="32"/>
              <w:szCs w:val="32"/>
              <w:lang w:val="en-US" w:eastAsia="zh-CN"/>
            </w:rPr>
            <w:instrText xml:space="preserve"> HYPERLINK \l _Toc9905 </w:instrText>
          </w:r>
          <w:r>
            <w:rPr>
              <w:rFonts w:hint="eastAsia" w:ascii="仿宋" w:hAnsi="仿宋" w:eastAsia="仿宋" w:cs="仿宋"/>
              <w:b/>
              <w:sz w:val="32"/>
              <w:szCs w:val="32"/>
              <w:lang w:val="en-US" w:eastAsia="zh-CN"/>
            </w:rPr>
            <w:fldChar w:fldCharType="separate"/>
          </w:r>
          <w:r>
            <w:rPr>
              <w:rFonts w:hint="eastAsia" w:ascii="仿宋" w:hAnsi="仿宋" w:eastAsia="仿宋" w:cs="仿宋"/>
              <w:b/>
              <w:sz w:val="32"/>
              <w:szCs w:val="32"/>
              <w:lang w:val="en-US" w:eastAsia="zh-CN"/>
            </w:rPr>
            <w:t>四、考核周期及考核办法</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_Toc9905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lang w:val="en-US" w:eastAsia="zh-CN"/>
            </w:rPr>
            <w:fldChar w:fldCharType="end"/>
          </w:r>
        </w:p>
        <w:p>
          <w:pPr>
            <w:pStyle w:val="15"/>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fldChar w:fldCharType="begin"/>
          </w:r>
          <w:r>
            <w:rPr>
              <w:rFonts w:hint="eastAsia" w:ascii="仿宋" w:hAnsi="仿宋" w:eastAsia="仿宋" w:cs="仿宋"/>
              <w:b/>
              <w:sz w:val="32"/>
              <w:szCs w:val="32"/>
              <w:lang w:val="en-US" w:eastAsia="zh-CN"/>
            </w:rPr>
            <w:instrText xml:space="preserve"> HYPERLINK \l _Toc1280 </w:instrText>
          </w:r>
          <w:r>
            <w:rPr>
              <w:rFonts w:hint="eastAsia" w:ascii="仿宋" w:hAnsi="仿宋" w:eastAsia="仿宋" w:cs="仿宋"/>
              <w:b/>
              <w:sz w:val="32"/>
              <w:szCs w:val="32"/>
              <w:lang w:val="en-US" w:eastAsia="zh-CN"/>
            </w:rPr>
            <w:fldChar w:fldCharType="separate"/>
          </w:r>
          <w:r>
            <w:rPr>
              <w:rFonts w:hint="eastAsia" w:ascii="仿宋" w:hAnsi="仿宋" w:eastAsia="仿宋" w:cs="仿宋"/>
              <w:b/>
              <w:sz w:val="32"/>
              <w:szCs w:val="32"/>
              <w:lang w:val="en-US" w:eastAsia="zh-CN"/>
            </w:rPr>
            <w:t>五、存在问题</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_Toc1280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lang w:val="en-US" w:eastAsia="zh-CN"/>
            </w:rPr>
            <w:fldChar w:fldCharType="end"/>
          </w:r>
        </w:p>
        <w:p>
          <w:pPr>
            <w:pStyle w:val="15"/>
            <w:pageBreakBefore w:val="0"/>
            <w:tabs>
              <w:tab w:val="right" w:leader="dot" w:pos="8306"/>
            </w:tabs>
            <w:kinsoku/>
            <w:wordWrap/>
            <w:overflowPunct/>
            <w:topLinePunct w:val="0"/>
            <w:autoSpaceDE/>
            <w:autoSpaceDN/>
            <w:bidi w:val="0"/>
            <w:adjustRightInd/>
            <w:snapToGrid/>
            <w:spacing w:line="720" w:lineRule="auto"/>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fldChar w:fldCharType="begin"/>
          </w:r>
          <w:r>
            <w:rPr>
              <w:rFonts w:hint="eastAsia" w:ascii="仿宋" w:hAnsi="仿宋" w:eastAsia="仿宋" w:cs="仿宋"/>
              <w:b/>
              <w:sz w:val="32"/>
              <w:szCs w:val="32"/>
              <w:lang w:val="en-US" w:eastAsia="zh-CN"/>
            </w:rPr>
            <w:instrText xml:space="preserve"> HYPERLINK \l _Toc17770 </w:instrText>
          </w:r>
          <w:r>
            <w:rPr>
              <w:rFonts w:hint="eastAsia" w:ascii="仿宋" w:hAnsi="仿宋" w:eastAsia="仿宋" w:cs="仿宋"/>
              <w:b/>
              <w:sz w:val="32"/>
              <w:szCs w:val="32"/>
              <w:lang w:val="en-US" w:eastAsia="zh-CN"/>
            </w:rPr>
            <w:fldChar w:fldCharType="separate"/>
          </w:r>
          <w:r>
            <w:rPr>
              <w:rFonts w:hint="eastAsia" w:ascii="仿宋" w:hAnsi="仿宋" w:eastAsia="仿宋" w:cs="仿宋"/>
              <w:b/>
              <w:sz w:val="32"/>
              <w:szCs w:val="32"/>
              <w:lang w:val="en-US" w:eastAsia="zh-CN"/>
            </w:rPr>
            <w:t>六、解决措施</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_Toc17770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lang w:val="en-US" w:eastAsia="zh-CN"/>
            </w:rPr>
            <w:fldChar w:fldCharType="end"/>
          </w:r>
        </w:p>
        <w:p>
          <w:pPr>
            <w:pStyle w:val="3"/>
            <w:pageBreakBefore w:val="0"/>
            <w:numPr>
              <w:ilvl w:val="0"/>
              <w:numId w:val="0"/>
            </w:numPr>
            <w:kinsoku/>
            <w:wordWrap/>
            <w:overflowPunct/>
            <w:topLinePunct w:val="0"/>
            <w:autoSpaceDE/>
            <w:autoSpaceDN/>
            <w:bidi w:val="0"/>
            <w:adjustRightInd/>
            <w:snapToGrid/>
            <w:spacing w:line="720" w:lineRule="auto"/>
            <w:textAlignment w:val="auto"/>
            <w:outlineLvl w:val="0"/>
            <w:rPr>
              <w:rFonts w:hint="eastAsia"/>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 w:hAnsi="仿宋" w:eastAsia="仿宋" w:cs="仿宋"/>
              <w:b/>
              <w:sz w:val="32"/>
              <w:szCs w:val="32"/>
              <w:lang w:val="en-US"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b/>
          <w:bCs/>
          <w:sz w:val="32"/>
          <w:szCs w:val="32"/>
          <w:lang w:val="en-US" w:eastAsia="zh-CN"/>
        </w:rPr>
      </w:pPr>
      <w:bookmarkStart w:id="0" w:name="_Toc23787"/>
      <w:r>
        <w:rPr>
          <w:rFonts w:hint="eastAsia" w:ascii="仿宋" w:hAnsi="仿宋" w:eastAsia="仿宋" w:cs="仿宋"/>
          <w:b/>
          <w:bCs/>
          <w:sz w:val="32"/>
          <w:szCs w:val="32"/>
          <w:lang w:val="en-US" w:eastAsia="zh-CN"/>
        </w:rPr>
        <w:t>一、项目基本概述</w:t>
      </w:r>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仿宋" w:hAnsi="仿宋" w:eastAsia="仿宋" w:cs="仿宋"/>
          <w:b/>
          <w:bCs/>
          <w:sz w:val="28"/>
          <w:szCs w:val="28"/>
          <w:lang w:val="en-US" w:eastAsia="zh-CN"/>
        </w:rPr>
      </w:pPr>
      <w:bookmarkStart w:id="1" w:name="_Toc369"/>
      <w:r>
        <w:rPr>
          <w:rFonts w:hint="eastAsia" w:ascii="仿宋" w:hAnsi="仿宋" w:eastAsia="仿宋" w:cs="仿宋"/>
          <w:b/>
          <w:bCs/>
          <w:sz w:val="28"/>
          <w:szCs w:val="28"/>
          <w:lang w:val="en-US" w:eastAsia="zh-CN"/>
        </w:rPr>
        <w:t>（一）项目实施背景</w:t>
      </w:r>
      <w:bookmarkEnd w:id="1"/>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沙湾市城遵循“规划先行、布局合理、产业先进、环境友好”的指导思想切实采 取有效措施加快城镇化进程，使城镇基础设施更加完善，城镇规模明显扩大，空间序列鲜明有序。建设“经济更加繁荣，社会更加稳定，生态更加美好，特色更加鲜明”的综合性现代城市。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城市</w:t>
      </w:r>
      <w:bookmarkStart w:id="15" w:name="_GoBack"/>
      <w:bookmarkEnd w:id="15"/>
      <w:r>
        <w:rPr>
          <w:rFonts w:hint="eastAsia" w:ascii="仿宋" w:hAnsi="仿宋" w:eastAsia="仿宋" w:cs="仿宋"/>
          <w:sz w:val="28"/>
          <w:szCs w:val="28"/>
          <w:lang w:val="en-US" w:eastAsia="zh-CN"/>
        </w:rPr>
        <w:t>发展的前提是城市市政基础设施的相对完善，城市排水的发展水平是城市 现代化程度的重要标志，也是城市可持续发展的重要保障。随着沙湾市经济的快速发展、对外开放程度的加快、人民生活水平和城市化水平的提高， 对沙湾县基础设施的要求 也越来越高， 目前沙湾县城的排水设施严重滞后于城市的发展水平远不能满足经济发展的要求。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为了进一步完善中小城市基础设施建设，提高中小城市承载能力， 针对沙湾县排水设施发展中存在的主要问题，我公司与沙湾市人民政府签署BOT协议投资建设运维沙湾科发环保科技有限公司污水处理工程。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仿宋" w:hAnsi="仿宋" w:eastAsia="仿宋" w:cs="仿宋"/>
          <w:b/>
          <w:bCs/>
          <w:sz w:val="32"/>
          <w:szCs w:val="32"/>
          <w:lang w:val="en-US" w:eastAsia="zh-CN"/>
        </w:rPr>
      </w:pPr>
      <w:bookmarkStart w:id="2" w:name="_Toc11249"/>
      <w:r>
        <w:rPr>
          <w:rFonts w:hint="eastAsia" w:ascii="仿宋" w:hAnsi="仿宋" w:eastAsia="仿宋" w:cs="仿宋"/>
          <w:b/>
          <w:bCs/>
          <w:sz w:val="32"/>
          <w:szCs w:val="32"/>
          <w:lang w:val="en-US" w:eastAsia="zh-CN"/>
        </w:rPr>
        <w:t>（二）项目概况</w:t>
      </w:r>
      <w:bookmarkEnd w:id="2"/>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1、工程名称：沙湾县第二污水处理厂工程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2、项目地点：马兰鑫科农业产业园区北侧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3、建设单位：沙湾科发环保科技有限公司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4、设计单位：上海市政工程设计研究总院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5、设计规模：近期 3 万 t/d、远期6万t/d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6、污水水质：生活污水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7、工程总投资：13735.25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8、1）污水厂进水水质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t>进水水质指标表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bl>
      <w:tblPr>
        <w:tblStyle w:val="14"/>
        <w:tblW w:w="8801" w:type="dxa"/>
        <w:tblInd w:w="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3132"/>
        <w:gridCol w:w="997"/>
        <w:gridCol w:w="1828"/>
        <w:gridCol w:w="21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序号</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项目</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单位</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eastAsia="zh-CN"/>
              </w:rPr>
              <w:t>进</w:t>
            </w:r>
            <w:r>
              <w:rPr>
                <w:rFonts w:hint="eastAsia" w:ascii="仿宋" w:hAnsi="仿宋" w:eastAsia="仿宋" w:cs="仿宋"/>
                <w:sz w:val="28"/>
                <w:szCs w:val="28"/>
              </w:rPr>
              <w:t>水水质指标</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CODcr</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500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2</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BOD5</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200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3</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SS</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400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4</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NH3-N</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40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5</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TN（以 N 计）</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50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6</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TP  （以 P 计）</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6</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7</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pH</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6-9</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2）污水厂出水水质：出水水质优于国家《城镇污水处理厂污染物排放标准》的 一级 A 标准，部分指标达到地表四类标准：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t>出水水质指标表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tbl>
      <w:tblPr>
        <w:tblStyle w:val="14"/>
        <w:tblW w:w="8801" w:type="dxa"/>
        <w:tblInd w:w="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3132"/>
        <w:gridCol w:w="997"/>
        <w:gridCol w:w="1828"/>
        <w:gridCol w:w="21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序号</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项目</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单位</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出水水质指标</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CODcr</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≤30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满足地表Ⅳ类标准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2</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BOD5</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≤6</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满足地表Ⅳ类标准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3</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SS</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满足景观用水水质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4</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总磷（以 P 计）</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0.5</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一级A标准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5</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NH3-N</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≤1.5</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满足地表Ⅳ类标准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6</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总氮（以 N 计）</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15</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一级A标准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7</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pH</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6～9</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满足地表Ⅳ类标准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8</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石油类</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0.5</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满足地表Ⅳ类标准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9</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粪大肠菌群</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个/L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500</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满足景观用水水质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10</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阴离子表面活性剂</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0.3</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满足地表Ⅳ类标准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720" w:type="dxa"/>
            <w:tcBorders>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11</w:t>
            </w:r>
          </w:p>
        </w:tc>
        <w:tc>
          <w:tcPr>
            <w:tcW w:w="3132"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溶解氧</w:t>
            </w:r>
          </w:p>
        </w:tc>
        <w:tc>
          <w:tcPr>
            <w:tcW w:w="997"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mg/L</w:t>
            </w:r>
          </w:p>
        </w:tc>
        <w:tc>
          <w:tcPr>
            <w:tcW w:w="1828" w:type="dxa"/>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3</w:t>
            </w:r>
          </w:p>
        </w:tc>
        <w:tc>
          <w:tcPr>
            <w:tcW w:w="2124" w:type="dxa"/>
            <w:tcBorders>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满足地表Ⅳ类标准</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注：  (1)进水中溶解态不可降解 COD 值小于 20mg/l 时才能保证该出水指标;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括号外数值为水温＞12℃时的控制指标，括号内数值为水温≤12℃时的控制指标。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、污水处理工艺：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污水通过收集干管压力流至粗格栅，通过粗格栅去除较大的颗粒物后至细格栅 间，细格栅出水进入曝气沉砂池，经曝气沉砂池去除废水中的泥沙及少量漂浮物后， 进入初沉池， 经初沉池去除水中的部分污染物后进入膜格栅， 膜格栅去除水中大于等于 1mm 的悬浮物后进入生物池和膜池， 进行生物脱氮除磷， 膜池出水经过臭氧消毒后， 夏季可排至下游灌溉农田， 或作为园区回用水源， 也可提升至一污稳定塘后做为县城 的回用水源；冬季也可暂时储存在已建 270 万 m³尾水库中，作为来年的灌溉用水。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b/>
          <w:bCs/>
          <w:sz w:val="32"/>
          <w:szCs w:val="32"/>
          <w:lang w:val="en-US" w:eastAsia="zh-CN"/>
        </w:rPr>
      </w:pPr>
      <w:bookmarkStart w:id="3" w:name="_Toc10021"/>
      <w:r>
        <w:rPr>
          <w:rFonts w:hint="eastAsia" w:ascii="仿宋" w:hAnsi="仿宋" w:eastAsia="仿宋" w:cs="仿宋"/>
          <w:b/>
          <w:bCs/>
          <w:sz w:val="32"/>
          <w:szCs w:val="32"/>
          <w:lang w:val="en-US" w:eastAsia="zh-CN"/>
        </w:rPr>
        <w:t>二、项目运维情况</w:t>
      </w:r>
      <w:bookmarkEnd w:id="3"/>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沙湾科发环保科技有限于2015年6月开始破土动工，2015年基本完成土建工程施工，2016年7月22日正式通污水调试运行， 8月5日开始连续出水， 9月28日取得水质监测报告并进入商业运行阶段， 11月27日取得项目竣工环保验收批复。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沙湾科再生水厂自2016年9月底投入正式运行以来，运行状态稳定，出水水质达到环保要求水质标准。2023年第三季度累计处理污水152.36万立方米，解除了污水处理问题对沙湾县整体规划和经济发展的制约，大幅度提高沙湾市整体的水资源利用效率，缓解经济林灌溉和城市杂用水的用水紧缺问题。从环保角度，大幅增加了污染物的消减量，有效提高周边环境质量，对沙湾市的经济和环境发展做出多重贡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b/>
          <w:bCs/>
          <w:sz w:val="32"/>
          <w:szCs w:val="32"/>
          <w:lang w:val="en-US" w:eastAsia="zh-CN"/>
        </w:rPr>
      </w:pPr>
      <w:bookmarkStart w:id="4" w:name="_Toc15518"/>
      <w:r>
        <w:rPr>
          <w:rFonts w:hint="eastAsia" w:ascii="仿宋" w:hAnsi="仿宋" w:eastAsia="仿宋" w:cs="仿宋"/>
          <w:b/>
          <w:bCs/>
          <w:sz w:val="32"/>
          <w:szCs w:val="32"/>
          <w:lang w:val="en-US" w:eastAsia="zh-CN"/>
        </w:rPr>
        <w:t>三、绩效评价组织实施情况</w:t>
      </w:r>
      <w:bookmarkEnd w:id="4"/>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仿宋" w:hAnsi="仿宋" w:eastAsia="仿宋" w:cs="仿宋"/>
          <w:b/>
          <w:bCs/>
          <w:sz w:val="28"/>
          <w:szCs w:val="28"/>
          <w:lang w:val="en-US" w:eastAsia="zh-CN"/>
        </w:rPr>
      </w:pPr>
      <w:bookmarkStart w:id="5" w:name="_Toc67911605"/>
      <w:bookmarkStart w:id="6" w:name="_Toc16743"/>
      <w:bookmarkStart w:id="7" w:name="_Toc20568"/>
      <w:r>
        <w:rPr>
          <w:rFonts w:hint="eastAsia" w:ascii="仿宋" w:hAnsi="仿宋" w:eastAsia="仿宋" w:cs="仿宋"/>
          <w:b/>
          <w:bCs/>
          <w:sz w:val="28"/>
          <w:szCs w:val="28"/>
          <w:lang w:val="en-US" w:eastAsia="zh-CN"/>
        </w:rPr>
        <w:t>（一）绩效评价目的、对象和范围</w:t>
      </w:r>
      <w:bookmarkEnd w:id="5"/>
      <w:bookmarkEnd w:id="6"/>
      <w:bookmarkEnd w:id="7"/>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1.评价目的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为贯彻落实 (自治区党委, 自治区人民政府关于全面实施预算绩效管理的实施意见) (新党发 (2018) 30 号), (关于印发 (自治区全面实施绩效管理的工作方案) 的通知) (新财预 (2018) 158 号), 引导政府和社会资本合作项目的参与各方切实强化绩效理念和责任意识, 提高财政资源配置效益,提升公共服务质量和效率。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沙湾科发环保科技有限公司污水处理工程从项目运营阶段项目管理和项目产出出发，力求从绩效的角度发现该项目中取得的成绩和产生的问题，为改进后阶段运营和安排下一个半年生产计划提供重要依据。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8"/>
          <w:szCs w:val="28"/>
        </w:rPr>
      </w:pPr>
      <w:r>
        <w:rPr>
          <w:rFonts w:hint="eastAsia" w:ascii="仿宋" w:hAnsi="仿宋" w:eastAsia="仿宋" w:cs="仿宋"/>
          <w:b/>
          <w:bCs/>
          <w:sz w:val="28"/>
          <w:szCs w:val="28"/>
        </w:rPr>
        <w:t>2.评价对象和范围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（1）绩效评价的对象：2023年沙湾科发环保科技有限公司污水处理工程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（2）绩效评价范围：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1.项目范围：2023年沙湾科发环保科技有限公司污水处理工程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运行情况、项目实施后产生的绩效及影响效果。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2.时间范围：2023年1月1日至2023年12月31日。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仿宋" w:hAnsi="仿宋" w:eastAsia="仿宋" w:cs="仿宋"/>
          <w:b/>
          <w:bCs/>
          <w:sz w:val="28"/>
          <w:szCs w:val="28"/>
          <w:lang w:val="en-US" w:eastAsia="zh-CN"/>
        </w:rPr>
      </w:pPr>
      <w:bookmarkStart w:id="8" w:name="_Toc67911606"/>
      <w:bookmarkStart w:id="9" w:name="_Toc23646"/>
      <w:bookmarkStart w:id="10" w:name="_Toc5150"/>
      <w:bookmarkStart w:id="11" w:name="_Hlk67586765"/>
      <w:r>
        <w:rPr>
          <w:rFonts w:hint="eastAsia" w:ascii="仿宋" w:hAnsi="仿宋" w:eastAsia="仿宋" w:cs="仿宋"/>
          <w:b/>
          <w:bCs/>
          <w:sz w:val="28"/>
          <w:szCs w:val="28"/>
          <w:lang w:val="en-US" w:eastAsia="zh-CN"/>
        </w:rPr>
        <w:t>（二）绩效评价原则、指标体系、标准</w:t>
      </w:r>
      <w:bookmarkEnd w:id="8"/>
      <w:bookmarkEnd w:id="9"/>
      <w:bookmarkEnd w:id="10"/>
    </w:p>
    <w:bookmarkEnd w:id="11"/>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1.评价原则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（1）在数据收集时，采取客观数据，并结合问卷调查结果，以保证各项指标的真实性。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（3）绩效评价报告应当简明扼要，除了对绩效评价的过程、结果描述外，还应总结经验，指出问题，并就项目实施过程中所存在的问题提出可操作性改进建议。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绩效评价指标体系作为衡量绩效目标实现程度的考核工具，一般遵循以下原则：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（1）相关性原则：绩效评价指标应当与绩效目标有直接的联系，能够恰当反映目标的实现程度。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（2）重要性原则：应当优先使用最具评价对象代表性、最能反映评价要求的核心指标。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（3）可比性原则：对同类评价对象要设定共性的绩效评价指标，以便于评价结果可以相互比较。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（4）系统性原则：绩效评价指标的设置应当将定量指标与定性指标相结合，能系统反映财政支出所产生的社会效益、经济效益和可持续影响等。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（5）经济性原则：绩效评价指标设计应当通俗易懂、简便易行，数据的获得应当考虑现实条件和可操作性，符合成本效益原则。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3.评价标准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sectPr>
          <w:headerReference r:id="rId4" w:type="default"/>
          <w:footerReference r:id="rId5" w:type="default"/>
          <w:footnotePr>
            <w:numFmt w:val="decimalEnclosedCircleChinese"/>
          </w:footnotePr>
          <w:pgSz w:w="11906" w:h="16838"/>
          <w:pgMar w:top="1440" w:right="1800" w:bottom="1440" w:left="1800" w:header="992" w:footer="992" w:gutter="0"/>
          <w:pgNumType w:fmt="decimal" w:start="1"/>
          <w:cols w:space="720" w:num="1"/>
          <w:docGrid w:type="lines" w:linePitch="381" w:charSpace="0"/>
        </w:sectPr>
      </w:pPr>
      <w:r>
        <w:rPr>
          <w:rFonts w:hint="eastAsia" w:ascii="仿宋" w:hAnsi="仿宋" w:eastAsia="仿宋" w:cs="仿宋"/>
          <w:sz w:val="28"/>
          <w:szCs w:val="28"/>
          <w:lang w:val="en-US" w:eastAsia="zh-CN"/>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b/>
          <w:bCs/>
          <w:sz w:val="32"/>
          <w:szCs w:val="32"/>
          <w:lang w:val="en-US" w:eastAsia="zh-CN"/>
        </w:rPr>
      </w:pPr>
      <w:bookmarkStart w:id="12" w:name="_Toc9905"/>
      <w:r>
        <w:rPr>
          <w:rFonts w:hint="eastAsia" w:ascii="仿宋" w:hAnsi="仿宋" w:eastAsia="仿宋" w:cs="仿宋"/>
          <w:b/>
          <w:bCs/>
          <w:sz w:val="32"/>
          <w:szCs w:val="32"/>
          <w:lang w:val="en-US" w:eastAsia="zh-CN"/>
        </w:rPr>
        <w:t>四、考核周期及考核办法</w:t>
      </w:r>
      <w:bookmarkEnd w:id="12"/>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1、季度考核: 实行百分制,每季度1次,具体的考核时间由考核办公室根据实际情况进行确定 , 考核结果按季度考核, 年度兑现、对项目公司进行奖惩。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年度考核: 结合季度考核结果, 对污水处理厂养护质量、污水处理质量, 公众服务质量等进行考核,对项目公司进行奖惩。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考核组可进行不定期考核和明察暗访，经考核组他讨论将考核结果根据实际计入考核分值。</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考核内容包含：有效处理量、生产运行管理、设备管理、在线监测及自行监测、安全管理、其它方面等。考核结果分为四档：90分以上（含90分）时为“优秀”；80-90分（含80分，不含90分）时为“良好”；70-80分（含70分，不含80分）时为“合格”；60-70分（含60分，不含70分）时为“不及格”。</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为激励项目管理及运营期工艺创新, 季度考核时具备下列情况之一的可给予适当加分: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a、在不增加运营期成本的前提下, 推广应用污水处理行业或建设工程行业新技术,新材料, 新装备, 新工艺, 取得效果显著的,加5分;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b、在进水水质单项指标超过设计进水水质标准的, 污水处理厂出水仍按照环保要求达标排放时, 加10分,不同指标同时超标时加分可累加. 进水超标幅度达到20%以上的, 依据协议计算超标处理费用, 超标处理合格的部分费用不考虑绩效。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b/>
          <w:bCs/>
          <w:sz w:val="32"/>
          <w:szCs w:val="32"/>
          <w:lang w:val="en-US" w:eastAsia="zh-CN"/>
        </w:rPr>
      </w:pPr>
      <w:bookmarkStart w:id="13" w:name="_Toc1280"/>
      <w:r>
        <w:rPr>
          <w:rFonts w:hint="eastAsia" w:ascii="仿宋" w:hAnsi="仿宋" w:eastAsia="仿宋" w:cs="仿宋"/>
          <w:b/>
          <w:bCs/>
          <w:sz w:val="32"/>
          <w:szCs w:val="32"/>
          <w:lang w:val="en-US" w:eastAsia="zh-CN"/>
        </w:rPr>
        <w:t>五、存在问题</w:t>
      </w:r>
      <w:bookmarkEnd w:id="13"/>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1、中水回用利用率不高；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2、实验室原始记录存档不健全；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仿宋" w:hAnsi="仿宋" w:eastAsia="仿宋" w:cs="仿宋"/>
          <w:b/>
          <w:bCs/>
          <w:sz w:val="32"/>
          <w:szCs w:val="32"/>
          <w:lang w:val="en-US" w:eastAsia="zh-CN"/>
        </w:rPr>
      </w:pPr>
      <w:bookmarkStart w:id="14" w:name="_Toc17770"/>
      <w:r>
        <w:rPr>
          <w:rFonts w:hint="eastAsia" w:ascii="仿宋" w:hAnsi="仿宋" w:eastAsia="仿宋" w:cs="仿宋"/>
          <w:b/>
          <w:bCs/>
          <w:sz w:val="32"/>
          <w:szCs w:val="32"/>
          <w:lang w:val="en-US" w:eastAsia="zh-CN"/>
        </w:rPr>
        <w:t>六、解决措施</w:t>
      </w:r>
      <w:bookmarkEnd w:id="14"/>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1、提高中水回用率，节约水资源；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2、加强对实验室原始记录的档案管理，保证原始记录详实完整；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lang w:val="en-US" w:eastAsia="zh-CN"/>
        </w:rPr>
      </w:pPr>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560"/>
      <w:jc w:val="center"/>
      <w:rPr>
        <w:rFonts w:ascii="仿宋_GB2312" w:eastAsia="仿宋_GB2312"/>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560"/>
                            <w:jc w:val="cente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3</w:t>
                          </w:r>
                          <w:r>
                            <w:rPr>
                              <w:rFonts w:hint="eastAsia" w:ascii="仿宋_GB2312" w:eastAsia="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ind w:firstLine="560"/>
                      <w:jc w:val="cente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3</w:t>
                    </w:r>
                    <w:r>
                      <w:rPr>
                        <w:rFonts w:hint="eastAsia" w:ascii="仿宋_GB2312" w:eastAsia="仿宋_GB2312"/>
                        <w:sz w:val="21"/>
                        <w:szCs w:val="21"/>
                      </w:rPr>
                      <w:fldChar w:fldCharType="end"/>
                    </w:r>
                  </w:p>
                </w:txbxContent>
              </v:textbox>
            </v:shape>
          </w:pict>
        </mc:Fallback>
      </mc:AlternateContent>
    </w:r>
  </w:p>
  <w:p>
    <w:pPr>
      <w:pStyle w:val="8"/>
      <w:rPr>
        <w:rFonts w:ascii="仿宋_GB2312" w:eastAsia="仿宋_GB2312"/>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813EDB"/>
    <w:multiLevelType w:val="singleLevel"/>
    <w:tmpl w:val="4D813ED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NmU5ZmEwN2M2NDEzNDNjYzQ5YjkxZjRlZTljMDkifQ=="/>
  </w:docVars>
  <w:rsids>
    <w:rsidRoot w:val="00000000"/>
    <w:rsid w:val="01086C64"/>
    <w:rsid w:val="01A543F4"/>
    <w:rsid w:val="024141DC"/>
    <w:rsid w:val="034F484F"/>
    <w:rsid w:val="039F3F41"/>
    <w:rsid w:val="056145E3"/>
    <w:rsid w:val="062A4F87"/>
    <w:rsid w:val="068E294B"/>
    <w:rsid w:val="07CA4C73"/>
    <w:rsid w:val="084E7652"/>
    <w:rsid w:val="09816E94"/>
    <w:rsid w:val="09F14739"/>
    <w:rsid w:val="0A102D16"/>
    <w:rsid w:val="0D026C5D"/>
    <w:rsid w:val="0E6B0BD5"/>
    <w:rsid w:val="10024664"/>
    <w:rsid w:val="12F928B1"/>
    <w:rsid w:val="13854144"/>
    <w:rsid w:val="14096B23"/>
    <w:rsid w:val="148A62EF"/>
    <w:rsid w:val="17650515"/>
    <w:rsid w:val="17F503EB"/>
    <w:rsid w:val="18D771F0"/>
    <w:rsid w:val="1A8E7D82"/>
    <w:rsid w:val="1AC26D58"/>
    <w:rsid w:val="1D693BF2"/>
    <w:rsid w:val="1DB23D88"/>
    <w:rsid w:val="1DDA65AA"/>
    <w:rsid w:val="1EC05030"/>
    <w:rsid w:val="1ECF44C6"/>
    <w:rsid w:val="215C682E"/>
    <w:rsid w:val="21AF0D0A"/>
    <w:rsid w:val="21AF2119"/>
    <w:rsid w:val="22061DB0"/>
    <w:rsid w:val="229D5007"/>
    <w:rsid w:val="232079E6"/>
    <w:rsid w:val="23733FB9"/>
    <w:rsid w:val="26235823"/>
    <w:rsid w:val="2AFD6F53"/>
    <w:rsid w:val="2B347A72"/>
    <w:rsid w:val="2B89313A"/>
    <w:rsid w:val="2CC43190"/>
    <w:rsid w:val="2DA01E4F"/>
    <w:rsid w:val="3090363A"/>
    <w:rsid w:val="318009B6"/>
    <w:rsid w:val="31D53B63"/>
    <w:rsid w:val="32A411BA"/>
    <w:rsid w:val="33F976CE"/>
    <w:rsid w:val="34B14942"/>
    <w:rsid w:val="350A1CA2"/>
    <w:rsid w:val="35E825E5"/>
    <w:rsid w:val="36EC1C61"/>
    <w:rsid w:val="38916487"/>
    <w:rsid w:val="3ABC7B9C"/>
    <w:rsid w:val="3BFF2436"/>
    <w:rsid w:val="3CC367D8"/>
    <w:rsid w:val="3E030819"/>
    <w:rsid w:val="3F8663DE"/>
    <w:rsid w:val="409F7D44"/>
    <w:rsid w:val="40BA62C0"/>
    <w:rsid w:val="40BD2EE0"/>
    <w:rsid w:val="4265254D"/>
    <w:rsid w:val="42E67EAC"/>
    <w:rsid w:val="44337121"/>
    <w:rsid w:val="444D6967"/>
    <w:rsid w:val="45100C41"/>
    <w:rsid w:val="462C3E28"/>
    <w:rsid w:val="481F5B54"/>
    <w:rsid w:val="486C2C02"/>
    <w:rsid w:val="48CA7928"/>
    <w:rsid w:val="4AEB45F2"/>
    <w:rsid w:val="4BD55986"/>
    <w:rsid w:val="4D0478AD"/>
    <w:rsid w:val="4F30393D"/>
    <w:rsid w:val="50F934A0"/>
    <w:rsid w:val="5127438B"/>
    <w:rsid w:val="51AC22C1"/>
    <w:rsid w:val="51D414AC"/>
    <w:rsid w:val="526037D7"/>
    <w:rsid w:val="531E0F9C"/>
    <w:rsid w:val="55B37AAB"/>
    <w:rsid w:val="55BF4C27"/>
    <w:rsid w:val="56EB388B"/>
    <w:rsid w:val="56FD192F"/>
    <w:rsid w:val="57E428FB"/>
    <w:rsid w:val="57FB365A"/>
    <w:rsid w:val="58627B7D"/>
    <w:rsid w:val="58D81BED"/>
    <w:rsid w:val="58F3356D"/>
    <w:rsid w:val="5C384E7D"/>
    <w:rsid w:val="5C4E1DF2"/>
    <w:rsid w:val="5C7B745F"/>
    <w:rsid w:val="5DE745F3"/>
    <w:rsid w:val="5ECC5D50"/>
    <w:rsid w:val="5F7162D2"/>
    <w:rsid w:val="613320B7"/>
    <w:rsid w:val="626B40F5"/>
    <w:rsid w:val="628B215D"/>
    <w:rsid w:val="62D022B3"/>
    <w:rsid w:val="64410F8F"/>
    <w:rsid w:val="64D67929"/>
    <w:rsid w:val="65420B1A"/>
    <w:rsid w:val="673B7F17"/>
    <w:rsid w:val="685D3C5D"/>
    <w:rsid w:val="69627E54"/>
    <w:rsid w:val="6A813516"/>
    <w:rsid w:val="6C0E65D7"/>
    <w:rsid w:val="6DEE65C9"/>
    <w:rsid w:val="70432430"/>
    <w:rsid w:val="72822386"/>
    <w:rsid w:val="73DC6514"/>
    <w:rsid w:val="746F7452"/>
    <w:rsid w:val="75235EE3"/>
    <w:rsid w:val="75E874BC"/>
    <w:rsid w:val="789269B1"/>
    <w:rsid w:val="78ED4AE8"/>
    <w:rsid w:val="7AFE61F7"/>
    <w:rsid w:val="7B30793B"/>
    <w:rsid w:val="7B7F441F"/>
    <w:rsid w:val="7E0D5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7">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2"/>
    <w:basedOn w:val="1"/>
    <w:next w:val="1"/>
    <w:qFormat/>
    <w:uiPriority w:val="0"/>
    <w:pPr>
      <w:ind w:left="420" w:leftChars="200"/>
    </w:pPr>
  </w:style>
  <w:style w:type="paragraph" w:customStyle="1" w:styleId="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样式1"/>
    <w:basedOn w:val="1"/>
    <w:next w:val="1"/>
    <w:qFormat/>
    <w:uiPriority w:val="0"/>
    <w:pPr>
      <w:keepNext/>
      <w:keepLines/>
      <w:spacing w:before="280" w:beforeLines="0" w:after="290" w:afterLines="0" w:line="372" w:lineRule="auto"/>
      <w:outlineLvl w:val="4"/>
    </w:pPr>
    <w:rPr>
      <w:rFonts w:hint="default" w:asciiTheme="minorAscii" w:hAnsiTheme="minorAscii"/>
      <w:b/>
      <w:sz w:val="28"/>
    </w:rPr>
  </w:style>
  <w:style w:type="paragraph" w:customStyle="1" w:styleId="18">
    <w:name w:val="0"/>
    <w:basedOn w:val="1"/>
    <w:qFormat/>
    <w:uiPriority w:val="0"/>
    <w:pPr>
      <w:spacing w:line="460" w:lineRule="exact"/>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2513</Words>
  <Characters>2712</Characters>
  <Lines>0</Lines>
  <Paragraphs>0</Paragraphs>
  <TotalTime>2</TotalTime>
  <ScaleCrop>false</ScaleCrop>
  <LinksUpToDate>false</LinksUpToDate>
  <CharactersWithSpaces>2792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2022-02-22T09:16:00Z</dcterms:created>
  <dc:creator>Administrator</dc:creator>
  <cp:lastModifiedBy>艳</cp:lastModifiedBy>
  <cp:lastPrinted>2024-03-28T04:01:00Z</cp:lastPrinted>
  <dcterms:modified xsi:type="dcterms:W3CDTF">2024-11-08T09:17:44Z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ACEEA6ABE42D472FAD79E0773C25456A</vt:lpwstr>
  </property>
</Properties>
</file>