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B0F3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F13AAAE">
      <w:pPr>
        <w:pStyle w:val="2"/>
        <w:rPr>
          <w:rFonts w:ascii="黑体" w:hAnsi="黑体" w:eastAsia="黑体"/>
          <w:color w:val="auto"/>
          <w:sz w:val="32"/>
          <w:szCs w:val="32"/>
          <w:highlight w:val="none"/>
        </w:rPr>
      </w:pPr>
    </w:p>
    <w:p w14:paraId="19344162">
      <w:pPr>
        <w:pStyle w:val="2"/>
        <w:rPr>
          <w:rFonts w:ascii="黑体" w:hAnsi="黑体" w:eastAsia="黑体"/>
          <w:color w:val="auto"/>
          <w:sz w:val="32"/>
          <w:szCs w:val="32"/>
          <w:highlight w:val="none"/>
        </w:rPr>
      </w:pPr>
    </w:p>
    <w:p w14:paraId="2A8F611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DD9956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w:t>
      </w:r>
      <w:bookmarkStart w:id="48" w:name="_GoBack"/>
      <w:r>
        <w:rPr>
          <w:rFonts w:hint="eastAsia" w:ascii="方正小标宋_GBK" w:hAnsi="宋体" w:eastAsia="方正小标宋_GBK"/>
          <w:color w:val="auto"/>
          <w:sz w:val="44"/>
          <w:szCs w:val="44"/>
          <w:highlight w:val="none"/>
          <w:lang w:val="en-US" w:eastAsia="zh-CN"/>
        </w:rPr>
        <w:t>交通运输局</w:t>
      </w:r>
      <w:bookmarkEnd w:id="48"/>
    </w:p>
    <w:p w14:paraId="16FD758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0BDC89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EF736D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614895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1F14E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B4A751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E9AA89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17121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D72917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EF0412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4E7200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07AC21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7B3817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D3E963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EADD1B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B5E0BE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87F9C8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BB0E8A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42B61C0">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FEC5B2F">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E78877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66F346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8D44B0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9A4C7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6D47B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674807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31C679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A0C587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46225B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5A0266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D9D2C9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7C7149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2977C0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4F18D4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B68F37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3843BF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61B72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F3C53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7313F69">
      <w:pPr>
        <w:ind w:firstLine="640" w:firstLineChars="200"/>
        <w:rPr>
          <w:rFonts w:hint="eastAsia" w:ascii="仿宋_GB2312" w:hAnsi="仿宋_GB2312" w:eastAsia="仿宋_GB2312" w:cs="仿宋_GB2312"/>
          <w:color w:val="auto"/>
          <w:sz w:val="32"/>
          <w:szCs w:val="32"/>
          <w:lang w:eastAsia="zh-CN"/>
        </w:rPr>
      </w:pPr>
      <w:bookmarkStart w:id="4" w:name="_Toc3092"/>
      <w:bookmarkStart w:id="5" w:name="_Toc29374"/>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贯彻执行国家</w:t>
      </w:r>
      <w:r>
        <w:rPr>
          <w:rFonts w:hint="eastAsia" w:ascii="仿宋_GB2312" w:hAnsi="仿宋_GB2312" w:eastAsia="仿宋_GB2312" w:cs="仿宋_GB2312"/>
          <w:color w:val="auto"/>
          <w:sz w:val="32"/>
          <w:szCs w:val="32"/>
        </w:rPr>
        <w:t>、自治区、地区有关公路交通运输的方针政策、法规，</w:t>
      </w:r>
      <w:r>
        <w:rPr>
          <w:rFonts w:hint="eastAsia" w:ascii="仿宋_GB2312" w:hAnsi="仿宋_GB2312" w:eastAsia="仿宋_GB2312" w:cs="仿宋_GB2312"/>
          <w:color w:val="auto"/>
          <w:sz w:val="32"/>
          <w:szCs w:val="32"/>
          <w:lang w:eastAsia="zh-CN"/>
        </w:rPr>
        <w:t>要求拟定</w:t>
      </w:r>
      <w:r>
        <w:rPr>
          <w:rFonts w:hint="eastAsia" w:ascii="仿宋_GB2312" w:hAnsi="仿宋_GB2312" w:eastAsia="仿宋_GB2312" w:cs="仿宋_GB2312"/>
          <w:color w:val="auto"/>
          <w:sz w:val="32"/>
          <w:szCs w:val="32"/>
        </w:rPr>
        <w:t>有关管理办法，并组织实施和监督检查</w:t>
      </w:r>
      <w:r>
        <w:rPr>
          <w:rFonts w:hint="eastAsia" w:ascii="仿宋_GB2312" w:hAnsi="仿宋_GB2312" w:eastAsia="仿宋_GB2312" w:cs="仿宋_GB2312"/>
          <w:color w:val="auto"/>
          <w:sz w:val="32"/>
          <w:szCs w:val="32"/>
          <w:lang w:eastAsia="zh-CN"/>
        </w:rPr>
        <w:t>。</w:t>
      </w:r>
    </w:p>
    <w:p w14:paraId="252100D8">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）拟定沙湾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公路交通运输发展规划、中长期计划和年度计划，并组织实施；会同有关部门组织编制沙湾</w:t>
      </w:r>
      <w:r>
        <w:rPr>
          <w:rFonts w:hint="eastAsia" w:ascii="仿宋_GB2312" w:hAnsi="仿宋_GB2312" w:eastAsia="仿宋_GB2312" w:cs="仿宋_GB2312"/>
          <w:color w:val="auto"/>
          <w:sz w:val="32"/>
          <w:szCs w:val="32"/>
          <w:lang w:eastAsia="zh-CN"/>
        </w:rPr>
        <w:t>市综合交通运输体系</w:t>
      </w:r>
      <w:r>
        <w:rPr>
          <w:rFonts w:hint="eastAsia" w:ascii="仿宋_GB2312" w:hAnsi="仿宋_GB2312" w:eastAsia="仿宋_GB2312" w:cs="仿宋_GB2312"/>
          <w:color w:val="auto"/>
          <w:sz w:val="32"/>
          <w:szCs w:val="32"/>
        </w:rPr>
        <w:t>规划</w:t>
      </w:r>
      <w:r>
        <w:rPr>
          <w:rFonts w:hint="eastAsia" w:ascii="仿宋_GB2312" w:hAnsi="仿宋_GB2312" w:eastAsia="仿宋_GB2312" w:cs="仿宋_GB2312"/>
          <w:color w:val="auto"/>
          <w:sz w:val="32"/>
          <w:szCs w:val="32"/>
          <w:lang w:eastAsia="zh-CN"/>
        </w:rPr>
        <w:t>。</w:t>
      </w:r>
    </w:p>
    <w:p w14:paraId="28B252D6">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）承担沙湾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农村公路建设市场的监管职责；组织协调沙湾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农村公路有关重点工程建设和工程质量、安全生产监督管理及有关人员资质管理工作，指导沙湾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交通运输基础设施管理和维护，承担有关重要设施的管理和维护；负责公路交通科技管理和重大科研项目的组织实施以及科技成果的推广应用；负责辖区范围内农村公路的建设、养护、路政管理，依法保护农村公路路产路权；指导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交通运输行业环境保护和节能减排工作；指导、检查、考核管辖范围内农村公路的建设、管理和养护工作</w:t>
      </w:r>
      <w:r>
        <w:rPr>
          <w:rFonts w:hint="eastAsia" w:ascii="仿宋_GB2312" w:hAnsi="仿宋_GB2312" w:eastAsia="仿宋_GB2312" w:cs="仿宋_GB2312"/>
          <w:color w:val="auto"/>
          <w:sz w:val="32"/>
          <w:szCs w:val="32"/>
          <w:lang w:eastAsia="zh-CN"/>
        </w:rPr>
        <w:t>。</w:t>
      </w:r>
    </w:p>
    <w:p w14:paraId="670BCC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）建立完善信息服务体系，引导交通运输优化结构、协调发展</w:t>
      </w:r>
      <w:r>
        <w:rPr>
          <w:rFonts w:hint="eastAsia" w:ascii="仿宋_GB2312" w:hAnsi="仿宋_GB2312" w:eastAsia="仿宋_GB2312" w:cs="仿宋_GB2312"/>
          <w:color w:val="auto"/>
          <w:sz w:val="32"/>
          <w:szCs w:val="32"/>
          <w:lang w:eastAsia="zh-CN"/>
        </w:rPr>
        <w:t>。</w:t>
      </w:r>
    </w:p>
    <w:p w14:paraId="7EAD72D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）负责沙湾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综合交通运输市场监管；负责城乡客货运输及有关设施规划、建设和监督管理工作；指导公共交通、出租汽车行业管理；指导车辆维修、营运车辆综合性能检测、机动车驾驶员培训工作的行业管理；负责沙湾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多种运输的衔接和协调</w:t>
      </w:r>
      <w:r>
        <w:rPr>
          <w:rFonts w:hint="eastAsia" w:ascii="仿宋_GB2312" w:hAnsi="仿宋_GB2312" w:eastAsia="仿宋_GB2312" w:cs="仿宋_GB2312"/>
          <w:color w:val="auto"/>
          <w:sz w:val="32"/>
          <w:szCs w:val="32"/>
          <w:lang w:eastAsia="zh-CN"/>
        </w:rPr>
        <w:t>。</w:t>
      </w:r>
    </w:p>
    <w:p w14:paraId="33BE02C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）指导交通运输行业的</w:t>
      </w:r>
      <w:r>
        <w:rPr>
          <w:rFonts w:hint="eastAsia" w:ascii="仿宋_GB2312" w:hAnsi="仿宋_GB2312" w:eastAsia="仿宋_GB2312" w:cs="仿宋_GB2312"/>
          <w:color w:val="auto"/>
          <w:sz w:val="32"/>
          <w:szCs w:val="32"/>
          <w:lang w:eastAsia="zh-CN"/>
        </w:rPr>
        <w:t>体制改革</w:t>
      </w:r>
      <w:r>
        <w:rPr>
          <w:rFonts w:hint="eastAsia" w:ascii="仿宋_GB2312" w:hAnsi="仿宋_GB2312" w:eastAsia="仿宋_GB2312" w:cs="仿宋_GB2312"/>
          <w:color w:val="auto"/>
          <w:sz w:val="32"/>
          <w:szCs w:val="32"/>
        </w:rPr>
        <w:t>；会同有关部门培育和管理道路运输市场和交通基础设施建设市场，维护全</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交通运输行业的平等竞争秩序</w:t>
      </w:r>
      <w:r>
        <w:rPr>
          <w:rFonts w:hint="eastAsia" w:ascii="仿宋_GB2312" w:hAnsi="仿宋_GB2312" w:eastAsia="仿宋_GB2312" w:cs="仿宋_GB2312"/>
          <w:color w:val="auto"/>
          <w:sz w:val="32"/>
          <w:szCs w:val="32"/>
          <w:lang w:eastAsia="zh-CN"/>
        </w:rPr>
        <w:t>。</w:t>
      </w:r>
    </w:p>
    <w:p w14:paraId="0D2E7926">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）负责并指导全</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公路交通运输行业财务、统计工作，会同有关部门拟定公路交通运输行业价格和有关方面的经济措施</w:t>
      </w:r>
      <w:r>
        <w:rPr>
          <w:rFonts w:hint="eastAsia" w:ascii="仿宋_GB2312" w:hAnsi="仿宋_GB2312" w:eastAsia="仿宋_GB2312" w:cs="仿宋_GB2312"/>
          <w:color w:val="auto"/>
          <w:sz w:val="32"/>
          <w:szCs w:val="32"/>
          <w:lang w:eastAsia="zh-CN"/>
        </w:rPr>
        <w:t>。</w:t>
      </w:r>
    </w:p>
    <w:p w14:paraId="3706DE42">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）指导交通运输行业的精神文明和职工队伍建设，会同有关部门管理全</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交通运输治安保卫工作。</w:t>
      </w:r>
    </w:p>
    <w:p w14:paraId="14D7E5A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）负责交通运输行业的</w:t>
      </w:r>
      <w:r>
        <w:rPr>
          <w:rFonts w:hint="eastAsia" w:ascii="仿宋_GB2312" w:hAnsi="仿宋_GB2312" w:eastAsia="仿宋_GB2312" w:cs="仿宋_GB2312"/>
          <w:color w:val="auto"/>
          <w:sz w:val="32"/>
          <w:szCs w:val="32"/>
          <w:lang w:eastAsia="zh-CN"/>
        </w:rPr>
        <w:t>法治宣传</w:t>
      </w:r>
      <w:r>
        <w:rPr>
          <w:rFonts w:hint="eastAsia" w:ascii="仿宋_GB2312" w:hAnsi="仿宋_GB2312" w:eastAsia="仿宋_GB2312" w:cs="仿宋_GB2312"/>
          <w:color w:val="auto"/>
          <w:sz w:val="32"/>
          <w:szCs w:val="32"/>
        </w:rPr>
        <w:t>、行政复议、行政执法和监督工作</w:t>
      </w:r>
      <w:r>
        <w:rPr>
          <w:rFonts w:hint="eastAsia" w:ascii="仿宋_GB2312" w:hAnsi="仿宋_GB2312" w:eastAsia="仿宋_GB2312" w:cs="仿宋_GB2312"/>
          <w:color w:val="auto"/>
          <w:sz w:val="32"/>
          <w:szCs w:val="32"/>
          <w:lang w:eastAsia="zh-CN"/>
        </w:rPr>
        <w:t>。</w:t>
      </w:r>
    </w:p>
    <w:p w14:paraId="339776A9">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）指导交通运输行业安全生产和应急管理工作。按规定组织协调全</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重点物资和紧急客货运输，负责</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域干线公路协调服务工作</w:t>
      </w:r>
      <w:r>
        <w:rPr>
          <w:rFonts w:hint="eastAsia" w:ascii="仿宋_GB2312" w:hAnsi="仿宋_GB2312" w:eastAsia="仿宋_GB2312" w:cs="仿宋_GB2312"/>
          <w:color w:val="auto"/>
          <w:sz w:val="32"/>
          <w:szCs w:val="32"/>
          <w:lang w:eastAsia="zh-CN"/>
        </w:rPr>
        <w:t>。</w:t>
      </w:r>
    </w:p>
    <w:p w14:paraId="3667F4CF">
      <w:pPr>
        <w:ind w:firstLine="640" w:firstLineChars="200"/>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)完成</w:t>
      </w:r>
      <w:r>
        <w:rPr>
          <w:rFonts w:hint="eastAsia" w:ascii="仿宋_GB2312" w:hAnsi="仿宋_GB2312" w:eastAsia="仿宋_GB2312" w:cs="仿宋_GB2312"/>
          <w:color w:val="auto"/>
          <w:sz w:val="32"/>
          <w:szCs w:val="32"/>
          <w:lang w:val="en-US" w:eastAsia="zh-CN"/>
        </w:rPr>
        <w:t>沙湾</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人民政府交办的其他事项。</w:t>
      </w:r>
    </w:p>
    <w:p w14:paraId="4F39C3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31238"/>
      <w:bookmarkStart w:id="7"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6"/>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7"/>
    </w:p>
    <w:p w14:paraId="2158CA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沙湾市交通运输局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p>
    <w:p w14:paraId="26027ED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行政办、公路办、运输办、执法队</w:t>
      </w:r>
      <w:r>
        <w:rPr>
          <w:rFonts w:hint="eastAsia" w:ascii="仿宋_GB2312" w:hAnsi="宋体" w:eastAsia="仿宋_GB2312" w:cs="宋体"/>
          <w:color w:val="auto"/>
          <w:kern w:val="0"/>
          <w:sz w:val="32"/>
          <w:szCs w:val="32"/>
          <w:highlight w:val="none"/>
        </w:rPr>
        <w:t>。</w:t>
      </w:r>
    </w:p>
    <w:p w14:paraId="3DDD4D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4"/>
      <w:bookmarkEnd w:id="5"/>
    </w:p>
    <w:p w14:paraId="4C3638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107837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3,369.11万元，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3,369.11万元，使用非财政拨款结余0.00万元，年初结转和结余0.00万元。</w:t>
      </w:r>
    </w:p>
    <w:p w14:paraId="0A07BD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3,369.11万元，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3,369.11万元，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32C9E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增加841.95万元</w:t>
      </w:r>
      <w:r>
        <w:rPr>
          <w:rFonts w:hint="eastAsia" w:ascii="仿宋_GB2312" w:eastAsia="仿宋_GB2312"/>
          <w:color w:val="auto"/>
          <w:spacing w:val="0"/>
          <w:sz w:val="32"/>
          <w:szCs w:val="32"/>
          <w:highlight w:val="none"/>
          <w:lang w:eastAsia="zh-CN"/>
        </w:rPr>
        <w:t>，增长33.32%，主要原因是：增加了沙温公路等工程款项目</w:t>
      </w:r>
      <w:r>
        <w:rPr>
          <w:rFonts w:hint="eastAsia" w:ascii="仿宋_GB2312" w:eastAsia="仿宋_GB2312"/>
          <w:color w:val="auto"/>
          <w:spacing w:val="0"/>
          <w:sz w:val="32"/>
          <w:szCs w:val="32"/>
          <w:highlight w:val="none"/>
          <w:lang w:val="en-US" w:eastAsia="zh-CN"/>
        </w:rPr>
        <w:t>、2015年财政一事一议项目、车购税</w:t>
      </w:r>
      <w:r>
        <w:rPr>
          <w:rFonts w:hint="eastAsia" w:ascii="仿宋_GB2312" w:eastAsia="仿宋_GB2312"/>
          <w:color w:val="auto"/>
          <w:spacing w:val="0"/>
          <w:sz w:val="32"/>
          <w:szCs w:val="32"/>
          <w:highlight w:val="none"/>
          <w:lang w:eastAsia="zh-CN"/>
        </w:rPr>
        <w:t>农村公路项目。</w:t>
      </w:r>
    </w:p>
    <w:p w14:paraId="039C3B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FF253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3,369.11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3,196.36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94.87%</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172.75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5.13%</w:t>
      </w:r>
      <w:r>
        <w:rPr>
          <w:rFonts w:hint="eastAsia" w:ascii="仿宋_GB2312" w:eastAsia="仿宋_GB2312"/>
          <w:color w:val="auto"/>
          <w:sz w:val="32"/>
          <w:szCs w:val="32"/>
          <w:highlight w:val="none"/>
        </w:rPr>
        <w:t>。</w:t>
      </w:r>
    </w:p>
    <w:p w14:paraId="625814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E519F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本年支出3,369.11万元，其中：基本支出358.26万元，占10.63%；项目支出3,010.85万元，占89.37%；上缴上级支出0.00万元，占0.00%；经营支出0.00万元，占0.00%；对附属单位补助支出0.00万元，占0.00%。</w:t>
      </w:r>
    </w:p>
    <w:p w14:paraId="165F51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4C9D6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3,196.36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3,196.36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3,196.36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3,196.36</w:t>
      </w:r>
      <w:r>
        <w:rPr>
          <w:rFonts w:hint="eastAsia" w:ascii="仿宋_GB2312" w:eastAsia="仿宋_GB2312"/>
          <w:color w:val="auto"/>
          <w:spacing w:val="0"/>
          <w:sz w:val="32"/>
          <w:szCs w:val="32"/>
          <w:highlight w:val="none"/>
          <w:lang w:eastAsia="zh-CN"/>
        </w:rPr>
        <w:t>万元。</w:t>
      </w:r>
    </w:p>
    <w:p w14:paraId="7F4747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增加1,018.45万元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增长46.76%,</w:t>
      </w:r>
      <w:r>
        <w:rPr>
          <w:rFonts w:hint="eastAsia" w:ascii="仿宋_GB2312" w:eastAsia="仿宋_GB2312"/>
          <w:color w:val="auto"/>
          <w:spacing w:val="0"/>
          <w:sz w:val="32"/>
          <w:szCs w:val="32"/>
          <w:highlight w:val="none"/>
          <w:lang w:eastAsia="zh-CN"/>
        </w:rPr>
        <w:t>主要原因是：增加了农村公路项目。与年初预算相比，年初预算数</w:t>
      </w:r>
      <w:r>
        <w:rPr>
          <w:rFonts w:hint="eastAsia" w:ascii="仿宋_GB2312" w:eastAsia="仿宋_GB2312"/>
          <w:color w:val="auto"/>
          <w:spacing w:val="0"/>
          <w:sz w:val="32"/>
          <w:szCs w:val="32"/>
          <w:highlight w:val="none"/>
          <w:lang w:val="zh-CN" w:eastAsia="zh-CN"/>
        </w:rPr>
        <w:t>1,825.08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3,196.36</w:t>
      </w:r>
      <w:r>
        <w:rPr>
          <w:rFonts w:hint="eastAsia" w:ascii="仿宋_GB2312" w:eastAsia="仿宋_GB2312"/>
          <w:color w:val="auto"/>
          <w:spacing w:val="0"/>
          <w:sz w:val="32"/>
          <w:szCs w:val="32"/>
          <w:highlight w:val="none"/>
          <w:lang w:eastAsia="zh-CN"/>
        </w:rPr>
        <w:t>万元，预决算差异率75.14%，主要原因是：追加了</w:t>
      </w:r>
      <w:r>
        <w:rPr>
          <w:rFonts w:hint="eastAsia" w:ascii="仿宋_GB2312" w:eastAsia="仿宋_GB2312"/>
          <w:color w:val="auto"/>
          <w:spacing w:val="0"/>
          <w:sz w:val="32"/>
          <w:szCs w:val="32"/>
          <w:highlight w:val="none"/>
          <w:lang w:val="en-US" w:eastAsia="zh-CN"/>
        </w:rPr>
        <w:t>车购税</w:t>
      </w:r>
      <w:r>
        <w:rPr>
          <w:rFonts w:hint="eastAsia" w:ascii="仿宋_GB2312" w:eastAsia="仿宋_GB2312"/>
          <w:color w:val="auto"/>
          <w:spacing w:val="0"/>
          <w:sz w:val="32"/>
          <w:szCs w:val="32"/>
          <w:highlight w:val="none"/>
          <w:lang w:eastAsia="zh-CN"/>
        </w:rPr>
        <w:t>农村公路项目、农村客运油价补贴及城市公交发展奖励金项目。</w:t>
      </w:r>
    </w:p>
    <w:p w14:paraId="563180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9B066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998A4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2023年度一般公共预算财政拨款支出2,845.36万元，占本年支出合计的</w:t>
      </w:r>
      <w:r>
        <w:rPr>
          <w:rFonts w:hint="eastAsia" w:ascii="仿宋_GB2312" w:eastAsia="仿宋_GB2312"/>
          <w:color w:val="auto"/>
          <w:spacing w:val="0"/>
          <w:sz w:val="32"/>
          <w:szCs w:val="32"/>
          <w:highlight w:val="none"/>
          <w:lang w:val="zh-CN" w:eastAsia="zh-CN"/>
        </w:rPr>
        <w:t>84.45%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增加852.45万元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增长42.77%,</w:t>
      </w:r>
      <w:r>
        <w:rPr>
          <w:rFonts w:hint="eastAsia" w:ascii="仿宋_GB2312" w:eastAsia="仿宋_GB2312"/>
          <w:color w:val="auto"/>
          <w:spacing w:val="0"/>
          <w:sz w:val="32"/>
          <w:szCs w:val="32"/>
          <w:highlight w:val="none"/>
          <w:lang w:eastAsia="zh-CN"/>
        </w:rPr>
        <w:t>主要原因是：增加了农村公路项目。与年初预算相比，年初预算数</w:t>
      </w:r>
      <w:r>
        <w:rPr>
          <w:rFonts w:hint="eastAsia" w:ascii="仿宋_GB2312" w:eastAsia="仿宋_GB2312"/>
          <w:color w:val="auto"/>
          <w:spacing w:val="0"/>
          <w:sz w:val="32"/>
          <w:szCs w:val="32"/>
          <w:highlight w:val="none"/>
          <w:lang w:val="zh-CN" w:eastAsia="zh-CN"/>
        </w:rPr>
        <w:t>1,286.08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2,845.36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121.24%</w:t>
      </w:r>
      <w:r>
        <w:rPr>
          <w:rFonts w:hint="eastAsia" w:ascii="仿宋_GB2312" w:eastAsia="仿宋_GB2312"/>
          <w:color w:val="auto"/>
          <w:spacing w:val="0"/>
          <w:sz w:val="32"/>
          <w:szCs w:val="32"/>
          <w:highlight w:val="none"/>
          <w:lang w:eastAsia="zh-CN"/>
        </w:rPr>
        <w:t>，主要原因是：追加了沙温公路等工程款项目</w:t>
      </w:r>
      <w:r>
        <w:rPr>
          <w:rFonts w:hint="eastAsia" w:ascii="仿宋_GB2312" w:eastAsia="仿宋_GB2312"/>
          <w:color w:val="auto"/>
          <w:spacing w:val="0"/>
          <w:sz w:val="32"/>
          <w:szCs w:val="32"/>
          <w:highlight w:val="none"/>
          <w:lang w:val="en-US" w:eastAsia="zh-CN"/>
        </w:rPr>
        <w:t>、2015年财政一事一议项目、车购税</w:t>
      </w:r>
      <w:r>
        <w:rPr>
          <w:rFonts w:hint="eastAsia" w:ascii="仿宋_GB2312" w:eastAsia="仿宋_GB2312"/>
          <w:color w:val="auto"/>
          <w:spacing w:val="0"/>
          <w:sz w:val="32"/>
          <w:szCs w:val="32"/>
          <w:highlight w:val="none"/>
          <w:lang w:eastAsia="zh-CN"/>
        </w:rPr>
        <w:t>农村公路项目。</w:t>
      </w:r>
    </w:p>
    <w:p w14:paraId="4B22963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36ACAF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47.74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1.68%</w:t>
      </w:r>
      <w:r>
        <w:rPr>
          <w:rFonts w:hint="default" w:ascii="仿宋_GB2312" w:hAnsi="Times New Roman" w:eastAsia="仿宋_GB2312" w:cs="Times New Roman"/>
          <w:color w:val="auto"/>
          <w:spacing w:val="0"/>
          <w:kern w:val="2"/>
          <w:sz w:val="32"/>
          <w:szCs w:val="32"/>
          <w:highlight w:val="none"/>
          <w:lang w:val="zh-CN" w:eastAsia="zh-CN" w:bidi="ar-SA"/>
        </w:rPr>
        <w:t>；</w:t>
      </w:r>
    </w:p>
    <w:p w14:paraId="7484572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20.54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0.72%</w:t>
      </w:r>
      <w:r>
        <w:rPr>
          <w:rFonts w:hint="default" w:ascii="仿宋_GB2312" w:hAnsi="Times New Roman" w:eastAsia="仿宋_GB2312" w:cs="Times New Roman"/>
          <w:color w:val="auto"/>
          <w:spacing w:val="0"/>
          <w:kern w:val="2"/>
          <w:sz w:val="32"/>
          <w:szCs w:val="32"/>
          <w:highlight w:val="none"/>
          <w:lang w:val="zh-CN" w:eastAsia="zh-CN" w:bidi="ar-SA"/>
        </w:rPr>
        <w:t>；</w:t>
      </w:r>
    </w:p>
    <w:p w14:paraId="170A6F8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.农林水支出（类）30.80万元，占</w:t>
      </w:r>
      <w:r>
        <w:rPr>
          <w:rFonts w:hint="eastAsia" w:ascii="仿宋_GB2312" w:eastAsia="仿宋_GB2312" w:cs="Times New Roman"/>
          <w:color w:val="auto"/>
          <w:spacing w:val="0"/>
          <w:kern w:val="2"/>
          <w:sz w:val="32"/>
          <w:szCs w:val="32"/>
          <w:highlight w:val="none"/>
          <w:lang w:val="zh-CN" w:eastAsia="zh-CN" w:bidi="ar-SA"/>
        </w:rPr>
        <w:t>1.08%</w:t>
      </w:r>
      <w:r>
        <w:rPr>
          <w:rFonts w:hint="default" w:ascii="仿宋_GB2312" w:hAnsi="Times New Roman" w:eastAsia="仿宋_GB2312" w:cs="Times New Roman"/>
          <w:color w:val="auto"/>
          <w:spacing w:val="0"/>
          <w:kern w:val="2"/>
          <w:sz w:val="32"/>
          <w:szCs w:val="32"/>
          <w:highlight w:val="none"/>
          <w:lang w:val="zh-CN" w:eastAsia="zh-CN" w:bidi="ar-SA"/>
        </w:rPr>
        <w:t>；</w:t>
      </w:r>
    </w:p>
    <w:p w14:paraId="7799A71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.交通运输支出（类）</w:t>
      </w:r>
      <w:r>
        <w:rPr>
          <w:rFonts w:hint="eastAsia" w:ascii="仿宋_GB2312" w:hAnsi="Times New Roman" w:eastAsia="仿宋_GB2312" w:cs="Times New Roman"/>
          <w:color w:val="auto"/>
          <w:spacing w:val="0"/>
          <w:kern w:val="2"/>
          <w:sz w:val="32"/>
          <w:szCs w:val="32"/>
          <w:highlight w:val="none"/>
          <w:lang w:val="zh-CN" w:eastAsia="zh-CN" w:bidi="ar-SA"/>
        </w:rPr>
        <w:t>2,714.93</w:t>
      </w:r>
      <w:r>
        <w:rPr>
          <w:rFonts w:hint="default" w:ascii="仿宋_GB2312" w:hAnsi="Times New Roman" w:eastAsia="仿宋_GB2312" w:cs="Times New Roman"/>
          <w:color w:val="auto"/>
          <w:spacing w:val="0"/>
          <w:kern w:val="2"/>
          <w:sz w:val="32"/>
          <w:szCs w:val="32"/>
          <w:highlight w:val="none"/>
          <w:lang w:val="zh-CN" w:eastAsia="zh-CN" w:bidi="ar-SA"/>
        </w:rPr>
        <w:t xml:space="preserve">万元，占 </w:t>
      </w:r>
      <w:r>
        <w:rPr>
          <w:rFonts w:hint="eastAsia" w:ascii="仿宋_GB2312" w:eastAsia="仿宋_GB2312" w:cs="Times New Roman"/>
          <w:color w:val="auto"/>
          <w:spacing w:val="0"/>
          <w:kern w:val="2"/>
          <w:sz w:val="32"/>
          <w:szCs w:val="32"/>
          <w:highlight w:val="none"/>
          <w:lang w:val="zh-CN" w:eastAsia="zh-CN" w:bidi="ar-SA"/>
        </w:rPr>
        <w:t>95.42%</w:t>
      </w:r>
      <w:r>
        <w:rPr>
          <w:rFonts w:hint="default" w:ascii="仿宋_GB2312" w:hAnsi="Times New Roman" w:eastAsia="仿宋_GB2312" w:cs="Times New Roman"/>
          <w:color w:val="auto"/>
          <w:spacing w:val="0"/>
          <w:kern w:val="2"/>
          <w:sz w:val="32"/>
          <w:szCs w:val="32"/>
          <w:highlight w:val="none"/>
          <w:lang w:val="zh-CN" w:eastAsia="zh-CN" w:bidi="ar-SA"/>
        </w:rPr>
        <w:t>；</w:t>
      </w:r>
    </w:p>
    <w:p w14:paraId="2A49412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0.85%</w:t>
      </w:r>
      <w:r>
        <w:rPr>
          <w:rFonts w:hint="default" w:ascii="仿宋_GB2312" w:hAnsi="Times New Roman" w:eastAsia="仿宋_GB2312" w:cs="Times New Roman"/>
          <w:color w:val="auto"/>
          <w:spacing w:val="0"/>
          <w:kern w:val="2"/>
          <w:sz w:val="32"/>
          <w:szCs w:val="32"/>
          <w:highlight w:val="none"/>
          <w:lang w:val="zh-CN" w:eastAsia="zh-CN" w:bidi="ar-SA"/>
        </w:rPr>
        <w:t>；</w:t>
      </w:r>
    </w:p>
    <w:p w14:paraId="352842F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7.23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0.25%</w:t>
      </w:r>
      <w:r>
        <w:rPr>
          <w:rFonts w:hint="default" w:ascii="仿宋_GB2312" w:hAnsi="Times New Roman" w:eastAsia="仿宋_GB2312" w:cs="Times New Roman"/>
          <w:color w:val="auto"/>
          <w:spacing w:val="0"/>
          <w:kern w:val="2"/>
          <w:sz w:val="32"/>
          <w:szCs w:val="32"/>
          <w:highlight w:val="none"/>
          <w:lang w:val="zh-CN" w:eastAsia="zh-CN" w:bidi="ar-SA"/>
        </w:rPr>
        <w:t>；</w:t>
      </w:r>
    </w:p>
    <w:p w14:paraId="556800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8665F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1.卫生健康支出（类）行政事业单位医疗（款）行政单位医疗（项）:支出决算数为9.76万元，比上年决算减少2.72万元，下降21.79%，主要原因是：2023年行政人员退休、人员调出，致使行政单位医疗比上年决算数下降</w:t>
      </w:r>
      <w:r>
        <w:rPr>
          <w:rFonts w:hint="eastAsia" w:ascii="仿宋_GB2312" w:hAnsi="仿宋_GB2312" w:eastAsia="仿宋_GB2312" w:cs="仿宋_GB2312"/>
          <w:color w:val="auto"/>
          <w:kern w:val="2"/>
          <w:sz w:val="32"/>
          <w:szCs w:val="32"/>
          <w:highlight w:val="none"/>
          <w:lang w:val="zh-CN" w:eastAsia="zh-CN" w:bidi="ar-SA"/>
        </w:rPr>
        <w:t>。</w:t>
      </w:r>
    </w:p>
    <w:p w14:paraId="6B499A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2.卫生健康支出（类）行政事业单位医疗（款）事业单位医疗（项）:支出决算数为3.23万元，比上年决算减少0.94万元，下降22.54%，主要原因是：基本医疗比例调整，事业单位医疗比上年决算数下降</w:t>
      </w:r>
      <w:r>
        <w:rPr>
          <w:rFonts w:hint="eastAsia" w:ascii="仿宋_GB2312" w:hAnsi="仿宋_GB2312" w:eastAsia="仿宋_GB2312" w:cs="仿宋_GB2312"/>
          <w:color w:val="auto"/>
          <w:kern w:val="2"/>
          <w:sz w:val="32"/>
          <w:szCs w:val="32"/>
          <w:highlight w:val="none"/>
          <w:lang w:val="zh-CN" w:eastAsia="zh-CN" w:bidi="ar-SA"/>
        </w:rPr>
        <w:t>。</w:t>
      </w:r>
    </w:p>
    <w:p w14:paraId="75ACA8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3.卫生健康支出（类）公共卫生（款）突发公共卫生事件应急处理（项）:支出决算数为3.00万元，比上年决算减少2.00万元，下降40.00%，主要原因是：</w:t>
      </w:r>
      <w:r>
        <w:rPr>
          <w:rFonts w:hint="eastAsia" w:ascii="仿宋_GB2312" w:hAnsi="仿宋_GB2312" w:eastAsia="仿宋_GB2312" w:cs="仿宋_GB2312"/>
          <w:color w:val="auto"/>
          <w:kern w:val="2"/>
          <w:sz w:val="32"/>
          <w:szCs w:val="32"/>
          <w:highlight w:val="none"/>
          <w:lang w:val="zh-CN" w:eastAsia="zh-CN" w:bidi="ar-SA"/>
        </w:rPr>
        <w:t>减少消杀暖房变压器项目，</w:t>
      </w:r>
      <w:r>
        <w:rPr>
          <w:rFonts w:hint="eastAsia" w:ascii="仿宋_GB2312" w:hAnsi="仿宋_GB2312" w:eastAsia="仿宋_GB2312" w:cs="仿宋_GB2312"/>
          <w:color w:val="auto"/>
          <w:kern w:val="2"/>
          <w:sz w:val="32"/>
          <w:szCs w:val="32"/>
          <w:highlight w:val="none"/>
          <w:lang w:val="en-US" w:eastAsia="zh-CN" w:bidi="ar-SA"/>
        </w:rPr>
        <w:t>突发公共卫生事件应急处理支出降低</w:t>
      </w:r>
      <w:r>
        <w:rPr>
          <w:rFonts w:hint="eastAsia" w:ascii="仿宋_GB2312" w:hAnsi="仿宋_GB2312" w:eastAsia="仿宋_GB2312" w:cs="仿宋_GB2312"/>
          <w:color w:val="auto"/>
          <w:kern w:val="2"/>
          <w:sz w:val="32"/>
          <w:szCs w:val="32"/>
          <w:highlight w:val="none"/>
          <w:lang w:val="zh-CN" w:eastAsia="zh-CN" w:bidi="ar-SA"/>
        </w:rPr>
        <w:t>。</w:t>
      </w:r>
    </w:p>
    <w:p w14:paraId="655A95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4.卫生健康支出（类）行政事业单位医疗（款）公务员医疗补助（项）:支出决算数为4.56万元，比上年决算减少1.68万元，下降26.92%，主要原因是：行政人员退休及人员调出，公务员医疗补助较上年下降</w:t>
      </w:r>
      <w:r>
        <w:rPr>
          <w:rFonts w:hint="eastAsia" w:ascii="仿宋_GB2312" w:hAnsi="仿宋_GB2312" w:eastAsia="仿宋_GB2312" w:cs="仿宋_GB2312"/>
          <w:color w:val="auto"/>
          <w:kern w:val="2"/>
          <w:sz w:val="32"/>
          <w:szCs w:val="32"/>
          <w:highlight w:val="none"/>
          <w:lang w:val="zh-CN" w:eastAsia="zh-CN" w:bidi="ar-SA"/>
        </w:rPr>
        <w:t>。</w:t>
      </w:r>
    </w:p>
    <w:p w14:paraId="0EB7E6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5.农林水支出（类）农村综合改革（款）对村级公益事业建设的补助（项）:支出决算数为30.80万元，比上年决算增加30.80万元，增长100%，主要原因是：本年</w:t>
      </w:r>
      <w:r>
        <w:rPr>
          <w:rFonts w:hint="eastAsia" w:ascii="仿宋_GB2312" w:hAnsi="仿宋_GB2312" w:eastAsia="仿宋_GB2312" w:cs="仿宋_GB2312"/>
          <w:color w:val="auto"/>
          <w:kern w:val="2"/>
          <w:sz w:val="32"/>
          <w:szCs w:val="32"/>
          <w:highlight w:val="none"/>
          <w:lang w:val="zh-CN" w:eastAsia="zh-CN" w:bidi="ar-SA"/>
        </w:rPr>
        <w:t>增加</w:t>
      </w:r>
      <w:r>
        <w:rPr>
          <w:rFonts w:hint="eastAsia" w:ascii="仿宋_GB2312" w:hAnsi="仿宋_GB2312" w:eastAsia="仿宋_GB2312" w:cs="仿宋_GB2312"/>
          <w:color w:val="auto"/>
          <w:kern w:val="2"/>
          <w:sz w:val="32"/>
          <w:szCs w:val="32"/>
          <w:highlight w:val="none"/>
          <w:lang w:val="en-US" w:eastAsia="zh-CN" w:bidi="ar-SA"/>
        </w:rPr>
        <w:t>2015年财政“一事一议”惠民生道路建设项目，增加对村级公益事业公路建设的补助支出</w:t>
      </w:r>
      <w:r>
        <w:rPr>
          <w:rFonts w:hint="eastAsia" w:ascii="仿宋_GB2312" w:hAnsi="仿宋_GB2312" w:eastAsia="仿宋_GB2312" w:cs="仿宋_GB2312"/>
          <w:color w:val="auto"/>
          <w:kern w:val="2"/>
          <w:sz w:val="32"/>
          <w:szCs w:val="32"/>
          <w:highlight w:val="none"/>
          <w:lang w:val="zh-CN" w:eastAsia="zh-CN" w:bidi="ar-SA"/>
        </w:rPr>
        <w:t>。</w:t>
      </w:r>
    </w:p>
    <w:p w14:paraId="6E7928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6.住房保障支出（类）住房改革支出（款）住房公积金（项）:支出决算数为24.12万元，比上年决算增加1.89万元，增长8.50%，主要原因是：人员增加以及基数调整，住房公积金较上年增加</w:t>
      </w:r>
      <w:r>
        <w:rPr>
          <w:rFonts w:hint="eastAsia" w:ascii="仿宋_GB2312" w:hAnsi="仿宋_GB2312" w:eastAsia="仿宋_GB2312" w:cs="仿宋_GB2312"/>
          <w:color w:val="auto"/>
          <w:kern w:val="2"/>
          <w:sz w:val="32"/>
          <w:szCs w:val="32"/>
          <w:highlight w:val="none"/>
          <w:lang w:val="zh-CN" w:eastAsia="zh-CN" w:bidi="ar-SA"/>
        </w:rPr>
        <w:t>。</w:t>
      </w:r>
    </w:p>
    <w:p w14:paraId="04D2D7B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7.社会保障和就业支出（类）行政事业单位养老支出（款）事业单位离退休（项）:支出决算数为0.35万元，比上年决算减少1.05万元，下降75.00%，主要原因是：2022年退休人员取暖费在该科目列支</w:t>
      </w:r>
      <w:r>
        <w:rPr>
          <w:rFonts w:hint="eastAsia" w:ascii="仿宋_GB2312" w:hAnsi="仿宋_GB2312" w:eastAsia="仿宋_GB2312" w:cs="仿宋_GB2312"/>
          <w:color w:val="auto"/>
          <w:kern w:val="2"/>
          <w:sz w:val="32"/>
          <w:szCs w:val="32"/>
          <w:highlight w:val="none"/>
          <w:lang w:val="zh-CN" w:eastAsia="zh-CN" w:bidi="ar-SA"/>
        </w:rPr>
        <w:t>，使</w:t>
      </w:r>
      <w:r>
        <w:rPr>
          <w:rFonts w:hint="eastAsia" w:ascii="仿宋_GB2312" w:hAnsi="仿宋_GB2312" w:eastAsia="仿宋_GB2312" w:cs="仿宋_GB2312"/>
          <w:color w:val="auto"/>
          <w:kern w:val="2"/>
          <w:sz w:val="32"/>
          <w:szCs w:val="32"/>
          <w:highlight w:val="none"/>
          <w:lang w:val="en-US" w:eastAsia="zh-CN" w:bidi="ar-SA"/>
        </w:rPr>
        <w:t>2023年该科目事业退休人员支出下降</w:t>
      </w:r>
      <w:r>
        <w:rPr>
          <w:rFonts w:hint="eastAsia" w:ascii="仿宋_GB2312" w:hAnsi="仿宋_GB2312" w:eastAsia="仿宋_GB2312" w:cs="仿宋_GB2312"/>
          <w:color w:val="auto"/>
          <w:kern w:val="2"/>
          <w:sz w:val="32"/>
          <w:szCs w:val="32"/>
          <w:highlight w:val="none"/>
          <w:lang w:val="zh-CN" w:eastAsia="zh-CN" w:bidi="ar-SA"/>
        </w:rPr>
        <w:t>。</w:t>
      </w:r>
    </w:p>
    <w:p w14:paraId="1F527D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8.社会保障和就业支出（类）行政事业单位养老支出（款）行政单位离退休（项）:支出决算数为4.56万元，比上年决算增加3.34万元，增长273.77%，主要原因是：</w:t>
      </w:r>
      <w:r>
        <w:rPr>
          <w:rFonts w:hint="eastAsia" w:ascii="仿宋_GB2312" w:hAnsi="仿宋_GB2312" w:eastAsia="仿宋_GB2312" w:cs="仿宋_GB2312"/>
          <w:color w:val="auto"/>
          <w:kern w:val="2"/>
          <w:sz w:val="32"/>
          <w:szCs w:val="32"/>
          <w:highlight w:val="none"/>
          <w:lang w:val="zh-CN" w:eastAsia="zh-CN" w:bidi="ar-SA"/>
        </w:rPr>
        <w:t>补发</w:t>
      </w:r>
      <w:r>
        <w:rPr>
          <w:rFonts w:hint="eastAsia" w:ascii="仿宋_GB2312" w:hAnsi="仿宋_GB2312" w:eastAsia="仿宋_GB2312" w:cs="仿宋_GB2312"/>
          <w:color w:val="auto"/>
          <w:kern w:val="2"/>
          <w:sz w:val="32"/>
          <w:szCs w:val="32"/>
          <w:highlight w:val="none"/>
          <w:lang w:val="en-US" w:eastAsia="zh-CN" w:bidi="ar-SA"/>
        </w:rPr>
        <w:t>2022年退休人员增资、增加退休人员1人，相应行政单位离退休支出增加</w:t>
      </w:r>
      <w:r>
        <w:rPr>
          <w:rFonts w:hint="eastAsia" w:ascii="仿宋_GB2312" w:hAnsi="仿宋_GB2312" w:eastAsia="仿宋_GB2312" w:cs="仿宋_GB2312"/>
          <w:color w:val="auto"/>
          <w:kern w:val="2"/>
          <w:sz w:val="32"/>
          <w:szCs w:val="32"/>
          <w:highlight w:val="none"/>
          <w:lang w:val="zh-CN" w:eastAsia="zh-CN" w:bidi="ar-SA"/>
        </w:rPr>
        <w:t>。</w:t>
      </w:r>
    </w:p>
    <w:p w14:paraId="7616FD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9.社会保障和就业支出（类）行政事业单位养老支出（款）机关事业单位职业年金缴费支出（项）:支出决算数为12.37万元，比上年决算减少9.19万元，下降42.63%，主要原因是：减少2022年</w:t>
      </w:r>
      <w:r>
        <w:rPr>
          <w:rFonts w:hint="eastAsia" w:ascii="仿宋_GB2312" w:hAnsi="仿宋_GB2312" w:eastAsia="仿宋_GB2312" w:cs="仿宋_GB2312"/>
          <w:color w:val="auto"/>
          <w:kern w:val="2"/>
          <w:sz w:val="32"/>
          <w:szCs w:val="32"/>
          <w:highlight w:val="none"/>
          <w:lang w:val="zh-CN" w:eastAsia="zh-CN" w:bidi="ar-SA"/>
        </w:rPr>
        <w:t>交通运输综合行政执法改革涉改人员职业年金记实支出，</w:t>
      </w:r>
      <w:r>
        <w:rPr>
          <w:rFonts w:hint="eastAsia" w:ascii="仿宋_GB2312" w:hAnsi="仿宋_GB2312" w:eastAsia="仿宋_GB2312" w:cs="仿宋_GB2312"/>
          <w:color w:val="auto"/>
          <w:kern w:val="2"/>
          <w:sz w:val="32"/>
          <w:szCs w:val="32"/>
          <w:highlight w:val="none"/>
          <w:lang w:val="en-US" w:eastAsia="zh-CN" w:bidi="ar-SA"/>
        </w:rPr>
        <w:t>职业年金支出减少</w:t>
      </w:r>
      <w:r>
        <w:rPr>
          <w:rFonts w:hint="eastAsia" w:ascii="仿宋_GB2312" w:hAnsi="仿宋_GB2312" w:eastAsia="仿宋_GB2312" w:cs="仿宋_GB2312"/>
          <w:color w:val="auto"/>
          <w:kern w:val="2"/>
          <w:sz w:val="32"/>
          <w:szCs w:val="32"/>
          <w:highlight w:val="none"/>
          <w:lang w:val="zh-CN" w:eastAsia="zh-CN" w:bidi="ar-SA"/>
        </w:rPr>
        <w:t>。</w:t>
      </w:r>
    </w:p>
    <w:p w14:paraId="075145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10.社会保障和就业支出（类）行政事业单位养老支出（款）机关事业单位基本养老保险缴费支出（项）:支出决算数为30.47万元，比上年决算增加5.72万元，增长23.11%，主要原因是：人员</w:t>
      </w:r>
      <w:r>
        <w:rPr>
          <w:rFonts w:hint="eastAsia" w:ascii="仿宋_GB2312" w:hAnsi="仿宋_GB2312" w:eastAsia="仿宋_GB2312" w:cs="仿宋_GB2312"/>
          <w:color w:val="auto"/>
          <w:kern w:val="2"/>
          <w:sz w:val="32"/>
          <w:szCs w:val="32"/>
          <w:highlight w:val="none"/>
          <w:lang w:val="zh-CN" w:eastAsia="zh-CN" w:bidi="ar-SA"/>
        </w:rPr>
        <w:t>增加以及基数调整，</w:t>
      </w:r>
      <w:r>
        <w:rPr>
          <w:rFonts w:hint="eastAsia" w:ascii="仿宋_GB2312" w:hAnsi="仿宋_GB2312" w:eastAsia="仿宋_GB2312" w:cs="仿宋_GB2312"/>
          <w:color w:val="auto"/>
          <w:kern w:val="2"/>
          <w:sz w:val="32"/>
          <w:szCs w:val="32"/>
          <w:highlight w:val="none"/>
          <w:lang w:val="en-US" w:eastAsia="zh-CN" w:bidi="ar-SA"/>
        </w:rPr>
        <w:t>基本养老保险支出较上年增加</w:t>
      </w:r>
      <w:r>
        <w:rPr>
          <w:rFonts w:hint="eastAsia" w:ascii="仿宋_GB2312" w:hAnsi="仿宋_GB2312" w:eastAsia="仿宋_GB2312" w:cs="仿宋_GB2312"/>
          <w:color w:val="auto"/>
          <w:kern w:val="2"/>
          <w:sz w:val="32"/>
          <w:szCs w:val="32"/>
          <w:highlight w:val="none"/>
          <w:lang w:val="zh-CN" w:eastAsia="zh-CN" w:bidi="ar-SA"/>
        </w:rPr>
        <w:t>。</w:t>
      </w:r>
    </w:p>
    <w:p w14:paraId="678D78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11.交通运输支出（类）公路水路运输（款）一般行政管理事务（项）:支出决算数为23.23万元，比上年决算增加23.23万元，增长100%，主要原因是：</w:t>
      </w:r>
      <w:r>
        <w:rPr>
          <w:rFonts w:hint="eastAsia" w:ascii="仿宋_GB2312" w:hAnsi="仿宋_GB2312" w:eastAsia="仿宋_GB2312" w:cs="仿宋_GB2312"/>
          <w:color w:val="auto"/>
          <w:kern w:val="2"/>
          <w:sz w:val="32"/>
          <w:szCs w:val="32"/>
          <w:highlight w:val="none"/>
          <w:lang w:val="zh-CN" w:eastAsia="zh-CN" w:bidi="ar-SA"/>
        </w:rPr>
        <w:t>增加沙温公路</w:t>
      </w:r>
      <w:r>
        <w:rPr>
          <w:rFonts w:hint="eastAsia" w:ascii="仿宋_GB2312" w:hAnsi="仿宋_GB2312" w:eastAsia="仿宋_GB2312" w:cs="仿宋_GB2312"/>
          <w:color w:val="auto"/>
          <w:kern w:val="2"/>
          <w:sz w:val="32"/>
          <w:szCs w:val="32"/>
          <w:highlight w:val="none"/>
          <w:lang w:val="en-US" w:eastAsia="zh-CN" w:bidi="ar-SA"/>
        </w:rPr>
        <w:t>代理</w:t>
      </w:r>
      <w:r>
        <w:rPr>
          <w:rFonts w:hint="eastAsia" w:ascii="仿宋_GB2312" w:hAnsi="仿宋_GB2312" w:eastAsia="仿宋_GB2312" w:cs="仿宋_GB2312"/>
          <w:color w:val="auto"/>
          <w:kern w:val="2"/>
          <w:sz w:val="32"/>
          <w:szCs w:val="32"/>
          <w:highlight w:val="none"/>
          <w:lang w:val="zh-CN" w:eastAsia="zh-CN" w:bidi="ar-SA"/>
        </w:rPr>
        <w:t>费项目资金，</w:t>
      </w:r>
      <w:r>
        <w:rPr>
          <w:rFonts w:hint="eastAsia" w:ascii="仿宋_GB2312" w:hAnsi="仿宋_GB2312" w:eastAsia="仿宋_GB2312" w:cs="仿宋_GB2312"/>
          <w:color w:val="auto"/>
          <w:kern w:val="2"/>
          <w:sz w:val="32"/>
          <w:szCs w:val="32"/>
          <w:highlight w:val="none"/>
          <w:lang w:val="en-US" w:eastAsia="zh-CN" w:bidi="ar-SA"/>
        </w:rPr>
        <w:t>新增一般行政管理事务功能科目</w:t>
      </w:r>
      <w:r>
        <w:rPr>
          <w:rFonts w:hint="eastAsia" w:ascii="仿宋_GB2312" w:hAnsi="仿宋_GB2312" w:eastAsia="仿宋_GB2312" w:cs="仿宋_GB2312"/>
          <w:color w:val="auto"/>
          <w:kern w:val="2"/>
          <w:sz w:val="32"/>
          <w:szCs w:val="32"/>
          <w:highlight w:val="none"/>
          <w:lang w:val="zh-CN" w:eastAsia="zh-CN" w:bidi="ar-SA"/>
        </w:rPr>
        <w:t>。</w:t>
      </w:r>
    </w:p>
    <w:p w14:paraId="4F413E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交通运输支出（类）公路水路运输（款）公路建设（项）:支出决算数为35.06万元，比上年决算增加6.26万元，增长21.74%，主要原因是：增加S101线勘界费、东湾镇傢什窑耕地占用税、2015年监理项目，使公路建设功能科目支出</w:t>
      </w:r>
      <w:r>
        <w:rPr>
          <w:rFonts w:hint="eastAsia" w:ascii="仿宋_GB2312" w:hAnsi="仿宋_GB2312" w:eastAsia="仿宋_GB2312" w:cs="仿宋_GB2312"/>
          <w:color w:val="auto"/>
          <w:kern w:val="2"/>
          <w:sz w:val="32"/>
          <w:szCs w:val="32"/>
          <w:highlight w:val="none"/>
          <w:lang w:val="zh-CN" w:eastAsia="zh-CN" w:bidi="ar-SA"/>
        </w:rPr>
        <w:t>增长。</w:t>
      </w:r>
    </w:p>
    <w:p w14:paraId="0B9DE7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13.交通运输支出（类）公路水路运输（款）公路养护（项）:支出决算数为259.54万元，比上年决算减少111.28万元，下降30.01%，主要原因是：</w:t>
      </w:r>
      <w:r>
        <w:rPr>
          <w:rFonts w:hint="eastAsia" w:ascii="仿宋_GB2312" w:hAnsi="仿宋_GB2312" w:eastAsia="仿宋_GB2312" w:cs="仿宋_GB2312"/>
          <w:color w:val="auto"/>
          <w:kern w:val="2"/>
          <w:sz w:val="32"/>
          <w:szCs w:val="32"/>
          <w:highlight w:val="none"/>
          <w:lang w:val="zh-CN" w:eastAsia="zh-CN" w:bidi="ar-SA"/>
        </w:rPr>
        <w:t>减少农村公路养护项目，使本年</w:t>
      </w:r>
      <w:r>
        <w:rPr>
          <w:rFonts w:hint="eastAsia" w:ascii="仿宋_GB2312" w:hAnsi="仿宋_GB2312" w:eastAsia="仿宋_GB2312" w:cs="仿宋_GB2312"/>
          <w:color w:val="auto"/>
          <w:kern w:val="2"/>
          <w:sz w:val="32"/>
          <w:szCs w:val="32"/>
          <w:highlight w:val="none"/>
          <w:lang w:val="en-US" w:eastAsia="zh-CN" w:bidi="ar-SA"/>
        </w:rPr>
        <w:t>公路养护支出下降</w:t>
      </w:r>
      <w:r>
        <w:rPr>
          <w:rFonts w:hint="eastAsia" w:ascii="仿宋_GB2312" w:hAnsi="仿宋_GB2312" w:eastAsia="仿宋_GB2312" w:cs="仿宋_GB2312"/>
          <w:color w:val="auto"/>
          <w:kern w:val="2"/>
          <w:sz w:val="32"/>
          <w:szCs w:val="32"/>
          <w:highlight w:val="none"/>
          <w:lang w:val="zh-CN" w:eastAsia="zh-CN" w:bidi="ar-SA"/>
        </w:rPr>
        <w:t>。</w:t>
      </w:r>
    </w:p>
    <w:p w14:paraId="6F34FE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交通运输支出（类）车辆购置税支出（款）车辆购置税用于公路等基础设施建设支出（项）:支出决算数为80.00万元，比上年决算增加80.00万元，增长100%，主要原因是：增加车购税公路建设项目，新增车辆购置税用于公路等基础设施建设支出款项</w:t>
      </w:r>
      <w:r>
        <w:rPr>
          <w:rFonts w:hint="eastAsia" w:ascii="仿宋_GB2312" w:hAnsi="仿宋_GB2312" w:eastAsia="仿宋_GB2312" w:cs="仿宋_GB2312"/>
          <w:color w:val="auto"/>
          <w:kern w:val="2"/>
          <w:sz w:val="32"/>
          <w:szCs w:val="32"/>
          <w:highlight w:val="none"/>
          <w:lang w:val="zh-CN" w:eastAsia="zh-CN" w:bidi="ar-SA"/>
        </w:rPr>
        <w:t>。</w:t>
      </w:r>
    </w:p>
    <w:p w14:paraId="621910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交通运输支出（类）车辆购置税支出（款）车辆购置税用于农村公路建设支出（项）:支出决算数为1,468.66万元，比上年决算增加864.28万元，增长143.00%，主要原因是：增加车购税公路建设项目，使车辆购置税用于农村公路建设支出增长</w:t>
      </w:r>
      <w:r>
        <w:rPr>
          <w:rFonts w:hint="eastAsia" w:ascii="仿宋_GB2312" w:hAnsi="仿宋_GB2312" w:eastAsia="仿宋_GB2312" w:cs="仿宋_GB2312"/>
          <w:color w:val="auto"/>
          <w:kern w:val="2"/>
          <w:sz w:val="32"/>
          <w:szCs w:val="32"/>
          <w:highlight w:val="none"/>
          <w:lang w:val="zh-CN" w:eastAsia="zh-CN" w:bidi="ar-SA"/>
        </w:rPr>
        <w:t>。</w:t>
      </w:r>
    </w:p>
    <w:p w14:paraId="1116C4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16.交通运输支出（类）邮政业支出（款）邮政普遍服务与特殊服务（项）:支出决算数为1.80万元，比上年决算增加0.00万元，增长0.00%，主要原因是：</w:t>
      </w:r>
      <w:r>
        <w:rPr>
          <w:rFonts w:hint="eastAsia" w:ascii="仿宋_GB2312" w:hAnsi="仿宋_GB2312" w:eastAsia="仿宋_GB2312" w:cs="仿宋_GB2312"/>
          <w:color w:val="auto"/>
          <w:kern w:val="2"/>
          <w:sz w:val="32"/>
          <w:szCs w:val="32"/>
          <w:highlight w:val="none"/>
          <w:lang w:val="zh-CN" w:eastAsia="zh-CN" w:bidi="ar-SA"/>
        </w:rPr>
        <w:t>新增农牧区投递员补贴项目，增加</w:t>
      </w:r>
      <w:r>
        <w:rPr>
          <w:rFonts w:hint="eastAsia" w:ascii="仿宋_GB2312" w:hAnsi="仿宋_GB2312" w:eastAsia="仿宋_GB2312" w:cs="仿宋_GB2312"/>
          <w:color w:val="auto"/>
          <w:kern w:val="2"/>
          <w:sz w:val="32"/>
          <w:szCs w:val="32"/>
          <w:highlight w:val="none"/>
          <w:lang w:val="en-US" w:eastAsia="zh-CN" w:bidi="ar-SA"/>
        </w:rPr>
        <w:t>邮政普遍服务与特殊服务支出款项</w:t>
      </w:r>
      <w:r>
        <w:rPr>
          <w:rFonts w:hint="eastAsia" w:ascii="仿宋_GB2312" w:hAnsi="仿宋_GB2312" w:eastAsia="仿宋_GB2312" w:cs="仿宋_GB2312"/>
          <w:color w:val="auto"/>
          <w:kern w:val="2"/>
          <w:sz w:val="32"/>
          <w:szCs w:val="32"/>
          <w:highlight w:val="none"/>
          <w:lang w:val="zh-CN" w:eastAsia="zh-CN" w:bidi="ar-SA"/>
        </w:rPr>
        <w:t>。</w:t>
      </w:r>
    </w:p>
    <w:p w14:paraId="59B178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17.交通运输支出（类）其他交通运输支出（款）公共交通运营补助（项）:支出决算数为577.78万元，比上年决算增加364.78万元，增长171.26%，主要原因是：</w:t>
      </w:r>
      <w:r>
        <w:rPr>
          <w:rFonts w:hint="eastAsia" w:ascii="仿宋_GB2312" w:hAnsi="仿宋_GB2312" w:eastAsia="仿宋_GB2312" w:cs="仿宋_GB2312"/>
          <w:color w:val="auto"/>
          <w:kern w:val="2"/>
          <w:sz w:val="32"/>
          <w:szCs w:val="32"/>
          <w:highlight w:val="none"/>
          <w:lang w:val="zh-CN" w:eastAsia="zh-CN" w:bidi="ar-SA"/>
        </w:rPr>
        <w:t>增加农村客运油价补贴资金项目，使</w:t>
      </w:r>
      <w:r>
        <w:rPr>
          <w:rFonts w:hint="eastAsia" w:ascii="仿宋_GB2312" w:hAnsi="仿宋_GB2312" w:eastAsia="仿宋_GB2312" w:cs="仿宋_GB2312"/>
          <w:color w:val="auto"/>
          <w:kern w:val="2"/>
          <w:sz w:val="32"/>
          <w:szCs w:val="32"/>
          <w:highlight w:val="none"/>
          <w:lang w:val="en-US" w:eastAsia="zh-CN" w:bidi="ar-SA"/>
        </w:rPr>
        <w:t>公共交通运营补助支出增长</w:t>
      </w:r>
      <w:r>
        <w:rPr>
          <w:rFonts w:hint="eastAsia" w:ascii="仿宋_GB2312" w:hAnsi="仿宋_GB2312" w:eastAsia="仿宋_GB2312" w:cs="仿宋_GB2312"/>
          <w:color w:val="auto"/>
          <w:kern w:val="2"/>
          <w:sz w:val="32"/>
          <w:szCs w:val="32"/>
          <w:highlight w:val="none"/>
          <w:lang w:val="zh-CN" w:eastAsia="zh-CN" w:bidi="ar-SA"/>
        </w:rPr>
        <w:t>。</w:t>
      </w:r>
    </w:p>
    <w:p w14:paraId="38A0AB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18.交通运输支出（类）公路水路运输（款）其他公路水路运输支出（项）:支出决算数为63.39万元，比上年决算增加63.39万元，增长100%，主要原因是：2023年新增其他公路水路运输支出科目，主要列支事业人员支出</w:t>
      </w:r>
      <w:r>
        <w:rPr>
          <w:rFonts w:hint="eastAsia" w:ascii="仿宋_GB2312" w:hAnsi="仿宋_GB2312" w:eastAsia="仿宋_GB2312" w:cs="仿宋_GB2312"/>
          <w:color w:val="auto"/>
          <w:kern w:val="2"/>
          <w:sz w:val="32"/>
          <w:szCs w:val="32"/>
          <w:highlight w:val="none"/>
          <w:lang w:val="zh-CN" w:eastAsia="zh-CN" w:bidi="ar-SA"/>
        </w:rPr>
        <w:t>。</w:t>
      </w:r>
    </w:p>
    <w:p w14:paraId="125100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19.其他支出（类）其他支出（款）其他支出（项）:支出决算数为7.23万元，比上年决算增加1.67万元，增长30.04%，主要原因是：增加</w:t>
      </w:r>
      <w:r>
        <w:rPr>
          <w:rFonts w:hint="eastAsia" w:ascii="仿宋_GB2312" w:hAnsi="仿宋_GB2312" w:eastAsia="仿宋_GB2312" w:cs="仿宋_GB2312"/>
          <w:color w:val="auto"/>
          <w:kern w:val="2"/>
          <w:sz w:val="32"/>
          <w:szCs w:val="32"/>
          <w:highlight w:val="none"/>
          <w:lang w:val="zh-CN" w:eastAsia="zh-CN" w:bidi="ar-SA"/>
        </w:rPr>
        <w:t>列支往年“为民办实事”项目。</w:t>
      </w:r>
    </w:p>
    <w:p w14:paraId="74D927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20.交通运输支出（类）公路水路运输（款）行政运行（项）:支出决算数为205.47万元，比上年决算减少46.08万元，下降18.32%，主要原因是：减少2023年</w:t>
      </w:r>
      <w:r>
        <w:rPr>
          <w:rFonts w:hint="eastAsia" w:ascii="仿宋_GB2312" w:hAnsi="仿宋_GB2312" w:eastAsia="仿宋_GB2312" w:cs="仿宋_GB2312"/>
          <w:color w:val="auto"/>
          <w:kern w:val="2"/>
          <w:sz w:val="32"/>
          <w:szCs w:val="32"/>
          <w:highlight w:val="none"/>
          <w:lang w:val="zh-CN" w:eastAsia="zh-CN" w:bidi="ar-SA"/>
        </w:rPr>
        <w:t>交通运输综合行政执法改革涉改人员职业年金记实支出</w:t>
      </w:r>
      <w:r>
        <w:rPr>
          <w:rFonts w:hint="eastAsia" w:ascii="仿宋_GB2312" w:hAnsi="仿宋_GB2312" w:eastAsia="仿宋_GB2312" w:cs="仿宋_GB2312"/>
          <w:color w:val="auto"/>
          <w:kern w:val="2"/>
          <w:sz w:val="32"/>
          <w:szCs w:val="32"/>
          <w:highlight w:val="none"/>
          <w:lang w:val="en-US" w:eastAsia="zh-CN" w:bidi="ar-SA"/>
        </w:rPr>
        <w:t>21.56万元，其他减少为</w:t>
      </w:r>
      <w:r>
        <w:rPr>
          <w:rFonts w:hint="eastAsia" w:ascii="仿宋_GB2312" w:hAnsi="仿宋_GB2312" w:eastAsia="仿宋_GB2312" w:cs="仿宋_GB2312"/>
          <w:color w:val="auto"/>
          <w:kern w:val="2"/>
          <w:sz w:val="32"/>
          <w:szCs w:val="32"/>
          <w:highlight w:val="none"/>
          <w:lang w:val="zh-CN" w:eastAsia="zh-CN" w:bidi="ar-SA"/>
        </w:rPr>
        <w:t>在职人员转退休。</w:t>
      </w:r>
    </w:p>
    <w:p w14:paraId="0763D0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21.灾害防治及应急管理支出（类）应急管理事务（款）灾害风险防治（项）:支出决算数为0.00万元，比上年决算减少4.00万元，下降100%，主要原因是：</w:t>
      </w:r>
      <w:r>
        <w:rPr>
          <w:rFonts w:hint="eastAsia" w:ascii="仿宋_GB2312" w:hAnsi="仿宋_GB2312" w:eastAsia="仿宋_GB2312" w:cs="仿宋_GB2312"/>
          <w:color w:val="auto"/>
          <w:kern w:val="2"/>
          <w:sz w:val="32"/>
          <w:szCs w:val="32"/>
          <w:highlight w:val="none"/>
          <w:lang w:val="zh-CN" w:eastAsia="zh-CN" w:bidi="ar-SA"/>
        </w:rPr>
        <w:t>本年无自然</w:t>
      </w:r>
      <w:r>
        <w:rPr>
          <w:rFonts w:hint="eastAsia" w:ascii="仿宋_GB2312" w:hAnsi="仿宋_GB2312" w:eastAsia="仿宋_GB2312" w:cs="仿宋_GB2312"/>
          <w:color w:val="auto"/>
          <w:kern w:val="2"/>
          <w:sz w:val="32"/>
          <w:szCs w:val="32"/>
          <w:highlight w:val="none"/>
          <w:lang w:val="en-US" w:eastAsia="zh-CN" w:bidi="ar-SA"/>
        </w:rPr>
        <w:t>灾害风险防治项目支出</w:t>
      </w:r>
      <w:r>
        <w:rPr>
          <w:rFonts w:hint="eastAsia" w:ascii="仿宋_GB2312" w:hAnsi="仿宋_GB2312" w:eastAsia="仿宋_GB2312" w:cs="仿宋_GB2312"/>
          <w:color w:val="auto"/>
          <w:kern w:val="2"/>
          <w:sz w:val="32"/>
          <w:szCs w:val="32"/>
          <w:highlight w:val="none"/>
          <w:lang w:val="zh-CN" w:eastAsia="zh-CN" w:bidi="ar-SA"/>
        </w:rPr>
        <w:t>。</w:t>
      </w:r>
    </w:p>
    <w:p w14:paraId="050507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22.交通运输支出（类）邮政业支出（款）其他邮政业支出（项）:支出决算数为0.00万元，比上年决算减少1.80万元，下降100%，主要原因是：2022年列支往年</w:t>
      </w:r>
      <w:r>
        <w:rPr>
          <w:rFonts w:hint="eastAsia" w:ascii="仿宋_GB2312" w:hAnsi="仿宋_GB2312" w:eastAsia="仿宋_GB2312" w:cs="仿宋_GB2312"/>
          <w:color w:val="auto"/>
          <w:kern w:val="2"/>
          <w:sz w:val="32"/>
          <w:szCs w:val="32"/>
          <w:highlight w:val="none"/>
          <w:lang w:val="zh-CN" w:eastAsia="zh-CN" w:bidi="ar-SA"/>
        </w:rPr>
        <w:t>农牧区投递员补贴项目资金。</w:t>
      </w:r>
    </w:p>
    <w:p w14:paraId="54A420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23.交通运输支出（类）其他交通运输支出（款）其他交通运输支出（项）:支出决算数为0.00万元，比上年决算减少412.17万元，下降100%，主要原因是：</w:t>
      </w:r>
      <w:r>
        <w:rPr>
          <w:rFonts w:hint="eastAsia" w:ascii="仿宋_GB2312" w:hAnsi="仿宋_GB2312" w:eastAsia="仿宋_GB2312" w:cs="仿宋_GB2312"/>
          <w:color w:val="auto"/>
          <w:kern w:val="2"/>
          <w:sz w:val="32"/>
          <w:szCs w:val="32"/>
          <w:highlight w:val="none"/>
          <w:lang w:val="zh-CN" w:eastAsia="zh-CN" w:bidi="ar-SA"/>
        </w:rPr>
        <w:t>本年无农村客运成品油价格财政补贴资金项目，故</w:t>
      </w:r>
      <w:r>
        <w:rPr>
          <w:rFonts w:hint="eastAsia" w:ascii="仿宋_GB2312" w:hAnsi="仿宋_GB2312" w:eastAsia="仿宋_GB2312" w:cs="仿宋_GB2312"/>
          <w:color w:val="auto"/>
          <w:kern w:val="2"/>
          <w:sz w:val="32"/>
          <w:szCs w:val="32"/>
          <w:highlight w:val="none"/>
          <w:lang w:val="en-US" w:eastAsia="zh-CN" w:bidi="ar-SA"/>
        </w:rPr>
        <w:t>其他交通运输支出下降100%</w:t>
      </w:r>
      <w:r>
        <w:rPr>
          <w:rFonts w:hint="eastAsia" w:ascii="仿宋_GB2312" w:hAnsi="仿宋_GB2312" w:eastAsia="仿宋_GB2312" w:cs="仿宋_GB2312"/>
          <w:color w:val="auto"/>
          <w:kern w:val="2"/>
          <w:sz w:val="32"/>
          <w:szCs w:val="32"/>
          <w:highlight w:val="none"/>
          <w:lang w:val="zh-CN" w:eastAsia="zh-CN" w:bidi="ar-SA"/>
        </w:rPr>
        <w:t>。</w:t>
      </w:r>
    </w:p>
    <w:p w14:paraId="3BFB55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2F7DC4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358.26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336.44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其他对个人和家庭的补助。</w:t>
      </w:r>
    </w:p>
    <w:p w14:paraId="195DC4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21.82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办公费、电费、邮电费、差旅费、培训费、劳务费、工会经费、公务用车运行维护费。</w:t>
      </w:r>
    </w:p>
    <w:p w14:paraId="690BDA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29A85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减少0.35万元，</w:t>
      </w:r>
      <w:r>
        <w:rPr>
          <w:rFonts w:hint="eastAsia" w:ascii="仿宋_GB2312" w:eastAsia="仿宋_GB2312"/>
          <w:color w:val="auto"/>
          <w:spacing w:val="0"/>
          <w:sz w:val="32"/>
          <w:szCs w:val="32"/>
          <w:highlight w:val="none"/>
          <w:lang w:val="en-US" w:eastAsia="zh-CN"/>
        </w:rPr>
        <w:t>下降6.54%,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2023年公务接待费预算调整至机关事务服务中心，我单位未列支公务接待支出，故</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较上年下降</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主要原因是：我单位未发生因公出国（境）费支出；公务用车购置及运行维护费支出5.00万元，占100.00%，比上年增加0.00万元，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主要原因是：我单位公务用车购置及运行维护费支出均为</w:t>
      </w:r>
      <w:r>
        <w:rPr>
          <w:rFonts w:hint="eastAsia" w:ascii="仿宋_GB2312" w:eastAsia="仿宋_GB2312"/>
          <w:color w:val="auto"/>
          <w:sz w:val="32"/>
          <w:szCs w:val="32"/>
          <w:highlight w:val="none"/>
          <w:lang w:val="en-US" w:eastAsia="zh-CN"/>
        </w:rPr>
        <w:t>5万元，故</w:t>
      </w:r>
      <w:r>
        <w:rPr>
          <w:rFonts w:hint="eastAsia" w:ascii="仿宋_GB2312" w:eastAsia="仿宋_GB2312"/>
          <w:color w:val="auto"/>
          <w:sz w:val="32"/>
          <w:szCs w:val="32"/>
          <w:highlight w:val="none"/>
          <w:lang w:val="zh-CN" w:eastAsia="zh-CN"/>
        </w:rPr>
        <w:t>上下年无变动；公务接待费支出0.00万元，占0.00%，比上年减少0.35万元，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2023年公务接待费预算调整至机关事务服务中心，我单位未列支公务接待支出</w:t>
      </w:r>
      <w:r>
        <w:rPr>
          <w:rFonts w:hint="eastAsia" w:ascii="仿宋_GB2312" w:eastAsia="仿宋_GB2312"/>
          <w:color w:val="auto"/>
          <w:sz w:val="32"/>
          <w:szCs w:val="32"/>
          <w:highlight w:val="none"/>
          <w:lang w:val="zh-CN" w:eastAsia="zh-CN"/>
        </w:rPr>
        <w:t>。</w:t>
      </w:r>
    </w:p>
    <w:p w14:paraId="72A7D3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77350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4C3BC2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5.00万元，其中：公务用车购置费0.00万元，公务用车运行维护费5.00万元。公务用车运行维护费开支内容包括车辆加油、车辆保险、过路费。公务用车购置数0辆，公务用车保有量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原因是：我单位公务用车保有量5辆，</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5辆，保有量与固定资产数据一致，故无差异。</w:t>
      </w:r>
    </w:p>
    <w:p w14:paraId="14FE195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A7E4D3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预算数5.00万元，决算数5.00万元，预决算差异率0.00%，主要原因是：预决算数据一致无差。其中：因公出国（境）费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0.00万元，决算数0.00万元，预决算差异率0.00%，主要原因是：我单位本年支出严格执行预算管理办法，无超预算情形；公务用车购置费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w:t>
      </w:r>
      <w:r>
        <w:rPr>
          <w:rFonts w:hint="eastAsia" w:ascii="仿宋_GB2312" w:hAnsi="宋体" w:eastAsia="仿宋_GB2312" w:cs="宋体"/>
          <w:color w:val="auto"/>
          <w:kern w:val="0"/>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预算数5.00万元，决算数5.00万元，预决算差异率0.00%，主要原因是：我单位本年支出严格执行预算管理办法，决算支出与预算一致无差异；公务接待费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2023年公务接待费预算调整至机关事务服务中心，我单位未列支公务接待支出</w:t>
      </w:r>
      <w:r>
        <w:rPr>
          <w:rFonts w:hint="eastAsia" w:ascii="仿宋_GB2312" w:eastAsia="仿宋_GB2312"/>
          <w:color w:val="auto"/>
          <w:sz w:val="32"/>
          <w:szCs w:val="32"/>
          <w:highlight w:val="none"/>
          <w:lang w:val="zh-CN" w:eastAsia="zh-CN"/>
        </w:rPr>
        <w:t>。</w:t>
      </w:r>
    </w:p>
    <w:p w14:paraId="6895E0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91E9F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总计351.00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本年收入351.00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总计351.00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本年支出351.00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79DAFF53">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与上年相比，增加166.00万元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增长89.73%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：本年</w:t>
      </w:r>
      <w:r>
        <w:rPr>
          <w:rFonts w:hint="eastAsia" w:ascii="仿宋_GB2312" w:eastAsia="仿宋_GB2312"/>
          <w:color w:val="auto"/>
          <w:spacing w:val="0"/>
          <w:sz w:val="32"/>
          <w:szCs w:val="32"/>
          <w:highlight w:val="none"/>
          <w:lang w:eastAsia="zh-CN"/>
        </w:rPr>
        <w:t>增加了沙温公路等工程款项目</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539.00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351.00</w:t>
      </w:r>
      <w:r>
        <w:rPr>
          <w:rFonts w:hint="eastAsia" w:ascii="仿宋_GB2312" w:hAnsi="仿宋_GB2312" w:eastAsia="仿宋_GB2312" w:cs="仿宋_GB2312"/>
          <w:color w:val="auto"/>
          <w:sz w:val="32"/>
          <w:szCs w:val="32"/>
          <w:highlight w:val="none"/>
          <w:lang w:val="zh-CN"/>
        </w:rPr>
        <w:t>万元，预决算差异率-34.88%</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沙温公路等工程款项目</w:t>
      </w:r>
      <w:r>
        <w:rPr>
          <w:rFonts w:hint="eastAsia" w:ascii="仿宋_GB2312" w:hAnsi="仿宋_GB2312" w:eastAsia="仿宋_GB2312" w:cs="仿宋_GB2312"/>
          <w:color w:val="auto"/>
          <w:sz w:val="32"/>
          <w:szCs w:val="32"/>
          <w:highlight w:val="none"/>
          <w:lang w:val="zh-CN"/>
        </w:rPr>
        <w:t>未达到支付条件，故年初预算</w:t>
      </w:r>
      <w:r>
        <w:rPr>
          <w:rFonts w:hint="eastAsia" w:ascii="仿宋_GB2312" w:eastAsia="仿宋_GB2312"/>
          <w:color w:val="auto"/>
          <w:spacing w:val="0"/>
          <w:sz w:val="32"/>
          <w:szCs w:val="32"/>
          <w:highlight w:val="none"/>
          <w:lang w:eastAsia="zh-CN"/>
        </w:rPr>
        <w:t>增加</w:t>
      </w:r>
      <w:r>
        <w:rPr>
          <w:rFonts w:hint="eastAsia" w:ascii="仿宋_GB2312" w:eastAsia="仿宋_GB2312"/>
          <w:color w:val="auto"/>
          <w:spacing w:val="0"/>
          <w:sz w:val="32"/>
          <w:szCs w:val="32"/>
          <w:highlight w:val="none"/>
          <w:lang w:val="en-US" w:eastAsia="zh-CN"/>
        </w:rPr>
        <w:t>的</w:t>
      </w:r>
      <w:r>
        <w:rPr>
          <w:rFonts w:hint="eastAsia" w:ascii="仿宋_GB2312" w:eastAsia="仿宋_GB2312"/>
          <w:color w:val="auto"/>
          <w:spacing w:val="0"/>
          <w:sz w:val="32"/>
          <w:szCs w:val="32"/>
          <w:highlight w:val="none"/>
          <w:lang w:eastAsia="zh-CN"/>
        </w:rPr>
        <w:t>沙温公路等工程款项目</w:t>
      </w:r>
      <w:r>
        <w:rPr>
          <w:rFonts w:hint="eastAsia" w:ascii="仿宋_GB2312" w:hAnsi="仿宋_GB2312" w:eastAsia="仿宋_GB2312" w:cs="仿宋_GB2312"/>
          <w:color w:val="auto"/>
          <w:sz w:val="32"/>
          <w:szCs w:val="32"/>
          <w:highlight w:val="none"/>
          <w:lang w:val="zh-CN"/>
        </w:rPr>
        <w:t>未支出，使预决算存在差异率。</w:t>
      </w:r>
    </w:p>
    <w:p w14:paraId="6C8D44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351.00</w:t>
      </w:r>
      <w:r>
        <w:rPr>
          <w:rFonts w:hint="eastAsia" w:ascii="仿宋_GB2312" w:hAnsi="仿宋_GB2312" w:eastAsia="仿宋_GB2312" w:cs="仿宋_GB2312"/>
          <w:color w:val="auto"/>
          <w:sz w:val="32"/>
          <w:szCs w:val="32"/>
          <w:highlight w:val="none"/>
          <w:lang w:val="zh-CN"/>
        </w:rPr>
        <w:t>万元。</w:t>
      </w:r>
    </w:p>
    <w:p w14:paraId="3994B2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1.城乡社区支出（类）国有土地使用权出让收入安排的支出（款）其他国有土地使用权出让收入安排的支出（项）:支出决算数为351.00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166.00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89.73%，主要原因是：本年增加</w:t>
      </w:r>
      <w:r>
        <w:rPr>
          <w:rFonts w:hint="eastAsia" w:ascii="仿宋_GB2312" w:eastAsia="仿宋_GB2312"/>
          <w:color w:val="auto"/>
          <w:spacing w:val="0"/>
          <w:sz w:val="32"/>
          <w:szCs w:val="32"/>
          <w:highlight w:val="none"/>
          <w:lang w:eastAsia="zh-CN"/>
        </w:rPr>
        <w:t>沙温公路等工程款</w:t>
      </w:r>
      <w:r>
        <w:rPr>
          <w:rFonts w:hint="eastAsia" w:ascii="仿宋_GB2312" w:hAnsi="仿宋_GB2312" w:eastAsia="仿宋_GB2312" w:cs="仿宋_GB2312"/>
          <w:color w:val="auto"/>
          <w:sz w:val="32"/>
          <w:szCs w:val="32"/>
          <w:highlight w:val="none"/>
          <w:lang w:val="zh-CN"/>
        </w:rPr>
        <w:t>项目金额。</w:t>
      </w:r>
    </w:p>
    <w:p w14:paraId="1E9AD1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772E3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DBC3E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D178B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F707D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沙湾市交通运输局（行政单位和参照公务员法管理事业单位）机关运行经费支出21.82万元，</w:t>
      </w:r>
      <w:r>
        <w:rPr>
          <w:rFonts w:hint="eastAsia" w:ascii="仿宋_GB2312" w:hAnsi="仿宋_GB2312" w:eastAsia="仿宋_GB2312" w:cs="仿宋_GB2312"/>
          <w:color w:val="auto"/>
          <w:sz w:val="32"/>
          <w:szCs w:val="32"/>
          <w:highlight w:val="none"/>
          <w:lang w:val="zh-CN" w:eastAsia="zh-CN"/>
        </w:rPr>
        <w:t>比上年减少4.91万元，下降18.37%，主要原因是：编制人数较上年减少</w:t>
      </w:r>
      <w:r>
        <w:rPr>
          <w:rFonts w:hint="eastAsia" w:ascii="仿宋_GB2312" w:hAnsi="仿宋_GB2312" w:eastAsia="仿宋_GB2312" w:cs="仿宋_GB2312"/>
          <w:color w:val="auto"/>
          <w:sz w:val="32"/>
          <w:szCs w:val="32"/>
          <w:highlight w:val="none"/>
          <w:lang w:val="en-US" w:eastAsia="zh-CN"/>
        </w:rPr>
        <w:t>1人</w:t>
      </w:r>
      <w:r>
        <w:rPr>
          <w:rFonts w:hint="eastAsia" w:ascii="仿宋_GB2312" w:hAnsi="仿宋_GB2312" w:eastAsia="仿宋_GB2312" w:cs="仿宋_GB2312"/>
          <w:color w:val="auto"/>
          <w:sz w:val="32"/>
          <w:szCs w:val="32"/>
          <w:highlight w:val="none"/>
          <w:lang w:val="zh-CN" w:eastAsia="zh-CN"/>
        </w:rPr>
        <w:t>。</w:t>
      </w:r>
    </w:p>
    <w:p w14:paraId="41CA9B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8F280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11.45万元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其中：政府采购货物支出4.44万元、政府采购工程支出4.50万元、政府采购服务支出2.51万元。</w:t>
      </w:r>
    </w:p>
    <w:p w14:paraId="7EC17E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授予中小企业合同金额11.45万元，占政府采购支出总额的100.00%，其中：授予小微企业合同金额10.45万元，占政府采购支出总额的91.27%</w:t>
      </w:r>
      <w:r>
        <w:rPr>
          <w:rFonts w:hint="eastAsia" w:ascii="仿宋_GB2312" w:hAnsi="仿宋_GB2312" w:eastAsia="仿宋_GB2312" w:cs="仿宋_GB2312"/>
          <w:color w:val="auto"/>
          <w:sz w:val="32"/>
          <w:szCs w:val="32"/>
          <w:highlight w:val="none"/>
          <w:lang w:val="en-US" w:eastAsia="zh-CN"/>
        </w:rPr>
        <w:t>。</w:t>
      </w:r>
    </w:p>
    <w:p w14:paraId="3BB477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1010B7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479.06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屋1,273.78平方米，价值278.82万元。车辆5辆，价值85.63万元，其中：副部（省）级及以上领导用车0辆、主要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用车0辆、机要通信用车0辆、应急保障用车0辆、执法执勤用车4辆、特种专业技术用车0辆、离退休干部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297EA5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89CB340">
      <w:pPr>
        <w:pStyle w:val="16"/>
        <w:snapToGrid w:val="0"/>
        <w:spacing w:line="570" w:lineRule="exact"/>
        <w:ind w:firstLine="624"/>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根据预算绩效管理要求，我</w:t>
      </w:r>
      <w:r>
        <w:rPr>
          <w:rFonts w:hint="eastAsia" w:ascii="仿宋_GB2312" w:hAnsi="仿宋_GB2312" w:eastAsia="仿宋_GB2312" w:cs="仿宋_GB2312"/>
          <w:color w:val="auto"/>
          <w:kern w:val="2"/>
          <w:sz w:val="32"/>
          <w:szCs w:val="32"/>
          <w:highlight w:val="none"/>
          <w:lang w:val="en-US" w:eastAsia="zh-CN" w:bidi="ar-SA"/>
        </w:rPr>
        <w:t>单位</w:t>
      </w:r>
      <w:r>
        <w:rPr>
          <w:rFonts w:hint="eastAsia" w:ascii="仿宋_GB2312" w:hAnsi="仿宋_GB2312" w:eastAsia="仿宋_GB2312" w:cs="仿宋_GB2312"/>
          <w:color w:val="auto"/>
          <w:kern w:val="2"/>
          <w:sz w:val="32"/>
          <w:szCs w:val="32"/>
          <w:highlight w:val="none"/>
          <w:lang w:val="zh-CN" w:eastAsia="zh-CN" w:bidi="ar-SA"/>
        </w:rPr>
        <w:t>2023年度预算绩效管理整体</w:t>
      </w:r>
      <w:r>
        <w:rPr>
          <w:rFonts w:hint="eastAsia" w:ascii="仿宋_GB2312" w:hAnsi="仿宋_GB2312" w:eastAsia="仿宋_GB2312" w:cs="仿宋_GB2312"/>
          <w:color w:val="auto"/>
          <w:kern w:val="2"/>
          <w:sz w:val="32"/>
          <w:szCs w:val="32"/>
          <w:highlight w:val="none"/>
          <w:lang w:val="en-US" w:eastAsia="zh-CN" w:bidi="ar-SA"/>
        </w:rPr>
        <w:t>支出</w:t>
      </w:r>
      <w:r>
        <w:rPr>
          <w:rFonts w:hint="eastAsia" w:ascii="仿宋_GB2312" w:hAnsi="仿宋_GB2312" w:eastAsia="仿宋_GB2312" w:cs="仿宋_GB2312"/>
          <w:color w:val="auto"/>
          <w:kern w:val="2"/>
          <w:sz w:val="32"/>
          <w:szCs w:val="32"/>
          <w:highlight w:val="none"/>
          <w:lang w:val="zh-CN" w:eastAsia="zh-CN" w:bidi="ar-SA"/>
        </w:rPr>
        <w:t>绩效自评表</w:t>
      </w:r>
      <w:r>
        <w:rPr>
          <w:rFonts w:hint="eastAsia" w:ascii="仿宋_GB2312" w:hAnsi="仿宋_GB2312" w:eastAsia="仿宋_GB2312" w:cs="仿宋_GB2312"/>
          <w:color w:val="auto"/>
          <w:kern w:val="2"/>
          <w:sz w:val="32"/>
          <w:szCs w:val="32"/>
          <w:highlight w:val="none"/>
          <w:lang w:val="en-US" w:eastAsia="zh-CN" w:bidi="ar-SA"/>
        </w:rPr>
        <w:t>1个，全年预算总额3419.92</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实际执行总额3196.35</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预算绩效评价项目</w:t>
      </w:r>
      <w:r>
        <w:rPr>
          <w:rFonts w:hint="eastAsia" w:ascii="仿宋_GB2312" w:hAnsi="仿宋_GB2312" w:eastAsia="仿宋_GB2312" w:cs="仿宋_GB2312"/>
          <w:color w:val="auto"/>
          <w:kern w:val="2"/>
          <w:sz w:val="32"/>
          <w:szCs w:val="32"/>
          <w:highlight w:val="none"/>
          <w:lang w:val="en-US" w:eastAsia="zh-CN" w:bidi="ar-SA"/>
        </w:rPr>
        <w:t>9</w:t>
      </w:r>
      <w:r>
        <w:rPr>
          <w:rFonts w:hint="eastAsia" w:ascii="仿宋_GB2312" w:hAnsi="仿宋_GB2312" w:eastAsia="仿宋_GB2312" w:cs="仿宋_GB2312"/>
          <w:color w:val="auto"/>
          <w:kern w:val="2"/>
          <w:sz w:val="32"/>
          <w:szCs w:val="32"/>
          <w:highlight w:val="none"/>
          <w:lang w:val="zh-CN" w:eastAsia="zh-CN" w:bidi="ar-SA"/>
        </w:rPr>
        <w:t>个，</w:t>
      </w:r>
      <w:r>
        <w:rPr>
          <w:rFonts w:hint="eastAsia" w:ascii="仿宋_GB2312" w:hAnsi="仿宋_GB2312" w:eastAsia="仿宋_GB2312" w:cs="仿宋_GB2312"/>
          <w:color w:val="auto"/>
          <w:kern w:val="2"/>
          <w:sz w:val="32"/>
          <w:szCs w:val="32"/>
          <w:highlight w:val="none"/>
          <w:lang w:val="en-US" w:eastAsia="zh-CN" w:bidi="ar-SA"/>
        </w:rPr>
        <w:t>全年预算数3045.46</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全年执行数3010.85</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其中：</w:t>
      </w:r>
      <w:r>
        <w:rPr>
          <w:rFonts w:hint="eastAsia" w:ascii="仿宋_GB2312" w:hAnsi="仿宋_GB2312" w:eastAsia="仿宋_GB2312" w:cs="仿宋_GB2312"/>
          <w:color w:val="auto"/>
          <w:kern w:val="2"/>
          <w:sz w:val="32"/>
          <w:szCs w:val="32"/>
          <w:highlight w:val="none"/>
          <w:lang w:val="zh-CN" w:eastAsia="zh-CN" w:bidi="ar-SA"/>
        </w:rPr>
        <w:t>本单位</w:t>
      </w:r>
      <w:r>
        <w:rPr>
          <w:rFonts w:hint="eastAsia" w:ascii="仿宋_GB2312" w:hAnsi="仿宋_GB2312" w:eastAsia="仿宋_GB2312" w:cs="仿宋_GB2312"/>
          <w:color w:val="auto"/>
          <w:kern w:val="2"/>
          <w:sz w:val="32"/>
          <w:szCs w:val="32"/>
          <w:highlight w:val="none"/>
          <w:lang w:val="en-US" w:eastAsia="zh-CN" w:bidi="ar-SA"/>
        </w:rPr>
        <w:t>SM</w:t>
      </w:r>
      <w:r>
        <w:rPr>
          <w:rFonts w:hint="eastAsia" w:ascii="仿宋_GB2312" w:hAnsi="仿宋_GB2312" w:eastAsia="仿宋_GB2312" w:cs="仿宋_GB2312"/>
          <w:color w:val="auto"/>
          <w:kern w:val="2"/>
          <w:sz w:val="32"/>
          <w:szCs w:val="32"/>
          <w:highlight w:val="none"/>
          <w:lang w:val="zh-CN" w:eastAsia="zh-CN" w:bidi="ar-SA"/>
        </w:rPr>
        <w:t>项目</w:t>
      </w: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zh-CN" w:eastAsia="zh-CN" w:bidi="ar-SA"/>
        </w:rPr>
        <w:t>个，全年预算数</w:t>
      </w:r>
      <w:r>
        <w:rPr>
          <w:rFonts w:hint="eastAsia" w:ascii="仿宋_GB2312" w:hAnsi="仿宋_GB2312" w:eastAsia="仿宋_GB2312" w:cs="仿宋_GB2312"/>
          <w:color w:val="auto"/>
          <w:kern w:val="2"/>
          <w:sz w:val="32"/>
          <w:szCs w:val="32"/>
          <w:highlight w:val="none"/>
          <w:lang w:val="en-US" w:eastAsia="zh-CN" w:bidi="ar-SA"/>
        </w:rPr>
        <w:t>530.98</w:t>
      </w:r>
      <w:r>
        <w:rPr>
          <w:rFonts w:hint="eastAsia" w:ascii="仿宋_GB2312" w:hAnsi="仿宋_GB2312" w:eastAsia="仿宋_GB2312" w:cs="仿宋_GB2312"/>
          <w:color w:val="auto"/>
          <w:kern w:val="2"/>
          <w:sz w:val="32"/>
          <w:szCs w:val="32"/>
          <w:highlight w:val="none"/>
          <w:lang w:val="zh-CN" w:eastAsia="zh-CN" w:bidi="ar-SA"/>
        </w:rPr>
        <w:t>万元，全年执行数</w:t>
      </w:r>
      <w:r>
        <w:rPr>
          <w:rFonts w:hint="eastAsia" w:ascii="仿宋_GB2312" w:hAnsi="仿宋_GB2312" w:eastAsia="仿宋_GB2312" w:cs="仿宋_GB2312"/>
          <w:color w:val="auto"/>
          <w:kern w:val="2"/>
          <w:sz w:val="32"/>
          <w:szCs w:val="32"/>
          <w:highlight w:val="none"/>
          <w:lang w:val="en-US" w:eastAsia="zh-CN" w:bidi="ar-SA"/>
        </w:rPr>
        <w:t>530.98</w:t>
      </w:r>
      <w:r>
        <w:rPr>
          <w:rFonts w:hint="eastAsia" w:ascii="仿宋_GB2312" w:hAnsi="仿宋_GB2312" w:eastAsia="仿宋_GB2312" w:cs="仿宋_GB2312"/>
          <w:color w:val="auto"/>
          <w:kern w:val="2"/>
          <w:sz w:val="32"/>
          <w:szCs w:val="32"/>
          <w:highlight w:val="none"/>
          <w:lang w:val="zh-CN" w:eastAsia="zh-CN" w:bidi="ar-SA"/>
        </w:rPr>
        <w:t>万元，不予以公开。预算绩效管理取得的成效：一是预算绩效管理制度逐步建立，组织机构不断健全，增强了预算绩效管理的工作保障；二是绩效目标管理日益加强，绩效评价范围不断扩大，促进了财政资金使用效益的提高。发现的问题及原因：一是</w:t>
      </w:r>
      <w:r>
        <w:rPr>
          <w:rFonts w:hint="eastAsia" w:ascii="仿宋_GB2312" w:hAnsi="仿宋_GB2312" w:eastAsia="仿宋_GB2312" w:cs="仿宋_GB2312"/>
          <w:color w:val="auto"/>
          <w:kern w:val="2"/>
          <w:sz w:val="32"/>
          <w:szCs w:val="32"/>
          <w:highlight w:val="none"/>
          <w:lang w:val="en-US" w:eastAsia="zh-CN" w:bidi="ar-SA"/>
        </w:rPr>
        <w:t>预算绩效管理缺乏系统的培训，造成预算绩效管理指导不到位、认识不到位，理解不充分，对预算绩效管理工作重点把握不到位</w:t>
      </w:r>
      <w:r>
        <w:rPr>
          <w:rFonts w:hint="eastAsia" w:ascii="仿宋_GB2312" w:hAnsi="仿宋_GB2312" w:eastAsia="仿宋_GB2312" w:cs="仿宋_GB2312"/>
          <w:color w:val="auto"/>
          <w:kern w:val="2"/>
          <w:sz w:val="32"/>
          <w:szCs w:val="32"/>
          <w:highlight w:val="none"/>
          <w:lang w:val="zh-CN" w:eastAsia="zh-CN" w:bidi="ar-SA"/>
        </w:rPr>
        <w:t>；二是由于财政资金紧张，部分项目资金不能及时支付，</w:t>
      </w:r>
      <w:r>
        <w:rPr>
          <w:rFonts w:hint="eastAsia" w:ascii="仿宋_GB2312" w:hAnsi="仿宋_GB2312" w:eastAsia="仿宋_GB2312" w:cs="仿宋_GB2312"/>
          <w:color w:val="auto"/>
          <w:kern w:val="2"/>
          <w:sz w:val="32"/>
          <w:szCs w:val="32"/>
          <w:highlight w:val="none"/>
          <w:lang w:val="en-US" w:eastAsia="zh-CN" w:bidi="ar-SA"/>
        </w:rPr>
        <w:t>造成绩效目标值与完成值存在差异。</w:t>
      </w:r>
      <w:r>
        <w:rPr>
          <w:rFonts w:hint="eastAsia" w:ascii="仿宋_GB2312" w:hAnsi="仿宋_GB2312" w:eastAsia="仿宋_GB2312" w:cs="仿宋_GB2312"/>
          <w:color w:val="auto"/>
          <w:kern w:val="2"/>
          <w:sz w:val="32"/>
          <w:szCs w:val="32"/>
          <w:highlight w:val="none"/>
          <w:lang w:val="zh-CN" w:eastAsia="zh-CN" w:bidi="ar-SA"/>
        </w:rPr>
        <w:t>下一步改进措施：一是加强学习，提高思想认识。组织单位财务人员认真学习《中华人民共和国预算法》等相关法规、制度，提高单位领导对全面预算管理的重视程度，增强财务人员的预算意识；二是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p>
    <w:p w14:paraId="09C0CC98">
      <w:pPr>
        <w:numPr>
          <w:ilvl w:val="0"/>
          <w:numId w:val="2"/>
        </w:numPr>
        <w:spacing w:line="570" w:lineRule="exact"/>
        <w:ind w:left="-80" w:leftChars="0" w:firstLine="640" w:firstLineChars="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具体项目自评情况附绩效自评表</w:t>
      </w:r>
      <w:r>
        <w:rPr>
          <w:rFonts w:hint="eastAsia" w:ascii="仿宋_GB2312" w:hAnsi="仿宋_GB2312" w:eastAsia="仿宋_GB2312" w:cs="仿宋_GB2312"/>
          <w:color w:val="auto"/>
          <w:kern w:val="2"/>
          <w:sz w:val="32"/>
          <w:szCs w:val="32"/>
          <w:highlight w:val="none"/>
          <w:lang w:val="en-US" w:eastAsia="zh-CN" w:bidi="ar-SA"/>
        </w:rPr>
        <w:t>及自评报告</w:t>
      </w:r>
      <w:r>
        <w:rPr>
          <w:rFonts w:hint="eastAsia" w:ascii="仿宋_GB2312" w:hAnsi="仿宋_GB2312" w:eastAsia="仿宋_GB2312" w:cs="仿宋_GB2312"/>
          <w:color w:val="auto"/>
          <w:kern w:val="2"/>
          <w:sz w:val="32"/>
          <w:szCs w:val="32"/>
          <w:highlight w:val="none"/>
          <w:lang w:val="zh-CN" w:eastAsia="zh-CN" w:bidi="ar-SA"/>
        </w:rPr>
        <w:t>。</w:t>
      </w:r>
    </w:p>
    <w:p w14:paraId="4F922AD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51C7503">
      <w:pPr>
        <w:pStyle w:val="16"/>
        <w:snapToGrid w:val="0"/>
        <w:spacing w:line="570" w:lineRule="exact"/>
        <w:ind w:firstLine="624"/>
        <w:rPr>
          <w:rFonts w:hint="default" w:ascii="仿宋_GB2312" w:eastAsia="仿宋_GB2312"/>
          <w:color w:val="auto"/>
          <w:sz w:val="32"/>
          <w:szCs w:val="32"/>
          <w:highlight w:val="none"/>
          <w:lang w:val="en-US" w:eastAsia="zh-CN"/>
        </w:rPr>
      </w:pPr>
      <w:bookmarkStart w:id="30" w:name="_Toc3250"/>
      <w:bookmarkStart w:id="31" w:name="_Toc24143"/>
      <w:r>
        <w:rPr>
          <w:rFonts w:hint="eastAsia" w:ascii="仿宋_GB2312" w:eastAsia="仿宋_GB2312"/>
          <w:color w:val="auto"/>
          <w:sz w:val="32"/>
          <w:szCs w:val="32"/>
          <w:highlight w:val="none"/>
          <w:lang w:val="en-US" w:eastAsia="zh-CN"/>
        </w:rPr>
        <w:t>本单位SM项目2个，全年预算数530.98万元，全年执行数530.98万元，不予以公开绩效自评表。</w:t>
      </w:r>
    </w:p>
    <w:p w14:paraId="11A9FF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88B82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5E6DFF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489D9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22545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25947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656E10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88326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F0118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CA9B3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58D48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A3344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EDF44C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A2E30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3B3FA8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256DC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B34E9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02F6CA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5CFCB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14FC9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07D81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4D579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1508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79E39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98A47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DFF1D5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23EE3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D91F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3CF84C">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033CF84C">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64FA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6A6DF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26A6DF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28373"/>
    <w:multiLevelType w:val="singleLevel"/>
    <w:tmpl w:val="EBF28373"/>
    <w:lvl w:ilvl="0" w:tentative="0">
      <w:start w:val="1"/>
      <w:numFmt w:val="decimal"/>
      <w:suff w:val="nothing"/>
      <w:lvlText w:val="%1、"/>
      <w:lvlJc w:val="left"/>
      <w:pPr>
        <w:ind w:left="-80"/>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0E5FA0"/>
    <w:rsid w:val="00213C59"/>
    <w:rsid w:val="003210CE"/>
    <w:rsid w:val="00B70D59"/>
    <w:rsid w:val="00F52A8D"/>
    <w:rsid w:val="019404F8"/>
    <w:rsid w:val="01C30B6B"/>
    <w:rsid w:val="01ED22F2"/>
    <w:rsid w:val="02BD3108"/>
    <w:rsid w:val="02BF08E0"/>
    <w:rsid w:val="02F73D26"/>
    <w:rsid w:val="03256021"/>
    <w:rsid w:val="0341275E"/>
    <w:rsid w:val="034D4FEF"/>
    <w:rsid w:val="035D1785"/>
    <w:rsid w:val="039F47CE"/>
    <w:rsid w:val="03BD5310"/>
    <w:rsid w:val="03E05CE8"/>
    <w:rsid w:val="03F973EE"/>
    <w:rsid w:val="043E5B56"/>
    <w:rsid w:val="04C04386"/>
    <w:rsid w:val="04D1736D"/>
    <w:rsid w:val="04D96608"/>
    <w:rsid w:val="04F210E4"/>
    <w:rsid w:val="04FA68C4"/>
    <w:rsid w:val="052D50E5"/>
    <w:rsid w:val="053F5AE6"/>
    <w:rsid w:val="056A5090"/>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FA3EAD"/>
    <w:rsid w:val="0F1113DA"/>
    <w:rsid w:val="0F78534A"/>
    <w:rsid w:val="0F89358A"/>
    <w:rsid w:val="0F8C6D51"/>
    <w:rsid w:val="10183B99"/>
    <w:rsid w:val="105B0B5E"/>
    <w:rsid w:val="10D50301"/>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C04366"/>
    <w:rsid w:val="19D26CD4"/>
    <w:rsid w:val="19E60D19"/>
    <w:rsid w:val="1A087446"/>
    <w:rsid w:val="1A116BEC"/>
    <w:rsid w:val="1A3E3450"/>
    <w:rsid w:val="1AD807E5"/>
    <w:rsid w:val="1AE77359"/>
    <w:rsid w:val="1B39345B"/>
    <w:rsid w:val="1BFB2A1F"/>
    <w:rsid w:val="1C015D4A"/>
    <w:rsid w:val="1C290ED5"/>
    <w:rsid w:val="1C317E4F"/>
    <w:rsid w:val="1C472464"/>
    <w:rsid w:val="1D22799A"/>
    <w:rsid w:val="1D5C0401"/>
    <w:rsid w:val="1D5C1A72"/>
    <w:rsid w:val="1DAF458D"/>
    <w:rsid w:val="1E086ACE"/>
    <w:rsid w:val="1E62130A"/>
    <w:rsid w:val="1E97358B"/>
    <w:rsid w:val="1EAA4A5F"/>
    <w:rsid w:val="1ED0752A"/>
    <w:rsid w:val="1EDE6F59"/>
    <w:rsid w:val="1EE869A7"/>
    <w:rsid w:val="1F3F37CF"/>
    <w:rsid w:val="1FA15E62"/>
    <w:rsid w:val="1FED69B6"/>
    <w:rsid w:val="204141B7"/>
    <w:rsid w:val="2064678E"/>
    <w:rsid w:val="20DC1AB9"/>
    <w:rsid w:val="20DD6197"/>
    <w:rsid w:val="20E1478B"/>
    <w:rsid w:val="20EB5634"/>
    <w:rsid w:val="212631E0"/>
    <w:rsid w:val="2138666F"/>
    <w:rsid w:val="21742080"/>
    <w:rsid w:val="21A53757"/>
    <w:rsid w:val="21F879E1"/>
    <w:rsid w:val="221236C6"/>
    <w:rsid w:val="22D7662C"/>
    <w:rsid w:val="23326B7F"/>
    <w:rsid w:val="2380045B"/>
    <w:rsid w:val="23BC04D2"/>
    <w:rsid w:val="23EF1892"/>
    <w:rsid w:val="2483647E"/>
    <w:rsid w:val="24A32D55"/>
    <w:rsid w:val="24B73E9F"/>
    <w:rsid w:val="24CE6D9A"/>
    <w:rsid w:val="25292727"/>
    <w:rsid w:val="252E5CA9"/>
    <w:rsid w:val="256F7692"/>
    <w:rsid w:val="25BA2154"/>
    <w:rsid w:val="25C8773F"/>
    <w:rsid w:val="26235823"/>
    <w:rsid w:val="26307422"/>
    <w:rsid w:val="264A7253"/>
    <w:rsid w:val="26A02084"/>
    <w:rsid w:val="26A54135"/>
    <w:rsid w:val="26F0170C"/>
    <w:rsid w:val="26FE3B9A"/>
    <w:rsid w:val="27201D62"/>
    <w:rsid w:val="27286E73"/>
    <w:rsid w:val="27CF2642"/>
    <w:rsid w:val="27E777F5"/>
    <w:rsid w:val="27EA1D4C"/>
    <w:rsid w:val="27EA2E41"/>
    <w:rsid w:val="282459E2"/>
    <w:rsid w:val="283A7FE5"/>
    <w:rsid w:val="285F51FF"/>
    <w:rsid w:val="28C133DC"/>
    <w:rsid w:val="28DA4193"/>
    <w:rsid w:val="28DF2665"/>
    <w:rsid w:val="29072599"/>
    <w:rsid w:val="291029F3"/>
    <w:rsid w:val="29197D79"/>
    <w:rsid w:val="29CB58F0"/>
    <w:rsid w:val="2A053397"/>
    <w:rsid w:val="2A145E96"/>
    <w:rsid w:val="2A2131BB"/>
    <w:rsid w:val="2AF5378F"/>
    <w:rsid w:val="2BB94DBF"/>
    <w:rsid w:val="2BF37410"/>
    <w:rsid w:val="2C6F314E"/>
    <w:rsid w:val="2CBE445B"/>
    <w:rsid w:val="2CC206BE"/>
    <w:rsid w:val="2D1136DF"/>
    <w:rsid w:val="2D20606D"/>
    <w:rsid w:val="2D6729FE"/>
    <w:rsid w:val="2DB87198"/>
    <w:rsid w:val="2DB93C54"/>
    <w:rsid w:val="2E3A6BAC"/>
    <w:rsid w:val="2E3D144C"/>
    <w:rsid w:val="2E4A51A9"/>
    <w:rsid w:val="2E891204"/>
    <w:rsid w:val="2EEC192D"/>
    <w:rsid w:val="2F3F0A28"/>
    <w:rsid w:val="2F732232"/>
    <w:rsid w:val="2FBF7029"/>
    <w:rsid w:val="2FD0187F"/>
    <w:rsid w:val="2FD27414"/>
    <w:rsid w:val="2FFE4BB0"/>
    <w:rsid w:val="300E7B60"/>
    <w:rsid w:val="300F6E18"/>
    <w:rsid w:val="30862F5F"/>
    <w:rsid w:val="30A4775A"/>
    <w:rsid w:val="30D2063F"/>
    <w:rsid w:val="30EE6277"/>
    <w:rsid w:val="314029C9"/>
    <w:rsid w:val="31C63837"/>
    <w:rsid w:val="31C82E39"/>
    <w:rsid w:val="3251016A"/>
    <w:rsid w:val="32601BAD"/>
    <w:rsid w:val="329F6389"/>
    <w:rsid w:val="32EE590C"/>
    <w:rsid w:val="3389023A"/>
    <w:rsid w:val="33CB74FA"/>
    <w:rsid w:val="343642F2"/>
    <w:rsid w:val="343F3010"/>
    <w:rsid w:val="345D0A00"/>
    <w:rsid w:val="34713BFD"/>
    <w:rsid w:val="34C13589"/>
    <w:rsid w:val="353369E3"/>
    <w:rsid w:val="35B21E0B"/>
    <w:rsid w:val="35E00D72"/>
    <w:rsid w:val="36965B9D"/>
    <w:rsid w:val="36C549FD"/>
    <w:rsid w:val="36F55769"/>
    <w:rsid w:val="37A755DD"/>
    <w:rsid w:val="37F33BFE"/>
    <w:rsid w:val="37F94FA0"/>
    <w:rsid w:val="380D3381"/>
    <w:rsid w:val="38115B1F"/>
    <w:rsid w:val="385E3AC3"/>
    <w:rsid w:val="386B4DDA"/>
    <w:rsid w:val="387D6B9E"/>
    <w:rsid w:val="38B75FF0"/>
    <w:rsid w:val="38CB47F9"/>
    <w:rsid w:val="38D45016"/>
    <w:rsid w:val="38D90432"/>
    <w:rsid w:val="3914510A"/>
    <w:rsid w:val="3926770B"/>
    <w:rsid w:val="3982065B"/>
    <w:rsid w:val="398D3668"/>
    <w:rsid w:val="39DA0497"/>
    <w:rsid w:val="3A3D5AB7"/>
    <w:rsid w:val="3A893816"/>
    <w:rsid w:val="3A893B6D"/>
    <w:rsid w:val="3AD1763A"/>
    <w:rsid w:val="3B196883"/>
    <w:rsid w:val="3B6716E3"/>
    <w:rsid w:val="3B6C6B2D"/>
    <w:rsid w:val="3BDA5CE8"/>
    <w:rsid w:val="3C242659"/>
    <w:rsid w:val="3C96719C"/>
    <w:rsid w:val="3CA72BE8"/>
    <w:rsid w:val="3CDC1E1E"/>
    <w:rsid w:val="3CF37F8C"/>
    <w:rsid w:val="3D137554"/>
    <w:rsid w:val="3D5275AC"/>
    <w:rsid w:val="3DCC2473"/>
    <w:rsid w:val="3DEB0883"/>
    <w:rsid w:val="3E2527BF"/>
    <w:rsid w:val="3E584EDF"/>
    <w:rsid w:val="3E70484C"/>
    <w:rsid w:val="3E731662"/>
    <w:rsid w:val="3E8168DD"/>
    <w:rsid w:val="3E947449"/>
    <w:rsid w:val="3EA7725F"/>
    <w:rsid w:val="3EB03713"/>
    <w:rsid w:val="3EBF1A11"/>
    <w:rsid w:val="3EC52607"/>
    <w:rsid w:val="3EEC6CEF"/>
    <w:rsid w:val="3F183429"/>
    <w:rsid w:val="3FB77A1D"/>
    <w:rsid w:val="3FDC3674"/>
    <w:rsid w:val="3FED7F8A"/>
    <w:rsid w:val="40094AEF"/>
    <w:rsid w:val="405470BD"/>
    <w:rsid w:val="40794A29"/>
    <w:rsid w:val="40834692"/>
    <w:rsid w:val="40E408FF"/>
    <w:rsid w:val="41431AD5"/>
    <w:rsid w:val="414B3C0F"/>
    <w:rsid w:val="417C1CE7"/>
    <w:rsid w:val="41900018"/>
    <w:rsid w:val="41944406"/>
    <w:rsid w:val="41CE128F"/>
    <w:rsid w:val="41DA6F12"/>
    <w:rsid w:val="42171FB1"/>
    <w:rsid w:val="424951EB"/>
    <w:rsid w:val="42C10D7B"/>
    <w:rsid w:val="434E6957"/>
    <w:rsid w:val="43903996"/>
    <w:rsid w:val="43BA0E31"/>
    <w:rsid w:val="43C15147"/>
    <w:rsid w:val="43E14DD2"/>
    <w:rsid w:val="43F800E9"/>
    <w:rsid w:val="443A7E4B"/>
    <w:rsid w:val="444A7D08"/>
    <w:rsid w:val="448A0028"/>
    <w:rsid w:val="452F5B3A"/>
    <w:rsid w:val="454E7FD2"/>
    <w:rsid w:val="45815C6A"/>
    <w:rsid w:val="46061BDC"/>
    <w:rsid w:val="461404F8"/>
    <w:rsid w:val="46413018"/>
    <w:rsid w:val="464B7E04"/>
    <w:rsid w:val="468041AA"/>
    <w:rsid w:val="468123C6"/>
    <w:rsid w:val="46901EEE"/>
    <w:rsid w:val="469C74D2"/>
    <w:rsid w:val="46C874A3"/>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D6031D"/>
    <w:rsid w:val="4DF94F37"/>
    <w:rsid w:val="4E0A1DD5"/>
    <w:rsid w:val="4E3160E5"/>
    <w:rsid w:val="4E4D37AF"/>
    <w:rsid w:val="4E8C6496"/>
    <w:rsid w:val="4EFD18DE"/>
    <w:rsid w:val="4F002392"/>
    <w:rsid w:val="4F144236"/>
    <w:rsid w:val="4F663C87"/>
    <w:rsid w:val="4F7E29A8"/>
    <w:rsid w:val="4F9E1FFC"/>
    <w:rsid w:val="500674C6"/>
    <w:rsid w:val="50447CC2"/>
    <w:rsid w:val="50874A7C"/>
    <w:rsid w:val="50895EE7"/>
    <w:rsid w:val="50921B9D"/>
    <w:rsid w:val="50CB7E12"/>
    <w:rsid w:val="50D16158"/>
    <w:rsid w:val="50DB5F45"/>
    <w:rsid w:val="51025EB1"/>
    <w:rsid w:val="51141503"/>
    <w:rsid w:val="513C450E"/>
    <w:rsid w:val="515B7F14"/>
    <w:rsid w:val="518D0ED5"/>
    <w:rsid w:val="52407B73"/>
    <w:rsid w:val="525C687F"/>
    <w:rsid w:val="52A3740A"/>
    <w:rsid w:val="52B54707"/>
    <w:rsid w:val="52F647F7"/>
    <w:rsid w:val="52F92565"/>
    <w:rsid w:val="53583912"/>
    <w:rsid w:val="53AE735E"/>
    <w:rsid w:val="53D03877"/>
    <w:rsid w:val="542F73CA"/>
    <w:rsid w:val="5430786D"/>
    <w:rsid w:val="545A1D2A"/>
    <w:rsid w:val="54C811C0"/>
    <w:rsid w:val="5509421F"/>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9E1082"/>
    <w:rsid w:val="57D1482F"/>
    <w:rsid w:val="58175352"/>
    <w:rsid w:val="581F2200"/>
    <w:rsid w:val="583059FA"/>
    <w:rsid w:val="584A0929"/>
    <w:rsid w:val="58CD2491"/>
    <w:rsid w:val="591B41B2"/>
    <w:rsid w:val="59254A26"/>
    <w:rsid w:val="59326325"/>
    <w:rsid w:val="59331006"/>
    <w:rsid w:val="595C505B"/>
    <w:rsid w:val="595E55C3"/>
    <w:rsid w:val="596E7E20"/>
    <w:rsid w:val="5998600B"/>
    <w:rsid w:val="59C64FA4"/>
    <w:rsid w:val="5A5D23AA"/>
    <w:rsid w:val="5A60780B"/>
    <w:rsid w:val="5AB34579"/>
    <w:rsid w:val="5AB40E78"/>
    <w:rsid w:val="5AF80B40"/>
    <w:rsid w:val="5AFC6609"/>
    <w:rsid w:val="5B113480"/>
    <w:rsid w:val="5B5B39CA"/>
    <w:rsid w:val="5BD456CE"/>
    <w:rsid w:val="5C0D1F49"/>
    <w:rsid w:val="5CBB0CE2"/>
    <w:rsid w:val="5CC17177"/>
    <w:rsid w:val="5CF306BC"/>
    <w:rsid w:val="5D3F3D64"/>
    <w:rsid w:val="5D833043"/>
    <w:rsid w:val="5DD92690"/>
    <w:rsid w:val="5DDB1CFD"/>
    <w:rsid w:val="5E7E6D93"/>
    <w:rsid w:val="5E82459B"/>
    <w:rsid w:val="5ED44800"/>
    <w:rsid w:val="5F33102A"/>
    <w:rsid w:val="5F350BDE"/>
    <w:rsid w:val="5F61632C"/>
    <w:rsid w:val="5FA17648"/>
    <w:rsid w:val="5FE705CB"/>
    <w:rsid w:val="6007714E"/>
    <w:rsid w:val="601776B6"/>
    <w:rsid w:val="603D5080"/>
    <w:rsid w:val="606842D0"/>
    <w:rsid w:val="608C31FC"/>
    <w:rsid w:val="60D0261B"/>
    <w:rsid w:val="618E3791"/>
    <w:rsid w:val="61947DCA"/>
    <w:rsid w:val="61A46A97"/>
    <w:rsid w:val="61D1382F"/>
    <w:rsid w:val="61F114A2"/>
    <w:rsid w:val="622B0ABA"/>
    <w:rsid w:val="62512BB4"/>
    <w:rsid w:val="625D7D1A"/>
    <w:rsid w:val="62660469"/>
    <w:rsid w:val="62DD7D21"/>
    <w:rsid w:val="6356325C"/>
    <w:rsid w:val="637D586B"/>
    <w:rsid w:val="63A5560B"/>
    <w:rsid w:val="63E9091F"/>
    <w:rsid w:val="64322AF9"/>
    <w:rsid w:val="64D6010D"/>
    <w:rsid w:val="64D82665"/>
    <w:rsid w:val="64E47C96"/>
    <w:rsid w:val="64ED3770"/>
    <w:rsid w:val="651E5741"/>
    <w:rsid w:val="655D7702"/>
    <w:rsid w:val="658A4877"/>
    <w:rsid w:val="65A00902"/>
    <w:rsid w:val="65AC6EDD"/>
    <w:rsid w:val="65B80DDC"/>
    <w:rsid w:val="65D97752"/>
    <w:rsid w:val="66085536"/>
    <w:rsid w:val="66105BF7"/>
    <w:rsid w:val="66150023"/>
    <w:rsid w:val="6628010D"/>
    <w:rsid w:val="66943BA4"/>
    <w:rsid w:val="669B4528"/>
    <w:rsid w:val="66CC12D7"/>
    <w:rsid w:val="66D21752"/>
    <w:rsid w:val="67134CEF"/>
    <w:rsid w:val="671F1ABD"/>
    <w:rsid w:val="673E26C7"/>
    <w:rsid w:val="67521A59"/>
    <w:rsid w:val="67867346"/>
    <w:rsid w:val="67AE2497"/>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A40F72"/>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8A2BE8"/>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D4634B"/>
    <w:rsid w:val="790A6425"/>
    <w:rsid w:val="790E2D96"/>
    <w:rsid w:val="790F442C"/>
    <w:rsid w:val="791B54B2"/>
    <w:rsid w:val="793C0F89"/>
    <w:rsid w:val="795A0A34"/>
    <w:rsid w:val="797339C3"/>
    <w:rsid w:val="79D57D57"/>
    <w:rsid w:val="79F00650"/>
    <w:rsid w:val="7A6242BF"/>
    <w:rsid w:val="7A794513"/>
    <w:rsid w:val="7A9B3811"/>
    <w:rsid w:val="7AB467DA"/>
    <w:rsid w:val="7AB9318D"/>
    <w:rsid w:val="7AE952D2"/>
    <w:rsid w:val="7B315AFD"/>
    <w:rsid w:val="7B484155"/>
    <w:rsid w:val="7B9F26AF"/>
    <w:rsid w:val="7BB607FE"/>
    <w:rsid w:val="7BCE54A7"/>
    <w:rsid w:val="7C7248A0"/>
    <w:rsid w:val="7C976D69"/>
    <w:rsid w:val="7CD752DA"/>
    <w:rsid w:val="7CDE40AB"/>
    <w:rsid w:val="7CF057E2"/>
    <w:rsid w:val="7D1548B5"/>
    <w:rsid w:val="7DAA4582"/>
    <w:rsid w:val="7DF84014"/>
    <w:rsid w:val="7E207949"/>
    <w:rsid w:val="7E5C0A47"/>
    <w:rsid w:val="7E670C75"/>
    <w:rsid w:val="7EE24272"/>
    <w:rsid w:val="7EEA6053"/>
    <w:rsid w:val="7F1F0478"/>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7957</Words>
  <Characters>9016</Characters>
  <Lines>0</Lines>
  <Paragraphs>0</Paragraphs>
  <TotalTime>21</TotalTime>
  <ScaleCrop>false</ScaleCrop>
  <LinksUpToDate>false</LinksUpToDate>
  <CharactersWithSpaces>9028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2025-03-28T03:20:36Z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