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沙湾市金沟河镇卫生院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（一）主要负责辖区内广大农牧民的基本医疗、预防保健。</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（二）公共卫生事件的处理；承担乡村现场应急救护、转诊服务和康复服务。</w:t>
      </w:r>
      <w:r>
        <w:rPr>
          <w:rFonts w:hint="eastAsia" w:ascii="仿宋_GB2312" w:eastAsia="仿宋_GB2312"/>
          <w:sz w:val="32"/>
          <w:szCs w:val="32"/>
          <w:highlight w:val="none"/>
        </w:rPr>
        <w:br w:type="textWrapping"/>
      </w:r>
      <w:r>
        <w:rPr>
          <w:rFonts w:hint="eastAsia" w:ascii="仿宋_GB2312" w:eastAsia="仿宋_GB2312"/>
          <w:sz w:val="32"/>
          <w:szCs w:val="32"/>
          <w:highlight w:val="none"/>
        </w:rPr>
        <w:t>　　（三）做好基本公共卫生服务等项目：1、提供公共卫生承担农村居民健康档案规范建档指导、管理及服务普及卫生保健常识，在重点人群和重点场所开展健康教育，帮助居民形成有利于维护和增进健康的行为方式。2、提供并组织实施辖区预防接种服务，落实国家免疫规划。3、开展新生儿访视及儿童保健系统管理，进行体格检查和生长发育监测及评价，开展健康指导。开展孕产妇保健系统管理和产后访视，进行一般体格检查及孕期营养、心理等健康指导。4、对辖区65岁及以上老年人进行登记管理，进行健康危险因素调查和一般体格检查，开展健康指导。5、对确诊高血压、糖尿病等慢性病病例进行指导、登记管理、定期随访和健康指导。6、对辖区重性精神疾病患者进行登记管理、康复指导。7、做好体检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(四）执行国家基本药物制度药品</w:t>
      </w:r>
      <w:r>
        <w:rPr>
          <w:rFonts w:hint="eastAsia" w:ascii="仿宋_GB2312" w:eastAsia="仿宋_GB2312"/>
          <w:sz w:val="32"/>
          <w:szCs w:val="32"/>
          <w:highlight w:val="none"/>
          <w:lang w:eastAsia="zh-CN"/>
        </w:rPr>
        <w:t>集中采购</w:t>
      </w:r>
      <w:r>
        <w:rPr>
          <w:rFonts w:hint="eastAsia" w:ascii="仿宋_GB2312" w:eastAsia="仿宋_GB2312"/>
          <w:sz w:val="32"/>
          <w:szCs w:val="32"/>
          <w:highlight w:val="none"/>
        </w:rPr>
        <w:t>、零差率销售等政策，为实施一体化管理的村卫生室统一代购药品。</w:t>
      </w:r>
      <w:r>
        <w:rPr>
          <w:rFonts w:hint="eastAsia" w:ascii="仿宋_GB2312" w:eastAsia="仿宋_GB2312"/>
          <w:sz w:val="32"/>
          <w:szCs w:val="32"/>
          <w:highlight w:val="none"/>
        </w:rPr>
        <w:br w:type="textWrapping"/>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（五）做好卫生监督协管各项工作，对村卫生室工作进行指导，培训，考核。严格执行</w:t>
      </w:r>
      <w:r>
        <w:rPr>
          <w:rFonts w:hint="eastAsia" w:ascii="仿宋_GB2312" w:eastAsia="仿宋_GB2312"/>
          <w:sz w:val="32"/>
          <w:szCs w:val="32"/>
          <w:highlight w:val="none"/>
          <w:lang w:eastAsia="zh-CN"/>
        </w:rPr>
        <w:t>城乡居民基本医疗保险</w:t>
      </w:r>
      <w:r>
        <w:rPr>
          <w:rFonts w:hint="eastAsia" w:ascii="仿宋_GB2312" w:eastAsia="仿宋_GB2312"/>
          <w:sz w:val="32"/>
          <w:szCs w:val="32"/>
          <w:highlight w:val="none"/>
        </w:rPr>
        <w:t>政策。</w:t>
      </w:r>
      <w:r>
        <w:rPr>
          <w:rFonts w:hint="eastAsia" w:ascii="仿宋_GB2312" w:eastAsia="仿宋_GB2312"/>
          <w:sz w:val="32"/>
          <w:szCs w:val="32"/>
          <w:highlight w:val="none"/>
        </w:rPr>
        <w:br w:type="textWrapping"/>
      </w:r>
      <w:r>
        <w:rPr>
          <w:rFonts w:hint="eastAsia" w:ascii="仿宋_GB2312" w:eastAsia="仿宋_GB2312"/>
          <w:sz w:val="32"/>
          <w:szCs w:val="32"/>
          <w:highlight w:val="none"/>
        </w:rPr>
        <w:t>　　（六）深入推进乡村卫生服务一体化管理，对村卫生室实行以行政、人员、业务、药品、财产为基本内容的“五统一”规范管理；负责村卫生室的技术指导和乡村医生培训等工作。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沙湾市金沟河镇卫生院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3092"/>
      <w:bookmarkStart w:id="7" w:name="_Toc29374"/>
      <w:r>
        <w:rPr>
          <w:rFonts w:hint="eastAsia" w:ascii="仿宋_GB2312" w:hAnsi="黑体" w:eastAsia="仿宋_GB2312" w:cs="宋体"/>
          <w:bCs/>
          <w:color w:val="auto"/>
          <w:kern w:val="0"/>
          <w:sz w:val="32"/>
          <w:szCs w:val="32"/>
          <w:highlight w:val="none"/>
        </w:rPr>
        <w:t>单位无下属预算单位，</w:t>
      </w:r>
      <w:r>
        <w:rPr>
          <w:rFonts w:hint="eastAsia" w:ascii="仿宋_GB2312" w:eastAsia="仿宋_GB2312"/>
          <w:sz w:val="32"/>
          <w:szCs w:val="32"/>
          <w:highlight w:val="none"/>
          <w:lang w:eastAsia="zh-CN"/>
        </w:rPr>
        <w:t>下设9个处室，分别是：药房、医生办公室、公共卫生办公室、化验室、防疫办公室、妇幼办公室、B超办公室、护士办公室、财务室。</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820.49万元，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820.49万元，使用非财政拨款结余0.00万元，年初结转和结余0.00万元。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820.49万元，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769.53万元，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0.00万元，年末结转和结余50.96万元。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增加287.65万元</w:t>
      </w:r>
      <w:r>
        <w:rPr>
          <w:rFonts w:hint="eastAsia" w:ascii="仿宋_GB2312" w:eastAsia="仿宋_GB2312"/>
          <w:color w:val="auto"/>
          <w:spacing w:val="0"/>
          <w:sz w:val="32"/>
          <w:szCs w:val="32"/>
          <w:highlight w:val="none"/>
          <w:lang w:eastAsia="zh-CN"/>
        </w:rPr>
        <w:t>，增长53.98%，主要原因是：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；三是2023年单位医疗收入-住院收入增加；四是2023年新增手术室设备采购项目资金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820.49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602.43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73.42%</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217.23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26.48%</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0.82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本年支出769.53万元，其中：基本支出558.33万元，占72.55%；项目支出211.21万元，占27.45%；上缴上级支出0.00万元，占0.00%；经营支出0.00万元，占0.00%；对附属单位补助支出0.00万元，占0.00%。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602.43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602.43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602.43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602.43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增加69.59万元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增长13.06%,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377.63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602.43</w:t>
      </w:r>
      <w:r>
        <w:rPr>
          <w:rFonts w:hint="eastAsia" w:ascii="仿宋_GB2312" w:eastAsia="仿宋_GB2312"/>
          <w:color w:val="auto"/>
          <w:spacing w:val="0"/>
          <w:sz w:val="32"/>
          <w:szCs w:val="32"/>
          <w:highlight w:val="none"/>
          <w:lang w:eastAsia="zh-CN"/>
        </w:rPr>
        <w:t>万元，预决算差异率59.53%，主要原因是：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2023年度一般公共预算财政拨款支出602.43万元，占本年支出合计的</w:t>
      </w:r>
      <w:r>
        <w:rPr>
          <w:rFonts w:hint="eastAsia" w:ascii="仿宋_GB2312" w:eastAsia="仿宋_GB2312"/>
          <w:color w:val="auto"/>
          <w:spacing w:val="0"/>
          <w:sz w:val="32"/>
          <w:szCs w:val="32"/>
          <w:highlight w:val="none"/>
          <w:lang w:val="zh-CN" w:eastAsia="zh-CN"/>
        </w:rPr>
        <w:t>78.29%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增加69.59万元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增长13.06%,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377.63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602.43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59.53%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；三是2023年新增手术室设备采购项目资金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37.27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6.19%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538.31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89.36%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26.86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4.4</w:t>
      </w:r>
      <w:r>
        <w:rPr>
          <w:rFonts w:hint="eastAsia" w:ascii="仿宋_GB2312" w:eastAsia="仿宋_GB2312" w:cs="Times New Roman"/>
          <w:color w:val="auto"/>
          <w:spacing w:val="0"/>
          <w:kern w:val="2"/>
          <w:sz w:val="32"/>
          <w:szCs w:val="32"/>
          <w:highlight w:val="none"/>
          <w:lang w:val="en-US" w:eastAsia="zh-CN" w:bidi="ar-SA"/>
        </w:rPr>
        <w:t>5</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1.卫生健康支出（类）公立医院（款）其他公立医院支出（项）:支出决算数为30.00万元，比上年决算增加25.27万元，增长534.25%，主要原因是：2023年度新增基层医疗卫生机构手术室设备采购项目补助资金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2.卫生健康支出（类）行政事业单位医疗（款）事业单位医疗（项）:支出决算数为14.93万元，比上年决算减少1.80万元，下降10.76%，主要原因是：2023年度取消退休人员医疗保险</w:t>
      </w:r>
      <w:r>
        <w:rPr>
          <w:rFonts w:hint="eastAsia" w:ascii="仿宋_GB2312" w:eastAsia="仿宋_GB2312"/>
          <w:sz w:val="32"/>
          <w:szCs w:val="32"/>
          <w:highlight w:val="none"/>
          <w:lang w:val="en-US" w:eastAsia="zh-CN"/>
        </w:rPr>
        <w:t>单位医疗支出减少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3.卫生健康支出（类）基层医疗卫生机构（款）其他基层医疗卫生机构支出（项）:支出决算数为49.31万元，比上年决算增加15.41万元，增长45.46%，主要原因是：2023年安排</w:t>
      </w:r>
      <w:r>
        <w:rPr>
          <w:rFonts w:hint="eastAsia" w:ascii="仿宋_GB2312" w:hAnsi="仿宋_GB2312" w:eastAsia="仿宋_GB2312" w:cs="仿宋_GB2312"/>
          <w:color w:val="auto"/>
          <w:kern w:val="2"/>
          <w:sz w:val="32"/>
          <w:szCs w:val="32"/>
          <w:highlight w:val="none"/>
          <w:lang w:val="zh-CN" w:eastAsia="zh-CN" w:bidi="ar-SA"/>
        </w:rPr>
        <w:t>2015-2017年卫生院门诊综合楼、村卫生室建设工程款</w:t>
      </w:r>
      <w:r>
        <w:rPr>
          <w:rFonts w:hint="eastAsia" w:ascii="仿宋_GB2312" w:hAnsi="仿宋_GB2312" w:eastAsia="仿宋_GB2312" w:cs="仿宋_GB2312"/>
          <w:color w:val="auto"/>
          <w:kern w:val="2"/>
          <w:sz w:val="32"/>
          <w:szCs w:val="32"/>
          <w:highlight w:val="none"/>
          <w:lang w:val="en-US" w:eastAsia="zh-CN" w:bidi="ar-SA"/>
        </w:rPr>
        <w:t>项目资金增加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4.卫生健康支出（类）公共卫生（款）其他公共卫生支出（项）:支出决算数为37.14万元，比上年决算减少7.74万元，下降17.25%，主要原因是：</w:t>
      </w:r>
      <w:r>
        <w:rPr>
          <w:rFonts w:hint="eastAsia" w:ascii="仿宋_GB2312" w:eastAsia="仿宋_GB2312"/>
          <w:sz w:val="32"/>
          <w:szCs w:val="32"/>
          <w:highlight w:val="none"/>
          <w:lang w:val="en-US" w:eastAsia="zh-CN"/>
        </w:rPr>
        <w:t>2023年房屋维修，设备购置等项目未完成验收，项目资金未支付结转下年。</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5.卫生健康支出（类）基层医疗卫生机构（款）乡镇卫生院（项）:支出决算数为312.17万元，比上年决算增加24.17万元，增长8.39%，主要原因是：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6.住房保障支出（类）住房改革支出（款）住房公积金（项）:支出决算数为26.86万元，比上年决算增加2.41万元，增长9.86%，主要原因是：</w:t>
      </w:r>
      <w:r>
        <w:rPr>
          <w:rFonts w:hint="eastAsia" w:ascii="仿宋_GB2312" w:eastAsia="仿宋_GB2312"/>
          <w:sz w:val="32"/>
          <w:szCs w:val="32"/>
          <w:highlight w:val="none"/>
          <w:lang w:val="en-US" w:eastAsia="zh-CN"/>
        </w:rPr>
        <w:t>2023年人员工资普调，住房公积金缴费基数提高，单位住房公积金缴费支出增加。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7.社会保障和就业支出（类）行政事业单位养老支出（款）事业单位离退休（项）:支出决算数为3.01万元，比上年决算增加1.00万元，增长49.75%，主要原因是：</w:t>
      </w:r>
      <w:r>
        <w:rPr>
          <w:rFonts w:hint="eastAsia" w:ascii="仿宋_GB2312" w:eastAsia="仿宋_GB2312"/>
          <w:sz w:val="32"/>
          <w:szCs w:val="32"/>
          <w:highlight w:val="none"/>
          <w:lang w:val="en-US" w:eastAsia="zh-CN"/>
        </w:rPr>
        <w:t>2023年补发退休基础绩效增资，事业单位离退休支出增加。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8.卫生健康支出（类）公共卫生（款）基本公共卫生服务（项）:支出决算数为94.15万元，比上年决算增加17.61万元，增长23.01%，主要原因是：</w:t>
      </w:r>
      <w:r>
        <w:rPr>
          <w:rFonts w:hint="eastAsia" w:ascii="仿宋_GB2312" w:eastAsia="仿宋_GB2312"/>
          <w:sz w:val="32"/>
          <w:szCs w:val="32"/>
          <w:highlight w:val="none"/>
          <w:lang w:val="en-US" w:eastAsia="zh-CN"/>
        </w:rPr>
        <w:t>2023年基本公共卫生服务项目人均补助标准提高，乡村医生基本公共卫生服务补助支出增加。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9.卫生健康支出（类）公共卫生（款）重大公共卫生服务（项）:支出决算数为0.60万元，比上年决算增加0.60万元，增长100%，主要原因是：2023年新增食品安全项目补助资金</w:t>
      </w:r>
      <w:r>
        <w:rPr>
          <w:rFonts w:hint="eastAsia" w:ascii="仿宋_GB2312" w:hAnsi="仿宋_GB2312" w:eastAsia="仿宋_GB2312" w:cs="仿宋_GB2312"/>
          <w:color w:val="auto"/>
          <w:kern w:val="2"/>
          <w:sz w:val="32"/>
          <w:szCs w:val="32"/>
          <w:highlight w:val="none"/>
          <w:lang w:val="zh-CN" w:eastAsia="zh-CN" w:bidi="ar-SA"/>
        </w:rPr>
        <w:t>。</w:t>
      </w:r>
    </w:p>
    <w:p>
      <w:pPr>
        <w:spacing w:beforeLines="0" w:afterLines="0"/>
        <w:ind w:firstLine="640" w:firstLineChars="200"/>
        <w:rPr>
          <w:rFonts w:hint="eastAsia" w:ascii="仿宋_GB2312" w:eastAsia="仿宋_GB2312"/>
          <w:sz w:val="32"/>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10.社会保障和就业支出（类）行政事业单位养老支出（款）机关事业单位基本养老保险缴费支出（项）:支出决算数为34.26万元，比上年决算增加6.95万元，增长25.45%，主要原因是：</w:t>
      </w:r>
      <w:r>
        <w:rPr>
          <w:rFonts w:hint="eastAsia" w:ascii="仿宋_GB2312" w:eastAsia="仿宋_GB2312"/>
          <w:sz w:val="32"/>
        </w:rPr>
        <w:t>2023年补发退休基础绩效增资，事业单位离退休支出增加。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职业年金缴费支出（项）:支出决算数为0.00万元，比上年决算减少4.28万元，下降100%，主要原因是：2023年度无在职转退休人员，未发生职业年金缴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12.卫生健康支出（类）中医药（款）中医（民族医）药专项（项）:支出决算数为0.00万元，比上年决算减少10.00万元，下降100%，主要原因是：2023年未安排中医馆建设项目资金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391.23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390.28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0.95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原因是：固定资产车辆</w:t>
      </w:r>
      <w:r>
        <w:rPr>
          <w:rFonts w:hint="eastAsia" w:ascii="仿宋_GB2312" w:eastAsia="仿宋_GB2312"/>
          <w:color w:val="auto"/>
          <w:sz w:val="32"/>
          <w:szCs w:val="32"/>
          <w:highlight w:val="none"/>
          <w:lang w:val="en-US" w:eastAsia="zh-CN"/>
        </w:rPr>
        <w:t>1辆为救护车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沙湾市金沟河镇卫生院（事业单位）公用经费支出0.95万元，</w:t>
      </w:r>
      <w:r>
        <w:rPr>
          <w:rFonts w:hint="eastAsia" w:ascii="仿宋_GB2312" w:hAnsi="仿宋_GB2312" w:eastAsia="仿宋_GB2312" w:cs="仿宋_GB2312"/>
          <w:color w:val="auto"/>
          <w:sz w:val="32"/>
          <w:szCs w:val="32"/>
          <w:highlight w:val="none"/>
          <w:lang w:val="zh-CN" w:eastAsia="zh-CN"/>
        </w:rPr>
        <w:t>比上年增加0.95万元，增长100.00%，主要原因是：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年公用经费支付单位工会经费相关费用，2022年未</w:t>
      </w:r>
      <w:r>
        <w:rPr>
          <w:rFonts w:hint="eastAsia" w:ascii="仿宋_GB2312" w:eastAsia="仿宋_GB2312"/>
          <w:sz w:val="32"/>
          <w:szCs w:val="32"/>
          <w:highlight w:val="none"/>
          <w:lang w:val="en-US" w:eastAsia="zh-CN"/>
        </w:rPr>
        <w:t>安排</w:t>
      </w:r>
      <w:r>
        <w:rPr>
          <w:rFonts w:hint="eastAsia" w:ascii="仿宋_GB2312" w:eastAsia="仿宋_GB2312"/>
          <w:sz w:val="32"/>
          <w:szCs w:val="32"/>
          <w:highlight w:val="none"/>
        </w:rPr>
        <w:t>此项费用。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10.93万元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其中：政府采购货物支出0.98万元、政府采购工程支出0.00万元、政府采购服务支出9.95万元。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授予中小企业合同金额10.93万元，占政府采购支出总额的100.00%，其中：授予小微企业合同金额10.93万元，占政府采购支出总额的100.00%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697.08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屋2,653.02平方米，价值436.51万元。车辆1辆，价值15.51万元，其中：副部（省）级及以上领导用车0辆、主要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bookmarkStart w:id="30" w:name="_Toc3250"/>
      <w:bookmarkStart w:id="31" w:name="_Toc24143"/>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预算总额613.11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实际执行总额602.43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全年预算数211.21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全年执行数211.21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w:t>
      </w:r>
      <w:r>
        <w:rPr>
          <w:rFonts w:hint="eastAsia" w:ascii="仿宋_GB2312" w:eastAsia="仿宋_GB2312"/>
          <w:color w:val="auto"/>
          <w:sz w:val="32"/>
          <w:szCs w:val="32"/>
          <w:lang w:eastAsia="zh-CN"/>
        </w:rPr>
        <w:t>本单位sm项目</w:t>
      </w:r>
      <w:r>
        <w:rPr>
          <w:rFonts w:hint="eastAsia" w:ascii="仿宋_GB2312" w:eastAsia="仿宋_GB2312"/>
          <w:color w:val="auto"/>
          <w:sz w:val="32"/>
          <w:szCs w:val="32"/>
          <w:lang w:val="en-US" w:eastAsia="zh-CN"/>
        </w:rPr>
        <w:t>1</w:t>
      </w:r>
      <w:r>
        <w:rPr>
          <w:rFonts w:hint="eastAsia" w:ascii="仿宋_GB2312" w:eastAsia="仿宋_GB2312"/>
          <w:color w:val="auto"/>
          <w:sz w:val="32"/>
          <w:szCs w:val="32"/>
          <w:lang w:eastAsia="zh-CN"/>
        </w:rPr>
        <w:t>个，全年预算数</w:t>
      </w:r>
      <w:r>
        <w:rPr>
          <w:rFonts w:hint="eastAsia" w:ascii="仿宋_GB2312" w:eastAsia="仿宋_GB2312"/>
          <w:color w:val="auto"/>
          <w:sz w:val="32"/>
          <w:szCs w:val="32"/>
          <w:highlight w:val="none"/>
          <w:lang w:val="en-US" w:eastAsia="zh-CN"/>
        </w:rPr>
        <w:t>0.61</w:t>
      </w:r>
      <w:r>
        <w:rPr>
          <w:rFonts w:hint="eastAsia" w:ascii="仿宋_GB2312" w:eastAsia="仿宋_GB2312"/>
          <w:color w:val="auto"/>
          <w:sz w:val="32"/>
          <w:szCs w:val="32"/>
          <w:lang w:eastAsia="zh-CN"/>
        </w:rPr>
        <w:t>万元，全年执行数</w:t>
      </w:r>
      <w:r>
        <w:rPr>
          <w:rFonts w:hint="eastAsia" w:ascii="仿宋_GB2312" w:eastAsia="仿宋_GB2312"/>
          <w:color w:val="auto"/>
          <w:sz w:val="32"/>
          <w:szCs w:val="32"/>
          <w:highlight w:val="none"/>
          <w:lang w:val="en-US" w:eastAsia="zh-CN"/>
        </w:rPr>
        <w:t>0.61</w:t>
      </w:r>
      <w:r>
        <w:rPr>
          <w:rFonts w:hint="eastAsia" w:ascii="仿宋_GB2312" w:eastAsia="仿宋_GB2312"/>
          <w:color w:val="auto"/>
          <w:sz w:val="32"/>
          <w:szCs w:val="32"/>
          <w:lang w:eastAsia="zh-CN"/>
        </w:rPr>
        <w:t>万元，不予以公开</w:t>
      </w:r>
      <w:r>
        <w:rPr>
          <w:rFonts w:hint="eastAsia" w:ascii="仿宋_GB2312" w:eastAsia="仿宋_GB2312"/>
          <w:sz w:val="32"/>
          <w:szCs w:val="32"/>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sz w:val="32"/>
          <w:szCs w:val="32"/>
          <w:highlight w:val="none"/>
          <w:lang w:eastAsia="zh-CN"/>
        </w:rPr>
        <w:t>通过对每笔资金的细致化管理来保障资金使用的合规、合法性，并据此分析各类资金支出产生的效益，使本单位的绩效</w:t>
      </w:r>
      <w:r>
        <w:rPr>
          <w:rFonts w:hint="eastAsia" w:ascii="仿宋_GB2312" w:eastAsia="仿宋_GB2312"/>
          <w:sz w:val="32"/>
          <w:szCs w:val="32"/>
          <w:highlight w:val="none"/>
          <w:lang w:val="en-US" w:eastAsia="zh-CN"/>
        </w:rPr>
        <w:t>管理</w:t>
      </w:r>
      <w:r>
        <w:rPr>
          <w:rFonts w:hint="eastAsia" w:ascii="仿宋_GB2312" w:eastAsia="仿宋_GB2312"/>
          <w:sz w:val="32"/>
          <w:szCs w:val="32"/>
          <w:highlight w:val="none"/>
          <w:lang w:eastAsia="zh-CN"/>
        </w:rPr>
        <w:t>工作上一个新台阶</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在项目实施过程中，业务人员加强项目管理，合理控制项目成本</w:t>
      </w:r>
      <w:r>
        <w:rPr>
          <w:rFonts w:hint="eastAsia" w:ascii="仿宋_GB2312" w:eastAsia="仿宋_GB2312"/>
          <w:color w:val="auto"/>
          <w:sz w:val="32"/>
          <w:szCs w:val="32"/>
          <w:highlight w:val="none"/>
          <w:lang w:eastAsia="zh-CN"/>
        </w:rPr>
        <w:t>。发现的问题及原因：一是</w:t>
      </w:r>
      <w:r>
        <w:rPr>
          <w:rFonts w:hint="eastAsia" w:ascii="仿宋_GB2312" w:eastAsia="仿宋_GB2312"/>
          <w:sz w:val="32"/>
          <w:szCs w:val="32"/>
          <w:highlight w:val="none"/>
          <w:lang w:eastAsia="zh-CN"/>
        </w:rPr>
        <w:t>预算编制前根据年度内单位可预见的工作任务，确定了单位年度预算目标，细化了预算指标，但是在实际支付过程中，个别时候未严格按照预算指标执行</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在预算绩效管理工作中，存在“重投入轻管理、重支出轻绩效”的情况，对全面实施预算绩效管理的要求认识还不到位，项目申报、实施等环节与预算绩效管理各个环节联系不够紧密</w:t>
      </w:r>
      <w:r>
        <w:rPr>
          <w:rFonts w:hint="eastAsia" w:ascii="仿宋_GB2312" w:eastAsia="仿宋_GB2312"/>
          <w:color w:val="auto"/>
          <w:sz w:val="32"/>
          <w:szCs w:val="32"/>
          <w:highlight w:val="none"/>
          <w:lang w:eastAsia="zh-CN"/>
        </w:rPr>
        <w:t>。下一步改进措施：一是</w:t>
      </w:r>
      <w:r>
        <w:rPr>
          <w:rFonts w:hint="eastAsia" w:ascii="仿宋_GB2312" w:eastAsia="仿宋_GB2312"/>
          <w:sz w:val="32"/>
          <w:szCs w:val="32"/>
          <w:highlight w:val="none"/>
          <w:lang w:eastAsia="zh-CN"/>
        </w:rPr>
        <w:t>提高对预算绩效管理的认识，充分理解财政绩效评价指标体系，加强预算的约束力</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强化全过程预算绩效管理理念，突出绩效指标的重要性和综合性。</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lang w:eastAsia="zh-CN"/>
        </w:rPr>
        <w:t>本单位sm项目</w:t>
      </w:r>
      <w:r>
        <w:rPr>
          <w:rFonts w:hint="eastAsia" w:ascii="仿宋_GB2312" w:eastAsia="仿宋_GB2312"/>
          <w:color w:val="auto"/>
          <w:sz w:val="32"/>
          <w:szCs w:val="32"/>
          <w:lang w:val="en-US" w:eastAsia="zh-CN"/>
        </w:rPr>
        <w:t>1</w:t>
      </w:r>
      <w:r>
        <w:rPr>
          <w:rFonts w:hint="eastAsia" w:ascii="仿宋_GB2312" w:eastAsia="仿宋_GB2312"/>
          <w:color w:val="auto"/>
          <w:sz w:val="32"/>
          <w:szCs w:val="32"/>
          <w:lang w:eastAsia="zh-CN"/>
        </w:rPr>
        <w:t>个，全年预算数</w:t>
      </w:r>
      <w:r>
        <w:rPr>
          <w:rFonts w:hint="eastAsia" w:ascii="仿宋_GB2312" w:eastAsia="仿宋_GB2312"/>
          <w:color w:val="auto"/>
          <w:sz w:val="32"/>
          <w:szCs w:val="32"/>
          <w:highlight w:val="none"/>
          <w:lang w:val="en-US" w:eastAsia="zh-CN"/>
        </w:rPr>
        <w:t>0.61</w:t>
      </w:r>
      <w:r>
        <w:rPr>
          <w:rFonts w:hint="eastAsia" w:ascii="仿宋_GB2312" w:eastAsia="仿宋_GB2312"/>
          <w:color w:val="auto"/>
          <w:sz w:val="32"/>
          <w:szCs w:val="32"/>
          <w:lang w:eastAsia="zh-CN"/>
        </w:rPr>
        <w:t>万元，全年执行数</w:t>
      </w:r>
      <w:r>
        <w:rPr>
          <w:rFonts w:hint="eastAsia" w:ascii="仿宋_GB2312" w:eastAsia="仿宋_GB2312"/>
          <w:color w:val="auto"/>
          <w:sz w:val="32"/>
          <w:szCs w:val="32"/>
          <w:highlight w:val="none"/>
          <w:lang w:val="en-US" w:eastAsia="zh-CN"/>
        </w:rPr>
        <w:t>0.61</w:t>
      </w:r>
      <w:r>
        <w:rPr>
          <w:rFonts w:hint="eastAsia" w:ascii="仿宋_GB2312" w:eastAsia="仿宋_GB2312"/>
          <w:color w:val="auto"/>
          <w:sz w:val="32"/>
          <w:szCs w:val="32"/>
          <w:lang w:eastAsia="zh-CN"/>
        </w:rPr>
        <w:t>万元，不予以公开绩效自评表。</w:t>
      </w:r>
      <w:bookmarkStart w:id="48" w:name="_GoBack"/>
      <w:bookmarkEnd w:id="48"/>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 w:name="KSO_WPS_MARK_KEY" w:val="41ee2a61-2d54-4f93-83be-afdb9a40d732"/>
  </w:docVars>
  <w:rsids>
    <w:rsidRoot w:val="00172A27"/>
    <w:rsid w:val="00213C59"/>
    <w:rsid w:val="003210CE"/>
    <w:rsid w:val="00362F72"/>
    <w:rsid w:val="00B70D59"/>
    <w:rsid w:val="00F52A8D"/>
    <w:rsid w:val="019404F8"/>
    <w:rsid w:val="01C30B6B"/>
    <w:rsid w:val="01ED22F2"/>
    <w:rsid w:val="02BD3108"/>
    <w:rsid w:val="02F73D26"/>
    <w:rsid w:val="034D4FEF"/>
    <w:rsid w:val="035D1785"/>
    <w:rsid w:val="037F1D9A"/>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8E16267"/>
    <w:rsid w:val="09114954"/>
    <w:rsid w:val="095A5B83"/>
    <w:rsid w:val="096466E3"/>
    <w:rsid w:val="0968304D"/>
    <w:rsid w:val="09AF3D17"/>
    <w:rsid w:val="09F6756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C73352"/>
    <w:rsid w:val="0CD208AC"/>
    <w:rsid w:val="0D172DAA"/>
    <w:rsid w:val="0D4903E8"/>
    <w:rsid w:val="0D7A4A46"/>
    <w:rsid w:val="0E640559"/>
    <w:rsid w:val="0F1113DA"/>
    <w:rsid w:val="0F78534A"/>
    <w:rsid w:val="0F89358A"/>
    <w:rsid w:val="0F8C6D51"/>
    <w:rsid w:val="10076AA4"/>
    <w:rsid w:val="105B0B5E"/>
    <w:rsid w:val="112E58D0"/>
    <w:rsid w:val="11731CAC"/>
    <w:rsid w:val="117844E5"/>
    <w:rsid w:val="119500A0"/>
    <w:rsid w:val="11A167AC"/>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971836"/>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CA3A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3C2D59"/>
    <w:rsid w:val="4CEE3180"/>
    <w:rsid w:val="4D0F4AF6"/>
    <w:rsid w:val="4DF94F37"/>
    <w:rsid w:val="4E0A1DD5"/>
    <w:rsid w:val="4E3160E5"/>
    <w:rsid w:val="4E4D37AF"/>
    <w:rsid w:val="4E8C6496"/>
    <w:rsid w:val="4EFD18DE"/>
    <w:rsid w:val="4F144236"/>
    <w:rsid w:val="4F451745"/>
    <w:rsid w:val="4F663C87"/>
    <w:rsid w:val="4F7E29A8"/>
    <w:rsid w:val="4F9E1FFC"/>
    <w:rsid w:val="50447CC2"/>
    <w:rsid w:val="50874A7C"/>
    <w:rsid w:val="50895EE7"/>
    <w:rsid w:val="50921B9D"/>
    <w:rsid w:val="50D16158"/>
    <w:rsid w:val="50DB5F45"/>
    <w:rsid w:val="51025EB1"/>
    <w:rsid w:val="510F5E97"/>
    <w:rsid w:val="51141503"/>
    <w:rsid w:val="513C450E"/>
    <w:rsid w:val="518D0ED5"/>
    <w:rsid w:val="525C687F"/>
    <w:rsid w:val="52620949"/>
    <w:rsid w:val="52A3740A"/>
    <w:rsid w:val="52F647F7"/>
    <w:rsid w:val="52F92565"/>
    <w:rsid w:val="53AE735E"/>
    <w:rsid w:val="53D03877"/>
    <w:rsid w:val="542F73CA"/>
    <w:rsid w:val="5430786D"/>
    <w:rsid w:val="545A1D2A"/>
    <w:rsid w:val="54C811C0"/>
    <w:rsid w:val="54CE6588"/>
    <w:rsid w:val="54F33E6B"/>
    <w:rsid w:val="556A442D"/>
    <w:rsid w:val="55DA564E"/>
    <w:rsid w:val="55E816A3"/>
    <w:rsid w:val="5604127D"/>
    <w:rsid w:val="56044E6C"/>
    <w:rsid w:val="56166703"/>
    <w:rsid w:val="561C477B"/>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C23691"/>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4A4555"/>
    <w:rsid w:val="5F61632C"/>
    <w:rsid w:val="5FA17648"/>
    <w:rsid w:val="5FE705CB"/>
    <w:rsid w:val="6007714E"/>
    <w:rsid w:val="603D5080"/>
    <w:rsid w:val="606842D0"/>
    <w:rsid w:val="60A87AD1"/>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CB22A5"/>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BB7C0F"/>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BF563E9"/>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6196</Words>
  <Characters>7007</Characters>
  <Lines>0</Lines>
  <Paragraphs>0</Paragraphs>
  <TotalTime>1</TotalTime>
  <ScaleCrop>false</ScaleCrop>
  <LinksUpToDate>false</LinksUpToDate>
  <CharactersWithSpaces>7029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