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F97CD">
      <w:pPr>
        <w:spacing w:line="240" w:lineRule="atLeast"/>
        <w:ind w:firstLine="960"/>
        <w:jc w:val="center"/>
        <w:rPr>
          <w:rFonts w:ascii="方正小标宋简体" w:hAnsi="黑体" w:eastAsia="方正小标宋简体" w:cs="黑体"/>
          <w:bCs/>
          <w:color w:val="auto"/>
          <w:sz w:val="48"/>
          <w:szCs w:val="48"/>
          <w:highlight w:val="none"/>
        </w:rPr>
      </w:pPr>
    </w:p>
    <w:p w14:paraId="1EC742DF">
      <w:pPr>
        <w:spacing w:line="240" w:lineRule="atLeast"/>
        <w:ind w:firstLine="960"/>
        <w:jc w:val="center"/>
        <w:rPr>
          <w:rFonts w:ascii="方正小标宋简体" w:hAnsi="黑体" w:eastAsia="方正小标宋简体" w:cs="黑体"/>
          <w:bCs/>
          <w:color w:val="auto"/>
          <w:sz w:val="48"/>
          <w:szCs w:val="48"/>
          <w:highlight w:val="none"/>
        </w:rPr>
      </w:pPr>
    </w:p>
    <w:p w14:paraId="1ABDC999">
      <w:pPr>
        <w:spacing w:line="240" w:lineRule="atLeast"/>
        <w:ind w:firstLine="960"/>
        <w:jc w:val="center"/>
        <w:rPr>
          <w:rFonts w:hint="eastAsia" w:ascii="黑体" w:hAnsi="黑体" w:eastAsia="黑体" w:cs="黑体"/>
          <w:bCs/>
          <w:color w:val="auto"/>
          <w:sz w:val="44"/>
          <w:szCs w:val="44"/>
          <w:highlight w:val="none"/>
        </w:rPr>
      </w:pPr>
    </w:p>
    <w:p w14:paraId="07255DAB">
      <w:pPr>
        <w:spacing w:line="240" w:lineRule="atLeast"/>
        <w:ind w:firstLine="0" w:firstLineChars="0"/>
        <w:jc w:val="center"/>
        <w:rPr>
          <w:rFonts w:hint="eastAsia" w:ascii="黑体" w:hAnsi="黑体" w:eastAsia="黑体" w:cs="黑体"/>
          <w:bCs/>
          <w:color w:val="auto"/>
          <w:sz w:val="44"/>
          <w:szCs w:val="44"/>
          <w:highlight w:val="none"/>
        </w:rPr>
      </w:pPr>
      <w:r>
        <w:rPr>
          <w:rFonts w:hint="eastAsia" w:ascii="黑体" w:hAnsi="黑体" w:eastAsia="黑体" w:cs="黑体"/>
          <w:bCs/>
          <w:color w:val="auto"/>
          <w:sz w:val="44"/>
          <w:szCs w:val="44"/>
          <w:highlight w:val="none"/>
          <w:lang w:val="en-US" w:eastAsia="zh-CN"/>
        </w:rPr>
        <w:t>沙湾市金沟河镇卫生院2023年中央及自治区基本公共卫生服务</w:t>
      </w:r>
      <w:r>
        <w:rPr>
          <w:rFonts w:hint="eastAsia" w:ascii="黑体" w:hAnsi="黑体" w:eastAsia="黑体" w:cs="黑体"/>
          <w:bCs/>
          <w:color w:val="auto"/>
          <w:sz w:val="44"/>
          <w:szCs w:val="44"/>
          <w:highlight w:val="none"/>
        </w:rPr>
        <w:t>项目支出</w:t>
      </w:r>
    </w:p>
    <w:p w14:paraId="73F23B11">
      <w:pPr>
        <w:spacing w:line="240" w:lineRule="atLeast"/>
        <w:ind w:firstLine="0" w:firstLineChars="0"/>
        <w:jc w:val="center"/>
        <w:rPr>
          <w:rFonts w:hint="eastAsia" w:ascii="黑体" w:hAnsi="黑体" w:eastAsia="黑体" w:cs="黑体"/>
          <w:bCs/>
          <w:color w:val="auto"/>
          <w:sz w:val="44"/>
          <w:szCs w:val="44"/>
          <w:highlight w:val="none"/>
        </w:rPr>
      </w:pPr>
      <w:r>
        <w:rPr>
          <w:rFonts w:hint="eastAsia" w:ascii="黑体" w:hAnsi="黑体" w:eastAsia="黑体" w:cs="黑体"/>
          <w:bCs/>
          <w:color w:val="auto"/>
          <w:sz w:val="44"/>
          <w:szCs w:val="44"/>
          <w:highlight w:val="none"/>
        </w:rPr>
        <w:t>绩效评价报告</w:t>
      </w:r>
    </w:p>
    <w:p w14:paraId="0111AD06">
      <w:pPr>
        <w:spacing w:line="240" w:lineRule="atLeast"/>
        <w:ind w:firstLine="960"/>
        <w:jc w:val="center"/>
        <w:rPr>
          <w:rFonts w:ascii="方正小标宋简体" w:hAnsi="黑体" w:eastAsia="方正小标宋简体" w:cs="黑体"/>
          <w:bCs/>
          <w:color w:val="auto"/>
          <w:sz w:val="48"/>
          <w:szCs w:val="48"/>
          <w:highlight w:val="none"/>
        </w:rPr>
      </w:pPr>
    </w:p>
    <w:p w14:paraId="6BC94649">
      <w:pPr>
        <w:spacing w:line="240" w:lineRule="atLeast"/>
        <w:ind w:firstLine="960"/>
        <w:jc w:val="center"/>
        <w:rPr>
          <w:rFonts w:ascii="方正小标宋简体" w:hAnsi="黑体" w:eastAsia="方正小标宋简体" w:cs="黑体"/>
          <w:bCs/>
          <w:color w:val="auto"/>
          <w:sz w:val="48"/>
          <w:szCs w:val="48"/>
          <w:highlight w:val="none"/>
        </w:rPr>
      </w:pPr>
    </w:p>
    <w:p w14:paraId="741C0E2A">
      <w:pPr>
        <w:spacing w:line="240" w:lineRule="atLeast"/>
        <w:ind w:firstLine="960"/>
        <w:jc w:val="center"/>
        <w:rPr>
          <w:rFonts w:ascii="方正小标宋简体" w:hAnsi="黑体" w:eastAsia="方正小标宋简体" w:cs="黑体"/>
          <w:bCs/>
          <w:color w:val="auto"/>
          <w:sz w:val="48"/>
          <w:szCs w:val="48"/>
          <w:highlight w:val="none"/>
        </w:rPr>
      </w:pPr>
    </w:p>
    <w:p w14:paraId="07C407D2">
      <w:pPr>
        <w:spacing w:line="240" w:lineRule="atLeast"/>
        <w:ind w:firstLine="960"/>
        <w:jc w:val="center"/>
        <w:rPr>
          <w:rFonts w:ascii="方正小标宋简体" w:hAnsi="黑体" w:eastAsia="方正小标宋简体" w:cs="黑体"/>
          <w:bCs/>
          <w:color w:val="auto"/>
          <w:sz w:val="48"/>
          <w:szCs w:val="48"/>
          <w:highlight w:val="none"/>
        </w:rPr>
      </w:pPr>
    </w:p>
    <w:p w14:paraId="379EEF53">
      <w:pPr>
        <w:spacing w:line="240" w:lineRule="atLeast"/>
        <w:ind w:firstLine="960"/>
        <w:jc w:val="center"/>
        <w:rPr>
          <w:rFonts w:ascii="方正小标宋简体" w:hAnsi="黑体" w:eastAsia="方正小标宋简体" w:cs="黑体"/>
          <w:bCs/>
          <w:color w:val="auto"/>
          <w:sz w:val="48"/>
          <w:szCs w:val="48"/>
          <w:highlight w:val="none"/>
        </w:rPr>
      </w:pPr>
    </w:p>
    <w:p w14:paraId="408D5DA2">
      <w:pPr>
        <w:spacing w:line="240" w:lineRule="atLeast"/>
        <w:ind w:left="0" w:leftChars="0" w:firstLine="0" w:firstLineChars="0"/>
        <w:jc w:val="both"/>
        <w:rPr>
          <w:rFonts w:ascii="方正小标宋简体" w:hAnsi="黑体" w:eastAsia="方正小标宋简体" w:cs="黑体"/>
          <w:bCs/>
          <w:color w:val="auto"/>
          <w:sz w:val="48"/>
          <w:szCs w:val="48"/>
          <w:highlight w:val="none"/>
        </w:rPr>
      </w:pPr>
    </w:p>
    <w:p w14:paraId="5B1F210C">
      <w:pPr>
        <w:ind w:firstLine="1200" w:firstLineChars="400"/>
        <w:rPr>
          <w:rFonts w:ascii="黑体" w:hAnsi="黑体" w:eastAsia="黑体" w:cs="宋体"/>
          <w:color w:val="auto"/>
          <w:sz w:val="30"/>
          <w:szCs w:val="30"/>
          <w:highlight w:val="none"/>
        </w:rPr>
      </w:pPr>
      <w:r>
        <w:rPr>
          <w:rFonts w:ascii="黑体" w:hAnsi="黑体" w:eastAsia="黑体" w:cs="宋体"/>
          <w:color w:val="auto"/>
          <w:sz w:val="30"/>
          <w:szCs w:val="30"/>
          <w:highlight w:val="none"/>
        </w:rPr>
        <w:t>项目名称：</w:t>
      </w:r>
      <w:r>
        <w:rPr>
          <w:rFonts w:hint="eastAsia" w:ascii="黑体" w:hAnsi="黑体" w:eastAsia="黑体" w:cs="宋体"/>
          <w:color w:val="auto"/>
          <w:sz w:val="30"/>
          <w:szCs w:val="30"/>
          <w:highlight w:val="none"/>
          <w:lang w:val="en-US" w:eastAsia="zh-CN"/>
        </w:rPr>
        <w:t>2023年中央及自治区基本公共卫生服务</w:t>
      </w:r>
      <w:r>
        <w:rPr>
          <w:rFonts w:hint="eastAsia" w:ascii="黑体" w:hAnsi="黑体" w:eastAsia="黑体" w:cs="宋体"/>
          <w:color w:val="auto"/>
          <w:sz w:val="30"/>
          <w:szCs w:val="30"/>
          <w:highlight w:val="none"/>
        </w:rPr>
        <w:t>项目</w:t>
      </w:r>
    </w:p>
    <w:p w14:paraId="37362FDA">
      <w:pPr>
        <w:ind w:firstLine="1200" w:firstLineChars="400"/>
        <w:rPr>
          <w:rFonts w:hint="eastAsia" w:ascii="方正小标宋简体" w:hAnsi="黑体" w:eastAsia="方正小标宋简体" w:cs="黑体"/>
          <w:bCs/>
          <w:color w:val="auto"/>
          <w:sz w:val="48"/>
          <w:szCs w:val="48"/>
          <w:highlight w:val="none"/>
          <w:lang w:val="en-US" w:eastAsia="zh-CN"/>
        </w:rPr>
      </w:pPr>
      <w:r>
        <w:rPr>
          <w:rFonts w:ascii="黑体" w:hAnsi="黑体" w:eastAsia="黑体" w:cs="宋体"/>
          <w:color w:val="auto"/>
          <w:sz w:val="30"/>
          <w:szCs w:val="30"/>
          <w:highlight w:val="none"/>
        </w:rPr>
        <w:t>项目单位：</w:t>
      </w:r>
      <w:r>
        <w:rPr>
          <w:rFonts w:hint="eastAsia" w:ascii="黑体" w:hAnsi="黑体" w:eastAsia="黑体" w:cs="宋体"/>
          <w:color w:val="auto"/>
          <w:sz w:val="30"/>
          <w:szCs w:val="30"/>
          <w:highlight w:val="none"/>
          <w:lang w:val="en-US" w:eastAsia="zh-CN"/>
        </w:rPr>
        <w:t>沙湾市金沟河镇卫生院</w:t>
      </w:r>
    </w:p>
    <w:p w14:paraId="4E234001">
      <w:pPr>
        <w:ind w:firstLine="1200" w:firstLineChars="400"/>
        <w:rPr>
          <w:rFonts w:hint="eastAsia" w:ascii="黑体" w:hAnsi="黑体" w:eastAsia="黑体" w:cs="仿宋_GB2312"/>
          <w:color w:val="auto"/>
          <w:sz w:val="30"/>
          <w:szCs w:val="30"/>
          <w:highlight w:val="none"/>
          <w:lang w:val="en-US" w:eastAsia="zh-CN"/>
        </w:rPr>
      </w:pPr>
      <w:r>
        <w:rPr>
          <w:rFonts w:ascii="黑体" w:hAnsi="黑体" w:eastAsia="黑体" w:cs="宋体"/>
          <w:color w:val="auto"/>
          <w:sz w:val="30"/>
          <w:szCs w:val="30"/>
          <w:highlight w:val="none"/>
        </w:rPr>
        <w:t>主管部门：</w:t>
      </w:r>
      <w:r>
        <w:rPr>
          <w:rFonts w:hint="eastAsia" w:ascii="黑体" w:hAnsi="黑体" w:eastAsia="黑体" w:cs="仿宋_GB2312"/>
          <w:color w:val="auto"/>
          <w:sz w:val="30"/>
          <w:szCs w:val="30"/>
          <w:highlight w:val="none"/>
          <w:lang w:val="en-US" w:eastAsia="zh-CN"/>
        </w:rPr>
        <w:t>沙湾市卫生健康委员会</w:t>
      </w:r>
    </w:p>
    <w:p w14:paraId="7EC47F01">
      <w:pPr>
        <w:ind w:firstLine="1200" w:firstLineChars="400"/>
        <w:rPr>
          <w:rFonts w:hint="eastAsia" w:ascii="黑体" w:hAnsi="黑体" w:eastAsia="黑体" w:cs="仿宋_GB2312"/>
          <w:color w:val="auto"/>
          <w:sz w:val="30"/>
          <w:szCs w:val="30"/>
          <w:highlight w:val="none"/>
          <w:lang w:val="en-US" w:eastAsia="zh-CN"/>
        </w:rPr>
      </w:pPr>
      <w:r>
        <w:rPr>
          <w:rFonts w:hint="eastAsia" w:ascii="黑体" w:hAnsi="黑体" w:eastAsia="黑体" w:cs="宋体"/>
          <w:color w:val="auto"/>
          <w:sz w:val="30"/>
          <w:szCs w:val="30"/>
          <w:highlight w:val="none"/>
        </w:rPr>
        <w:t>项目负责人</w:t>
      </w:r>
      <w:r>
        <w:rPr>
          <w:rFonts w:ascii="黑体" w:hAnsi="黑体" w:eastAsia="黑体" w:cs="宋体"/>
          <w:color w:val="auto"/>
          <w:sz w:val="30"/>
          <w:szCs w:val="30"/>
          <w:highlight w:val="none"/>
        </w:rPr>
        <w:t>：</w:t>
      </w:r>
      <w:r>
        <w:rPr>
          <w:rFonts w:hint="eastAsia" w:ascii="黑体" w:hAnsi="黑体" w:eastAsia="黑体" w:cs="仿宋_GB2312"/>
          <w:color w:val="auto"/>
          <w:sz w:val="30"/>
          <w:szCs w:val="30"/>
          <w:highlight w:val="none"/>
          <w:lang w:val="en-US" w:eastAsia="zh-CN"/>
        </w:rPr>
        <w:t>吕长捷</w:t>
      </w:r>
    </w:p>
    <w:p w14:paraId="15D2E3E5">
      <w:pPr>
        <w:ind w:firstLine="1200" w:firstLineChars="400"/>
        <w:rPr>
          <w:rFonts w:ascii="黑体" w:hAnsi="黑体" w:eastAsia="黑体" w:cs="仿宋_GB2312"/>
          <w:color w:val="auto"/>
          <w:sz w:val="30"/>
          <w:szCs w:val="30"/>
          <w:highlight w:val="none"/>
        </w:rPr>
      </w:pPr>
      <w:r>
        <w:rPr>
          <w:rFonts w:hint="eastAsia" w:ascii="黑体" w:hAnsi="黑体" w:eastAsia="黑体" w:cs="宋体"/>
          <w:color w:val="auto"/>
          <w:sz w:val="30"/>
          <w:szCs w:val="30"/>
          <w:highlight w:val="none"/>
        </w:rPr>
        <w:t>填报时间：</w:t>
      </w:r>
      <w:r>
        <w:rPr>
          <w:rFonts w:ascii="黑体" w:hAnsi="黑体" w:eastAsia="黑体" w:cs="宋体"/>
          <w:color w:val="auto"/>
          <w:sz w:val="30"/>
          <w:szCs w:val="30"/>
          <w:highlight w:val="none"/>
        </w:rPr>
        <w:t>202</w:t>
      </w:r>
      <w:r>
        <w:rPr>
          <w:rFonts w:hint="eastAsia" w:ascii="黑体" w:hAnsi="黑体" w:eastAsia="黑体" w:cs="宋体"/>
          <w:color w:val="auto"/>
          <w:sz w:val="30"/>
          <w:szCs w:val="30"/>
          <w:highlight w:val="none"/>
          <w:lang w:val="en-US" w:eastAsia="zh-CN"/>
        </w:rPr>
        <w:t>4</w:t>
      </w:r>
      <w:r>
        <w:rPr>
          <w:rFonts w:hint="eastAsia" w:ascii="黑体" w:hAnsi="黑体" w:eastAsia="黑体" w:cs="宋体"/>
          <w:color w:val="auto"/>
          <w:sz w:val="30"/>
          <w:szCs w:val="30"/>
          <w:highlight w:val="none"/>
        </w:rPr>
        <w:t>年</w:t>
      </w:r>
      <w:r>
        <w:rPr>
          <w:rFonts w:hint="eastAsia" w:ascii="黑体" w:hAnsi="黑体" w:eastAsia="黑体" w:cs="仿宋_GB2312"/>
          <w:color w:val="auto"/>
          <w:sz w:val="30"/>
          <w:szCs w:val="30"/>
          <w:highlight w:val="none"/>
          <w:lang w:val="en-US" w:eastAsia="zh-CN"/>
        </w:rPr>
        <w:t>1</w:t>
      </w:r>
      <w:r>
        <w:rPr>
          <w:rFonts w:hint="eastAsia" w:ascii="黑体" w:hAnsi="黑体" w:eastAsia="黑体" w:cs="宋体"/>
          <w:color w:val="auto"/>
          <w:sz w:val="30"/>
          <w:szCs w:val="30"/>
          <w:highlight w:val="none"/>
        </w:rPr>
        <w:t>月</w:t>
      </w:r>
      <w:r>
        <w:rPr>
          <w:rFonts w:hint="eastAsia" w:ascii="黑体" w:hAnsi="黑体" w:eastAsia="黑体" w:cs="仿宋_GB2312"/>
          <w:color w:val="auto"/>
          <w:sz w:val="30"/>
          <w:szCs w:val="30"/>
          <w:highlight w:val="none"/>
          <w:lang w:val="en-US" w:eastAsia="zh-CN"/>
        </w:rPr>
        <w:t>26</w:t>
      </w:r>
      <w:r>
        <w:rPr>
          <w:rFonts w:hint="eastAsia" w:ascii="黑体" w:hAnsi="黑体" w:eastAsia="黑体" w:cs="仿宋_GB2312"/>
          <w:color w:val="auto"/>
          <w:sz w:val="30"/>
          <w:szCs w:val="30"/>
          <w:highlight w:val="none"/>
        </w:rPr>
        <w:t>日</w:t>
      </w:r>
    </w:p>
    <w:p w14:paraId="6A4B93F2">
      <w:pPr>
        <w:ind w:left="0" w:leftChars="0" w:firstLine="0" w:firstLineChars="0"/>
        <w:rPr>
          <w:rFonts w:hint="eastAsia"/>
          <w:color w:val="auto"/>
          <w:highlight w:val="none"/>
          <w:lang w:val="en-US" w:eastAsia="zh-CN"/>
        </w:rPr>
      </w:pPr>
    </w:p>
    <w:p w14:paraId="03028D92">
      <w:pPr>
        <w:ind w:left="0" w:leftChars="0" w:firstLine="0" w:firstLineChars="0"/>
        <w:jc w:val="center"/>
        <w:rPr>
          <w:rFonts w:hint="eastAsia"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lang w:val="en-US" w:eastAsia="zh-CN"/>
        </w:rPr>
        <w:t>沙湾市金沟河镇卫生院2023年中央及自治区基本公共卫生服务</w:t>
      </w:r>
      <w:r>
        <w:rPr>
          <w:rFonts w:hint="eastAsia" w:ascii="方正小标宋_GBK" w:hAnsi="黑体" w:eastAsia="方正小标宋_GBK" w:cs="黑体"/>
          <w:bCs/>
          <w:color w:val="auto"/>
          <w:sz w:val="44"/>
          <w:szCs w:val="44"/>
          <w:highlight w:val="none"/>
        </w:rPr>
        <w:t>项目支出</w:t>
      </w:r>
    </w:p>
    <w:p w14:paraId="5F2A99F7">
      <w:pPr>
        <w:ind w:left="0" w:leftChars="0" w:firstLine="0" w:firstLineChars="0"/>
        <w:jc w:val="center"/>
        <w:rPr>
          <w:rFonts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rPr>
        <w:t>绩效评价报告</w:t>
      </w:r>
    </w:p>
    <w:p w14:paraId="190DD2BC">
      <w:pPr>
        <w:pStyle w:val="2"/>
        <w:spacing w:line="600" w:lineRule="exact"/>
        <w:ind w:firstLine="640"/>
        <w:rPr>
          <w:color w:val="auto"/>
          <w:szCs w:val="32"/>
          <w:highlight w:val="none"/>
        </w:rPr>
      </w:pPr>
      <w:r>
        <w:rPr>
          <w:rFonts w:hint="eastAsia"/>
          <w:color w:val="auto"/>
          <w:szCs w:val="32"/>
          <w:highlight w:val="none"/>
        </w:rPr>
        <w:t>一、基本情况</w:t>
      </w:r>
    </w:p>
    <w:p w14:paraId="5F5081EC">
      <w:pPr>
        <w:pStyle w:val="3"/>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（一）项目概况</w:t>
      </w:r>
    </w:p>
    <w:p w14:paraId="50119465">
      <w:pPr>
        <w:bidi w:val="0"/>
        <w:rPr>
          <w:b/>
          <w:bCs/>
          <w:color w:val="auto"/>
          <w:sz w:val="32"/>
          <w:szCs w:val="32"/>
          <w:highlight w:val="none"/>
        </w:rPr>
      </w:pPr>
      <w:r>
        <w:rPr>
          <w:rFonts w:hint="eastAsia"/>
          <w:b/>
          <w:bCs/>
          <w:color w:val="auto"/>
          <w:sz w:val="32"/>
          <w:szCs w:val="32"/>
          <w:highlight w:val="none"/>
        </w:rPr>
        <w:t>1.项目背景</w:t>
      </w:r>
    </w:p>
    <w:p w14:paraId="04B5845B">
      <w:pPr>
        <w:bidi w:val="0"/>
        <w:rPr>
          <w:rFonts w:hint="eastAsia"/>
          <w:color w:val="auto"/>
          <w:sz w:val="32"/>
          <w:szCs w:val="32"/>
          <w:highlight w:val="none"/>
        </w:rPr>
      </w:pPr>
      <w:r>
        <w:rPr>
          <w:rFonts w:hint="eastAsia" w:ascii="Times New Roman" w:hAnsi="Times New Roman" w:cs="Times New Roman"/>
          <w:color w:val="auto"/>
          <w:sz w:val="32"/>
          <w:szCs w:val="32"/>
          <w:highlight w:val="none"/>
          <w:lang w:val="en-US" w:eastAsia="zh-CN"/>
        </w:rPr>
        <w:t>免费向辖区居民提供基本公共卫生服务，辖区常住人口，均可免费享受国家基本公共卫生服务规范（第三版）所列的基本公共卫生服务，其中2型糖尿病患者规范管理服务率大于等于</w:t>
      </w:r>
      <w:r>
        <w:rPr>
          <w:rFonts w:hint="eastAsia" w:cs="Times New Roman"/>
          <w:color w:val="auto"/>
          <w:sz w:val="32"/>
          <w:szCs w:val="32"/>
          <w:highlight w:val="none"/>
          <w:lang w:val="en-US" w:eastAsia="zh-CN"/>
        </w:rPr>
        <w:t>85</w:t>
      </w:r>
      <w:r>
        <w:rPr>
          <w:rFonts w:hint="eastAsia" w:ascii="Times New Roman" w:hAnsi="Times New Roman" w:cs="Times New Roman"/>
          <w:color w:val="auto"/>
          <w:sz w:val="32"/>
          <w:szCs w:val="32"/>
          <w:highlight w:val="none"/>
          <w:lang w:val="en-US" w:eastAsia="zh-CN"/>
        </w:rPr>
        <w:t>%，高血压患者规范管理服务率大于等于</w:t>
      </w:r>
      <w:r>
        <w:rPr>
          <w:rFonts w:hint="eastAsia" w:cs="Times New Roman"/>
          <w:color w:val="auto"/>
          <w:sz w:val="32"/>
          <w:szCs w:val="32"/>
          <w:highlight w:val="none"/>
          <w:lang w:val="en-US" w:eastAsia="zh-CN"/>
        </w:rPr>
        <w:t>85</w:t>
      </w:r>
      <w:r>
        <w:rPr>
          <w:rFonts w:hint="eastAsia" w:ascii="Times New Roman" w:hAnsi="Times New Roman" w:cs="Times New Roman"/>
          <w:color w:val="auto"/>
          <w:sz w:val="32"/>
          <w:szCs w:val="32"/>
          <w:highlight w:val="none"/>
          <w:lang w:val="en-US" w:eastAsia="zh-CN"/>
        </w:rPr>
        <w:t>%；免费向辖区居民提供全民健康体检，辖区常住人口，均可免费享受全民健康体检服务，其中居民健康档案规范化电子建档率不低于75%。</w:t>
      </w:r>
      <w:r>
        <w:rPr>
          <w:rFonts w:hint="eastAsia" w:ascii="Times New Roman" w:hAnsi="Times New Roman" w:cs="Times New Roman"/>
          <w:color w:val="auto"/>
          <w:sz w:val="32"/>
          <w:szCs w:val="32"/>
          <w:highlight w:val="none"/>
        </w:rPr>
        <w:t>2023年预计</w:t>
      </w:r>
      <w:r>
        <w:rPr>
          <w:rFonts w:hint="eastAsia" w:ascii="Times New Roman" w:hAnsi="Times New Roman" w:cs="Times New Roman"/>
          <w:color w:val="auto"/>
          <w:sz w:val="32"/>
          <w:szCs w:val="32"/>
          <w:highlight w:val="none"/>
          <w:lang w:eastAsia="zh-CN"/>
        </w:rPr>
        <w:t>居民健康档案规范化电子建档人数</w:t>
      </w:r>
      <w:r>
        <w:rPr>
          <w:rFonts w:hint="eastAsia" w:cs="Times New Roman"/>
          <w:color w:val="auto"/>
          <w:sz w:val="32"/>
          <w:szCs w:val="32"/>
          <w:highlight w:val="none"/>
          <w:lang w:val="en-US" w:eastAsia="zh-CN"/>
        </w:rPr>
        <w:t>8837</w:t>
      </w:r>
      <w:r>
        <w:rPr>
          <w:rFonts w:hint="eastAsia" w:ascii="Times New Roman" w:hAnsi="Times New Roman" w:cs="Times New Roman"/>
          <w:color w:val="auto"/>
          <w:sz w:val="32"/>
          <w:szCs w:val="32"/>
          <w:highlight w:val="none"/>
        </w:rPr>
        <w:t>人</w:t>
      </w:r>
      <w:r>
        <w:rPr>
          <w:rFonts w:hint="eastAsia"/>
          <w:color w:val="auto"/>
          <w:sz w:val="32"/>
          <w:szCs w:val="32"/>
          <w:highlight w:val="none"/>
        </w:rPr>
        <w:t>。</w:t>
      </w:r>
    </w:p>
    <w:p w14:paraId="36491460">
      <w:pPr>
        <w:bidi w:val="0"/>
        <w:rPr>
          <w:rFonts w:hint="eastAsia"/>
          <w:color w:val="auto"/>
          <w:sz w:val="32"/>
          <w:szCs w:val="32"/>
          <w:highlight w:val="none"/>
        </w:rPr>
      </w:pPr>
      <w:r>
        <w:rPr>
          <w:rFonts w:hint="eastAsia"/>
          <w:color w:val="auto"/>
          <w:sz w:val="32"/>
          <w:szCs w:val="32"/>
          <w:highlight w:val="none"/>
        </w:rPr>
        <w:t>2023年沙湾市</w:t>
      </w:r>
      <w:r>
        <w:rPr>
          <w:rFonts w:hint="eastAsia"/>
          <w:color w:val="auto"/>
          <w:sz w:val="32"/>
          <w:szCs w:val="32"/>
          <w:highlight w:val="none"/>
          <w:lang w:eastAsia="zh-CN"/>
        </w:rPr>
        <w:t>金沟河镇</w:t>
      </w:r>
      <w:r>
        <w:rPr>
          <w:rFonts w:hint="eastAsia"/>
          <w:color w:val="auto"/>
          <w:sz w:val="32"/>
          <w:szCs w:val="32"/>
          <w:highlight w:val="none"/>
        </w:rPr>
        <w:t>卫生院根据分配塔地财社[2022]103号沙财社[2022]067号--提前下达自治区2023年基本公共卫生服务补助资金</w:t>
      </w:r>
      <w:r>
        <w:rPr>
          <w:rFonts w:hint="eastAsia"/>
          <w:color w:val="auto"/>
          <w:sz w:val="32"/>
          <w:szCs w:val="32"/>
          <w:highlight w:val="none"/>
          <w:lang w:val="en-US" w:eastAsia="zh-CN"/>
        </w:rPr>
        <w:t>11.61</w:t>
      </w:r>
      <w:r>
        <w:rPr>
          <w:rFonts w:hint="eastAsia"/>
          <w:color w:val="auto"/>
          <w:sz w:val="32"/>
          <w:szCs w:val="32"/>
          <w:highlight w:val="none"/>
        </w:rPr>
        <w:t>万元</w:t>
      </w:r>
      <w:r>
        <w:rPr>
          <w:rFonts w:hint="eastAsia"/>
          <w:color w:val="auto"/>
          <w:sz w:val="32"/>
          <w:szCs w:val="32"/>
          <w:highlight w:val="none"/>
          <w:lang w:eastAsia="zh-CN"/>
        </w:rPr>
        <w:t>、</w:t>
      </w:r>
      <w:r>
        <w:rPr>
          <w:rFonts w:hint="eastAsia"/>
          <w:color w:val="auto"/>
          <w:sz w:val="32"/>
          <w:szCs w:val="32"/>
          <w:highlight w:val="none"/>
        </w:rPr>
        <w:t>塔地财社[2022]91号沙财社[2022]056号--提前下达2023年中央财政基本公共卫生服务补助资金</w:t>
      </w:r>
      <w:r>
        <w:rPr>
          <w:rFonts w:hint="eastAsia"/>
          <w:color w:val="auto"/>
          <w:sz w:val="32"/>
          <w:szCs w:val="32"/>
          <w:highlight w:val="none"/>
          <w:lang w:val="en-US" w:eastAsia="zh-CN"/>
        </w:rPr>
        <w:t>66.8</w:t>
      </w:r>
      <w:r>
        <w:rPr>
          <w:rFonts w:hint="eastAsia"/>
          <w:color w:val="auto"/>
          <w:sz w:val="32"/>
          <w:szCs w:val="32"/>
          <w:highlight w:val="none"/>
        </w:rPr>
        <w:t>万元</w:t>
      </w:r>
      <w:r>
        <w:rPr>
          <w:rFonts w:hint="eastAsia"/>
          <w:color w:val="auto"/>
          <w:sz w:val="32"/>
          <w:szCs w:val="32"/>
          <w:highlight w:val="none"/>
          <w:lang w:eastAsia="zh-CN"/>
        </w:rPr>
        <w:t>、</w:t>
      </w:r>
      <w:r>
        <w:rPr>
          <w:rFonts w:hint="eastAsia"/>
          <w:color w:val="auto"/>
          <w:sz w:val="32"/>
          <w:szCs w:val="32"/>
          <w:highlight w:val="none"/>
        </w:rPr>
        <w:t>中央直达塔地财社[2023]25号沙财社[2023]009号-2023年中央基本公共卫生服务补助资金[第二批]</w:t>
      </w:r>
      <w:r>
        <w:rPr>
          <w:rFonts w:hint="eastAsia"/>
          <w:color w:val="auto"/>
          <w:sz w:val="32"/>
          <w:szCs w:val="32"/>
          <w:highlight w:val="none"/>
          <w:lang w:val="en-US" w:eastAsia="zh-CN"/>
        </w:rPr>
        <w:t>13.76</w:t>
      </w:r>
      <w:r>
        <w:rPr>
          <w:rFonts w:hint="eastAsia"/>
          <w:color w:val="auto"/>
          <w:sz w:val="32"/>
          <w:szCs w:val="32"/>
          <w:highlight w:val="none"/>
        </w:rPr>
        <w:t>万元</w:t>
      </w:r>
      <w:r>
        <w:rPr>
          <w:rFonts w:hint="eastAsia"/>
          <w:color w:val="auto"/>
          <w:sz w:val="32"/>
          <w:szCs w:val="32"/>
          <w:highlight w:val="none"/>
          <w:lang w:eastAsia="zh-CN"/>
        </w:rPr>
        <w:t>、自治区直达塔地财社[2023]17号沙财社</w:t>
      </w:r>
      <w:r>
        <w:rPr>
          <w:rFonts w:hint="eastAsia"/>
          <w:color w:val="auto"/>
          <w:sz w:val="32"/>
          <w:szCs w:val="32"/>
          <w:highlight w:val="none"/>
          <w:lang w:val="en-US" w:eastAsia="zh-CN"/>
        </w:rPr>
        <w:t>[2023]05号拨付2023年自治区基本公共卫生院服务补助资金[第二批]1.98万元</w:t>
      </w:r>
      <w:r>
        <w:rPr>
          <w:rFonts w:hint="eastAsia"/>
          <w:color w:val="auto"/>
          <w:sz w:val="32"/>
          <w:szCs w:val="32"/>
          <w:highlight w:val="none"/>
        </w:rPr>
        <w:t>的通知积极开展了基本公共卫生服务补助资金项目，坚持把基本公共卫生服务作为一项“惠民暖心工程”来实施，让全民共享改革发展成果，感受党和政府的温暖。</w:t>
      </w:r>
    </w:p>
    <w:p w14:paraId="75464B64">
      <w:pPr>
        <w:bidi w:val="0"/>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Hans"/>
        </w:rPr>
        <w:t>项目</w:t>
      </w:r>
      <w:r>
        <w:rPr>
          <w:rFonts w:hint="eastAsia"/>
          <w:b/>
          <w:bCs/>
          <w:color w:val="auto"/>
          <w:sz w:val="32"/>
          <w:szCs w:val="32"/>
          <w:highlight w:val="none"/>
        </w:rPr>
        <w:t>主要内容及实施情况</w:t>
      </w:r>
    </w:p>
    <w:p w14:paraId="5DB7A4A6">
      <w:pPr>
        <w:bidi w:val="0"/>
        <w:rPr>
          <w:rFonts w:hint="eastAsia"/>
          <w:color w:val="auto"/>
          <w:sz w:val="32"/>
          <w:szCs w:val="32"/>
          <w:highlight w:val="none"/>
          <w:lang w:val="en-US" w:eastAsia="zh-CN"/>
        </w:rPr>
      </w:pPr>
      <w:r>
        <w:rPr>
          <w:rFonts w:hint="eastAsia"/>
          <w:color w:val="auto"/>
          <w:sz w:val="32"/>
          <w:szCs w:val="32"/>
          <w:highlight w:val="none"/>
          <w:lang w:val="en-US" w:eastAsia="zh-CN"/>
        </w:rPr>
        <w:t>本项目主要</w:t>
      </w:r>
      <w:r>
        <w:rPr>
          <w:rFonts w:hint="eastAsia"/>
          <w:color w:val="auto"/>
          <w:sz w:val="32"/>
          <w:szCs w:val="32"/>
          <w:highlight w:val="none"/>
          <w:lang w:val="en-US" w:eastAsia="zh-Hans"/>
        </w:rPr>
        <w:t>内容为</w:t>
      </w:r>
      <w:r>
        <w:rPr>
          <w:rFonts w:hint="eastAsia"/>
          <w:color w:val="auto"/>
          <w:sz w:val="32"/>
          <w:szCs w:val="32"/>
          <w:highlight w:val="none"/>
          <w:lang w:val="en-US" w:eastAsia="zh-CN"/>
        </w:rPr>
        <w:t>：我院根据国家基本公共卫生服务规范（第三版）开展工作，建立居民健康档案，健康教育，预防接种，高血压、糖尿病等慢性病和严重精神障碍患者管理，儿童保健及中医药管理，孕产妇保健，老年人保健及中医药管理，传染病及突发公共事件报告和处理、卫生监督协管，结核病管理。</w:t>
      </w:r>
    </w:p>
    <w:p w14:paraId="2041CAF8">
      <w:pPr>
        <w:bidi w:val="0"/>
        <w:rPr>
          <w:rFonts w:hint="eastAsia"/>
          <w:color w:val="auto"/>
          <w:sz w:val="32"/>
          <w:szCs w:val="32"/>
          <w:highlight w:val="none"/>
          <w:lang w:val="en-US" w:eastAsia="zh-CN"/>
        </w:rPr>
      </w:pPr>
      <w:r>
        <w:rPr>
          <w:rFonts w:hint="eastAsia"/>
          <w:color w:val="auto"/>
          <w:sz w:val="32"/>
          <w:szCs w:val="32"/>
          <w:highlight w:val="none"/>
          <w:lang w:val="en-US" w:eastAsia="zh-CN"/>
        </w:rPr>
        <w:t xml:space="preserve">（1）建立居民健康档案 </w:t>
      </w:r>
    </w:p>
    <w:p w14:paraId="176CBF05">
      <w:pPr>
        <w:bidi w:val="0"/>
        <w:rPr>
          <w:rFonts w:hint="eastAsia"/>
          <w:color w:val="auto"/>
          <w:sz w:val="32"/>
          <w:szCs w:val="32"/>
          <w:highlight w:val="none"/>
          <w:lang w:val="en-US" w:eastAsia="zh-CN"/>
        </w:rPr>
      </w:pPr>
      <w:r>
        <w:rPr>
          <w:rFonts w:hint="eastAsia"/>
          <w:color w:val="auto"/>
          <w:sz w:val="32"/>
          <w:szCs w:val="32"/>
          <w:highlight w:val="none"/>
          <w:lang w:val="en-US" w:eastAsia="zh-CN"/>
        </w:rPr>
        <w:t>（2）健康教育</w:t>
      </w:r>
    </w:p>
    <w:p w14:paraId="6EB99D77">
      <w:pPr>
        <w:bidi w:val="0"/>
        <w:rPr>
          <w:rFonts w:hint="eastAsia"/>
          <w:color w:val="auto"/>
          <w:sz w:val="32"/>
          <w:szCs w:val="32"/>
          <w:highlight w:val="none"/>
          <w:lang w:val="en-US" w:eastAsia="zh-CN"/>
        </w:rPr>
      </w:pPr>
      <w:r>
        <w:rPr>
          <w:rFonts w:hint="eastAsia"/>
          <w:color w:val="auto"/>
          <w:sz w:val="32"/>
          <w:szCs w:val="32"/>
          <w:highlight w:val="none"/>
          <w:lang w:val="en-US" w:eastAsia="zh-CN"/>
        </w:rPr>
        <w:t>（3）预防接种</w:t>
      </w:r>
    </w:p>
    <w:p w14:paraId="0FD53EC4">
      <w:pPr>
        <w:bidi w:val="0"/>
        <w:rPr>
          <w:rFonts w:hint="eastAsia"/>
          <w:color w:val="auto"/>
          <w:sz w:val="32"/>
          <w:szCs w:val="32"/>
          <w:highlight w:val="none"/>
          <w:lang w:val="en-US" w:eastAsia="zh-CN"/>
        </w:rPr>
      </w:pPr>
      <w:r>
        <w:rPr>
          <w:rFonts w:hint="eastAsia"/>
          <w:color w:val="auto"/>
          <w:sz w:val="32"/>
          <w:szCs w:val="32"/>
          <w:highlight w:val="none"/>
          <w:lang w:val="en-US" w:eastAsia="zh-CN"/>
        </w:rPr>
        <w:t>（4）传染病防治</w:t>
      </w:r>
    </w:p>
    <w:p w14:paraId="69CB7E51">
      <w:pPr>
        <w:bidi w:val="0"/>
        <w:rPr>
          <w:rFonts w:hint="eastAsia"/>
          <w:color w:val="auto"/>
          <w:sz w:val="32"/>
          <w:szCs w:val="32"/>
          <w:highlight w:val="none"/>
          <w:lang w:val="en-US" w:eastAsia="zh-CN"/>
        </w:rPr>
      </w:pPr>
      <w:r>
        <w:rPr>
          <w:rFonts w:hint="eastAsia"/>
          <w:color w:val="auto"/>
          <w:sz w:val="32"/>
          <w:szCs w:val="32"/>
          <w:highlight w:val="none"/>
          <w:lang w:val="en-US" w:eastAsia="zh-CN"/>
        </w:rPr>
        <w:t>（5）儿童保健</w:t>
      </w:r>
    </w:p>
    <w:p w14:paraId="6FB9CCA0">
      <w:pPr>
        <w:bidi w:val="0"/>
        <w:rPr>
          <w:rFonts w:hint="eastAsia"/>
          <w:color w:val="auto"/>
          <w:sz w:val="32"/>
          <w:szCs w:val="32"/>
          <w:highlight w:val="none"/>
          <w:lang w:val="en-US" w:eastAsia="zh-CN"/>
        </w:rPr>
      </w:pPr>
      <w:r>
        <w:rPr>
          <w:rFonts w:hint="eastAsia"/>
          <w:color w:val="auto"/>
          <w:sz w:val="32"/>
          <w:szCs w:val="32"/>
          <w:highlight w:val="none"/>
          <w:lang w:val="en-US" w:eastAsia="zh-CN"/>
        </w:rPr>
        <w:t>（6）孕产妇保健</w:t>
      </w:r>
    </w:p>
    <w:p w14:paraId="4990F38A">
      <w:pPr>
        <w:bidi w:val="0"/>
        <w:rPr>
          <w:rFonts w:hint="eastAsia"/>
          <w:color w:val="auto"/>
          <w:sz w:val="32"/>
          <w:szCs w:val="32"/>
          <w:highlight w:val="none"/>
          <w:lang w:val="en-US" w:eastAsia="zh-CN"/>
        </w:rPr>
      </w:pPr>
      <w:r>
        <w:rPr>
          <w:rFonts w:hint="eastAsia"/>
          <w:color w:val="auto"/>
          <w:sz w:val="32"/>
          <w:szCs w:val="32"/>
          <w:highlight w:val="none"/>
          <w:lang w:val="en-US" w:eastAsia="zh-CN"/>
        </w:rPr>
        <w:t>老年人保健服务对象：</w:t>
      </w:r>
    </w:p>
    <w:p w14:paraId="1382E05F">
      <w:pPr>
        <w:bidi w:val="0"/>
        <w:rPr>
          <w:rFonts w:hint="eastAsia"/>
          <w:color w:val="auto"/>
          <w:sz w:val="32"/>
          <w:szCs w:val="32"/>
          <w:highlight w:val="none"/>
          <w:lang w:val="en-US" w:eastAsia="zh-CN"/>
        </w:rPr>
      </w:pPr>
      <w:r>
        <w:rPr>
          <w:rFonts w:hint="eastAsia"/>
          <w:color w:val="auto"/>
          <w:sz w:val="32"/>
          <w:szCs w:val="32"/>
          <w:highlight w:val="none"/>
          <w:lang w:val="en-US" w:eastAsia="zh-CN"/>
        </w:rPr>
        <w:t>1.辖区内65岁以上常住居民；</w:t>
      </w:r>
    </w:p>
    <w:p w14:paraId="581B46A9">
      <w:pPr>
        <w:bidi w:val="0"/>
        <w:rPr>
          <w:rFonts w:hint="eastAsia"/>
          <w:color w:val="auto"/>
          <w:sz w:val="32"/>
          <w:szCs w:val="32"/>
          <w:highlight w:val="none"/>
          <w:lang w:val="en-US" w:eastAsia="zh-CN"/>
        </w:rPr>
      </w:pPr>
      <w:r>
        <w:rPr>
          <w:rFonts w:hint="eastAsia"/>
          <w:color w:val="auto"/>
          <w:sz w:val="32"/>
          <w:szCs w:val="32"/>
          <w:highlight w:val="none"/>
          <w:lang w:val="en-US" w:eastAsia="zh-CN"/>
        </w:rPr>
        <w:t>2.建立老年人健康管理台账；</w:t>
      </w:r>
    </w:p>
    <w:p w14:paraId="7929F1B9">
      <w:pPr>
        <w:bidi w:val="0"/>
        <w:rPr>
          <w:rFonts w:hint="eastAsia"/>
          <w:color w:val="auto"/>
          <w:sz w:val="32"/>
          <w:szCs w:val="32"/>
          <w:highlight w:val="none"/>
          <w:lang w:val="en-US" w:eastAsia="zh-CN"/>
        </w:rPr>
      </w:pPr>
      <w:r>
        <w:rPr>
          <w:rFonts w:hint="eastAsia"/>
          <w:color w:val="auto"/>
          <w:sz w:val="32"/>
          <w:szCs w:val="32"/>
          <w:highlight w:val="none"/>
          <w:lang w:val="en-US" w:eastAsia="zh-CN"/>
        </w:rPr>
        <w:t>3.2023年老年人规范化建档率达100%,健康体检率达100%，体检项目齐全率达100%，并在农卫系统进行登记与管理；</w:t>
      </w:r>
    </w:p>
    <w:p w14:paraId="125939D2">
      <w:pPr>
        <w:bidi w:val="0"/>
        <w:rPr>
          <w:rFonts w:hint="eastAsia"/>
          <w:color w:val="auto"/>
          <w:sz w:val="32"/>
          <w:szCs w:val="32"/>
          <w:highlight w:val="none"/>
          <w:lang w:val="en-US" w:eastAsia="zh-CN"/>
        </w:rPr>
      </w:pPr>
      <w:r>
        <w:rPr>
          <w:rFonts w:hint="eastAsia"/>
          <w:color w:val="auto"/>
          <w:sz w:val="32"/>
          <w:szCs w:val="32"/>
          <w:highlight w:val="none"/>
          <w:lang w:val="en-US" w:eastAsia="zh-CN"/>
        </w:rPr>
        <w:t>（八）慢性病管理</w:t>
      </w:r>
    </w:p>
    <w:p w14:paraId="0707B1FE">
      <w:pPr>
        <w:bidi w:val="0"/>
        <w:rPr>
          <w:rFonts w:hint="eastAsia"/>
          <w:color w:val="auto"/>
          <w:sz w:val="32"/>
          <w:szCs w:val="32"/>
          <w:highlight w:val="none"/>
          <w:lang w:val="en-US" w:eastAsia="zh-CN"/>
        </w:rPr>
      </w:pPr>
      <w:r>
        <w:rPr>
          <w:rFonts w:hint="eastAsia"/>
          <w:color w:val="auto"/>
          <w:sz w:val="32"/>
          <w:szCs w:val="32"/>
          <w:highlight w:val="none"/>
          <w:lang w:val="en-US" w:eastAsia="zh-CN"/>
        </w:rPr>
        <w:t>对高血压、糖尿病等慢性病高危人群进行指导干预。对35岁以上人群实行门诊首诊测血压。对确诊高血压和糖尿病患者进行登记管理，定期进行随访，每次随访要询问病情、进行体格检查及用药、饮食、运动、心理等健康指导，并做好相关记录。</w:t>
      </w:r>
    </w:p>
    <w:p w14:paraId="662EBAB0">
      <w:pPr>
        <w:bidi w:val="0"/>
        <w:rPr>
          <w:rFonts w:hint="eastAsia"/>
          <w:color w:val="auto"/>
          <w:sz w:val="32"/>
          <w:szCs w:val="32"/>
          <w:highlight w:val="none"/>
          <w:lang w:val="en-US" w:eastAsia="zh-CN"/>
        </w:rPr>
      </w:pPr>
      <w:r>
        <w:rPr>
          <w:rFonts w:hint="eastAsia"/>
          <w:color w:val="auto"/>
          <w:sz w:val="32"/>
          <w:szCs w:val="32"/>
          <w:highlight w:val="none"/>
          <w:lang w:val="en-US" w:eastAsia="zh-CN"/>
        </w:rPr>
        <w:t>（九）严重精神障碍患者管理</w:t>
      </w:r>
    </w:p>
    <w:p w14:paraId="526F1F56">
      <w:pPr>
        <w:bidi w:val="0"/>
        <w:rPr>
          <w:rFonts w:hint="eastAsia"/>
          <w:color w:val="auto"/>
          <w:sz w:val="32"/>
          <w:szCs w:val="32"/>
          <w:highlight w:val="none"/>
          <w:lang w:val="en-US" w:eastAsia="zh-CN"/>
        </w:rPr>
      </w:pPr>
      <w:r>
        <w:rPr>
          <w:rFonts w:hint="eastAsia"/>
          <w:color w:val="auto"/>
          <w:sz w:val="32"/>
          <w:szCs w:val="32"/>
          <w:highlight w:val="none"/>
          <w:lang w:val="en-US" w:eastAsia="zh-CN"/>
        </w:rPr>
        <w:t>对辖区重性精神疾病患者进行登记管理；在专业机构指导下对在家居住的重性精神疾病患者进行治疗随访和康复指导，并做好相关记录。</w:t>
      </w:r>
    </w:p>
    <w:p w14:paraId="5607A21A">
      <w:pPr>
        <w:bidi w:val="0"/>
        <w:rPr>
          <w:rFonts w:hint="eastAsia"/>
          <w:color w:val="auto"/>
          <w:sz w:val="32"/>
          <w:szCs w:val="32"/>
          <w:highlight w:val="none"/>
          <w:lang w:val="en-US" w:eastAsia="zh-CN"/>
        </w:rPr>
      </w:pPr>
      <w:r>
        <w:rPr>
          <w:rFonts w:hint="eastAsia"/>
          <w:color w:val="auto"/>
          <w:sz w:val="32"/>
          <w:szCs w:val="32"/>
          <w:highlight w:val="none"/>
          <w:lang w:val="en-US" w:eastAsia="zh-CN"/>
        </w:rPr>
        <w:t>（十）村卫生室是落实基本公共卫生服务的重要组成部分，协助卫生院完成和落实14类基本公共卫生任务，接受卫生院的指导和县卫生局的考核，根据乡村医生承担基本公共卫生服务任务工作的完成情况合理补助经费</w:t>
      </w:r>
    </w:p>
    <w:p w14:paraId="2DA48B6D">
      <w:pPr>
        <w:bidi w:val="0"/>
        <w:rPr>
          <w:rFonts w:hint="eastAsia"/>
          <w:color w:val="auto"/>
          <w:sz w:val="32"/>
          <w:szCs w:val="32"/>
          <w:highlight w:val="none"/>
          <w:lang w:val="en-US" w:eastAsia="zh-CN"/>
        </w:rPr>
      </w:pPr>
      <w:r>
        <w:rPr>
          <w:rFonts w:hint="eastAsia"/>
          <w:color w:val="auto"/>
          <w:sz w:val="32"/>
          <w:szCs w:val="32"/>
          <w:highlight w:val="none"/>
          <w:lang w:val="en-US" w:eastAsia="zh-CN"/>
        </w:rPr>
        <w:t>本项目于2023年1月开始实施，截至2023年12月，该项目已实施完成，各项任务指标全部完成。</w:t>
      </w:r>
    </w:p>
    <w:p w14:paraId="66C1FFCC">
      <w:pPr>
        <w:bidi w:val="0"/>
        <w:rPr>
          <w:rFonts w:hint="eastAsia"/>
          <w:b/>
          <w:bCs/>
          <w:color w:val="auto"/>
          <w:sz w:val="32"/>
          <w:szCs w:val="32"/>
          <w:highlight w:val="none"/>
        </w:rPr>
      </w:pPr>
      <w:r>
        <w:rPr>
          <w:rFonts w:hint="eastAsia"/>
          <w:b/>
          <w:bCs/>
          <w:color w:val="auto"/>
          <w:sz w:val="32"/>
          <w:szCs w:val="32"/>
          <w:highlight w:val="none"/>
        </w:rPr>
        <w:t>3.项目实施主体</w:t>
      </w:r>
    </w:p>
    <w:p w14:paraId="0FBA37E2">
      <w:pPr>
        <w:pStyle w:val="21"/>
        <w:spacing w:line="57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2023年中央及自治区基本公共卫生服务项目</w:t>
      </w:r>
      <w:r>
        <w:rPr>
          <w:rFonts w:hint="eastAsia" w:ascii="仿宋_GB2312" w:hAnsi="仿宋_GB2312" w:cs="仿宋_GB2312"/>
          <w:color w:val="auto"/>
          <w:sz w:val="32"/>
          <w:szCs w:val="32"/>
          <w:highlight w:val="none"/>
          <w:lang w:val="en-US" w:eastAsia="zh-Hans"/>
        </w:rPr>
        <w:t>的实施</w:t>
      </w:r>
      <w:r>
        <w:rPr>
          <w:rFonts w:hint="eastAsia" w:ascii="仿宋_GB2312" w:hAnsi="仿宋_GB2312" w:cs="仿宋_GB2312"/>
          <w:color w:val="auto"/>
          <w:sz w:val="32"/>
          <w:szCs w:val="32"/>
          <w:highlight w:val="none"/>
          <w:lang w:eastAsia="zh-Hans"/>
        </w:rPr>
        <w:t>主体为</w:t>
      </w:r>
      <w:r>
        <w:rPr>
          <w:rFonts w:hint="eastAsia"/>
          <w:color w:val="auto"/>
          <w:sz w:val="32"/>
          <w:szCs w:val="32"/>
          <w:highlight w:val="none"/>
          <w:lang w:eastAsia="zh-CN"/>
        </w:rPr>
        <w:t>沙湾市金沟河镇卫生院</w:t>
      </w:r>
      <w:r>
        <w:rPr>
          <w:rFonts w:hint="eastAsia"/>
          <w:color w:val="auto"/>
          <w:sz w:val="32"/>
          <w:szCs w:val="32"/>
          <w:highlight w:val="none"/>
          <w:lang w:eastAsia="zh-Hans"/>
        </w:rPr>
        <w:t>。</w:t>
      </w:r>
    </w:p>
    <w:p w14:paraId="752CD83D">
      <w:pPr>
        <w:bidi w:val="0"/>
        <w:rPr>
          <w:rFonts w:hint="eastAsia"/>
          <w:b/>
          <w:bCs/>
          <w:color w:val="auto"/>
          <w:sz w:val="32"/>
          <w:szCs w:val="32"/>
          <w:highlight w:val="none"/>
        </w:rPr>
      </w:pPr>
      <w:r>
        <w:rPr>
          <w:rFonts w:hint="eastAsia"/>
          <w:b/>
          <w:bCs/>
          <w:color w:val="auto"/>
          <w:sz w:val="32"/>
          <w:szCs w:val="32"/>
          <w:highlight w:val="none"/>
        </w:rPr>
        <w:t>4. 资金投入和使用情况</w:t>
      </w:r>
    </w:p>
    <w:p w14:paraId="76E103DB">
      <w:pPr>
        <w:spacing w:line="600" w:lineRule="exact"/>
        <w:ind w:firstLine="640"/>
        <w:rPr>
          <w:rFonts w:ascii="仿宋_GB2312" w:hAnsi="仿宋_GB2312" w:cs="仿宋_GB2312"/>
          <w:color w:val="auto"/>
          <w:sz w:val="32"/>
          <w:szCs w:val="32"/>
          <w:highlight w:val="none"/>
        </w:rPr>
      </w:pPr>
      <w:r>
        <w:rPr>
          <w:rFonts w:hint="eastAsia"/>
          <w:color w:val="auto"/>
          <w:sz w:val="32"/>
          <w:szCs w:val="32"/>
          <w:highlight w:val="none"/>
        </w:rPr>
        <w:t>（1）项目资金安排落实、总投入情况</w:t>
      </w:r>
    </w:p>
    <w:p w14:paraId="57703D7E">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沙湾市财政局</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关于</w:t>
      </w:r>
      <w:r>
        <w:rPr>
          <w:rFonts w:hint="eastAsia" w:ascii="仿宋_GB2312" w:hAnsi="仿宋_GB2312" w:cs="仿宋_GB2312"/>
          <w:color w:val="auto"/>
          <w:sz w:val="32"/>
          <w:szCs w:val="32"/>
          <w:highlight w:val="none"/>
          <w:lang w:eastAsia="zh-Hans"/>
        </w:rPr>
        <w:t>提前下达2023年中央财政基本公共卫生服务补助资金</w:t>
      </w:r>
      <w:r>
        <w:rPr>
          <w:rFonts w:hint="eastAsia" w:ascii="仿宋_GB2312" w:hAnsi="仿宋_GB2312" w:cs="仿宋_GB2312"/>
          <w:color w:val="auto"/>
          <w:sz w:val="32"/>
          <w:szCs w:val="32"/>
          <w:highlight w:val="none"/>
          <w:lang w:eastAsia="zh-CN"/>
        </w:rPr>
        <w:t>预算</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91</w:t>
      </w:r>
      <w:r>
        <w:rPr>
          <w:rFonts w:hint="eastAsia" w:ascii="仿宋_GB2312" w:hAnsi="仿宋_GB2312" w:cs="仿宋_GB2312"/>
          <w:color w:val="auto"/>
          <w:sz w:val="32"/>
          <w:szCs w:val="32"/>
          <w:highlight w:val="none"/>
        </w:rPr>
        <w:t>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eastAsia="zh-CN"/>
        </w:rPr>
        <w:t>关于拨付</w:t>
      </w:r>
      <w:r>
        <w:rPr>
          <w:rFonts w:hint="eastAsia" w:ascii="仿宋_GB2312" w:hAnsi="仿宋_GB2312" w:cs="仿宋_GB2312"/>
          <w:color w:val="auto"/>
          <w:sz w:val="32"/>
          <w:szCs w:val="32"/>
          <w:highlight w:val="none"/>
          <w:lang w:eastAsia="zh-Hans"/>
        </w:rPr>
        <w:t>2023年中央基本公共卫生服务补助资金</w:t>
      </w:r>
      <w:r>
        <w:rPr>
          <w:rFonts w:hint="eastAsia" w:ascii="仿宋_GB2312" w:hAnsi="仿宋_GB2312" w:cs="仿宋_GB2312"/>
          <w:color w:val="auto"/>
          <w:sz w:val="32"/>
          <w:szCs w:val="32"/>
          <w:highlight w:val="none"/>
          <w:lang w:eastAsia="zh-CN"/>
        </w:rPr>
        <w:t>（第二批）</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25</w:t>
      </w:r>
      <w:r>
        <w:rPr>
          <w:rFonts w:hint="eastAsia" w:ascii="仿宋_GB2312" w:hAnsi="仿宋_GB2312" w:cs="仿宋_GB2312"/>
          <w:color w:val="auto"/>
          <w:sz w:val="32"/>
          <w:szCs w:val="32"/>
          <w:highlight w:val="none"/>
        </w:rPr>
        <w:t>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eastAsia="zh-CN"/>
        </w:rPr>
        <w:t>关于</w:t>
      </w:r>
      <w:r>
        <w:rPr>
          <w:rFonts w:hint="eastAsia" w:ascii="仿宋_GB2312" w:hAnsi="仿宋_GB2312" w:cs="仿宋_GB2312"/>
          <w:color w:val="auto"/>
          <w:sz w:val="32"/>
          <w:szCs w:val="32"/>
          <w:highlight w:val="none"/>
          <w:lang w:eastAsia="zh-Hans"/>
        </w:rPr>
        <w:t>提前下达2023年</w:t>
      </w:r>
      <w:r>
        <w:rPr>
          <w:rFonts w:hint="eastAsia" w:ascii="仿宋_GB2312" w:hAnsi="仿宋_GB2312" w:cs="仿宋_GB2312"/>
          <w:color w:val="auto"/>
          <w:sz w:val="32"/>
          <w:szCs w:val="32"/>
          <w:highlight w:val="none"/>
          <w:lang w:eastAsia="zh-CN"/>
        </w:rPr>
        <w:t>自治区</w:t>
      </w:r>
      <w:r>
        <w:rPr>
          <w:rFonts w:hint="eastAsia" w:ascii="仿宋_GB2312" w:hAnsi="仿宋_GB2312" w:cs="仿宋_GB2312"/>
          <w:color w:val="auto"/>
          <w:sz w:val="32"/>
          <w:szCs w:val="32"/>
          <w:highlight w:val="none"/>
          <w:lang w:eastAsia="zh-Hans"/>
        </w:rPr>
        <w:t>基本公共卫生服务补助资金</w:t>
      </w:r>
      <w:r>
        <w:rPr>
          <w:rFonts w:hint="eastAsia" w:ascii="仿宋_GB2312" w:hAnsi="仿宋_GB2312" w:cs="仿宋_GB2312"/>
          <w:color w:val="auto"/>
          <w:sz w:val="32"/>
          <w:szCs w:val="32"/>
          <w:highlight w:val="none"/>
          <w:lang w:eastAsia="zh-CN"/>
        </w:rPr>
        <w:t>预算</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103</w:t>
      </w:r>
      <w:r>
        <w:rPr>
          <w:rFonts w:hint="eastAsia" w:ascii="仿宋_GB2312" w:hAnsi="仿宋_GB2312" w:cs="仿宋_GB2312"/>
          <w:color w:val="auto"/>
          <w:sz w:val="32"/>
          <w:szCs w:val="32"/>
          <w:highlight w:val="none"/>
        </w:rPr>
        <w:t>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val="en-US" w:eastAsia="zh-CN"/>
        </w:rPr>
        <w:t>2023年中央及自治区基本公共卫生服务项目</w:t>
      </w:r>
      <w:r>
        <w:rPr>
          <w:rFonts w:hint="eastAsia" w:ascii="仿宋_GB2312" w:hAnsi="仿宋_GB2312" w:cs="仿宋_GB2312"/>
          <w:color w:val="auto"/>
          <w:sz w:val="32"/>
          <w:szCs w:val="32"/>
          <w:highlight w:val="none"/>
          <w:lang w:eastAsia="zh-Hans"/>
        </w:rPr>
        <w:t>预算</w:t>
      </w:r>
      <w:r>
        <w:rPr>
          <w:rFonts w:hint="eastAsia" w:ascii="仿宋_GB2312" w:hAnsi="仿宋_GB2312" w:cs="仿宋_GB2312"/>
          <w:color w:val="auto"/>
          <w:sz w:val="32"/>
          <w:szCs w:val="32"/>
          <w:highlight w:val="none"/>
        </w:rPr>
        <w:t>安排资金</w:t>
      </w:r>
      <w:r>
        <w:rPr>
          <w:rFonts w:hint="eastAsia" w:ascii="仿宋_GB2312" w:hAnsi="仿宋_GB2312" w:cs="仿宋_GB2312"/>
          <w:color w:val="auto"/>
          <w:sz w:val="32"/>
          <w:szCs w:val="32"/>
          <w:highlight w:val="none"/>
          <w:lang w:eastAsia="zh-Hans"/>
        </w:rPr>
        <w:t>总额</w:t>
      </w:r>
      <w:r>
        <w:rPr>
          <w:rFonts w:hint="eastAsia" w:ascii="仿宋_GB2312"/>
          <w:color w:val="auto"/>
          <w:sz w:val="32"/>
          <w:szCs w:val="32"/>
          <w:highlight w:val="none"/>
          <w:lang w:val="en-US" w:eastAsia="zh-CN"/>
        </w:rPr>
        <w:t>94.15</w:t>
      </w:r>
      <w:r>
        <w:rPr>
          <w:rFonts w:hint="eastAsia" w:ascii="仿宋_GB2312" w:hAnsi="仿宋_GB2312" w:cs="仿宋_GB2312"/>
          <w:color w:val="auto"/>
          <w:sz w:val="32"/>
          <w:szCs w:val="32"/>
          <w:highlight w:val="none"/>
        </w:rPr>
        <w:t>万元，</w:t>
      </w:r>
      <w:r>
        <w:rPr>
          <w:rFonts w:hint="eastAsia" w:ascii="仿宋_GB2312" w:hAnsi="仿宋_GB2312" w:cs="仿宋_GB2312"/>
          <w:color w:val="auto"/>
          <w:sz w:val="32"/>
          <w:szCs w:val="32"/>
          <w:highlight w:val="none"/>
          <w:lang w:eastAsia="zh-Hans"/>
        </w:rPr>
        <w:t>其中</w:t>
      </w:r>
      <w:r>
        <w:rPr>
          <w:rFonts w:hint="eastAsia" w:ascii="仿宋_GB2312"/>
          <w:color w:val="auto"/>
          <w:sz w:val="32"/>
          <w:szCs w:val="32"/>
          <w:highlight w:val="none"/>
        </w:rPr>
        <w:t>财政资</w:t>
      </w:r>
      <w:r>
        <w:rPr>
          <w:rFonts w:hint="eastAsia" w:ascii="仿宋_GB2312" w:hAnsi="仿宋_GB2312" w:cs="仿宋_GB2312"/>
          <w:color w:val="auto"/>
          <w:sz w:val="32"/>
          <w:szCs w:val="32"/>
          <w:highlight w:val="none"/>
        </w:rPr>
        <w:t>金</w:t>
      </w:r>
      <w:r>
        <w:rPr>
          <w:rFonts w:hint="eastAsia" w:ascii="仿宋_GB2312"/>
          <w:color w:val="auto"/>
          <w:sz w:val="32"/>
          <w:szCs w:val="32"/>
          <w:highlight w:val="none"/>
          <w:lang w:val="en-US" w:eastAsia="zh-CN"/>
        </w:rPr>
        <w:t>94.15</w:t>
      </w:r>
      <w:r>
        <w:rPr>
          <w:rFonts w:hint="eastAsia" w:ascii="仿宋_GB2312"/>
          <w:color w:val="auto"/>
          <w:sz w:val="32"/>
          <w:szCs w:val="32"/>
          <w:highlight w:val="none"/>
        </w:rPr>
        <w:t>万元、其他资金</w:t>
      </w:r>
      <w:r>
        <w:rPr>
          <w:rFonts w:hint="eastAsia" w:ascii="仿宋_GB2312"/>
          <w:color w:val="auto"/>
          <w:sz w:val="32"/>
          <w:szCs w:val="32"/>
          <w:highlight w:val="none"/>
          <w:lang w:val="en-US" w:eastAsia="zh-CN"/>
        </w:rPr>
        <w:t>0</w:t>
      </w:r>
      <w:r>
        <w:rPr>
          <w:rFonts w:hint="eastAsia" w:ascii="仿宋_GB2312"/>
          <w:color w:val="auto"/>
          <w:sz w:val="32"/>
          <w:szCs w:val="32"/>
          <w:highlight w:val="none"/>
        </w:rPr>
        <w:t>万元</w:t>
      </w:r>
      <w:r>
        <w:rPr>
          <w:rFonts w:hint="eastAsia" w:ascii="仿宋_GB2312"/>
          <w:color w:val="auto"/>
          <w:sz w:val="32"/>
          <w:szCs w:val="32"/>
          <w:highlight w:val="none"/>
          <w:lang w:eastAsia="zh-CN"/>
        </w:rPr>
        <w:t>；</w:t>
      </w: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年实际收到预算资金</w:t>
      </w:r>
      <w:r>
        <w:rPr>
          <w:rFonts w:hint="eastAsia" w:ascii="仿宋_GB2312"/>
          <w:color w:val="auto"/>
          <w:sz w:val="32"/>
          <w:szCs w:val="32"/>
          <w:highlight w:val="none"/>
          <w:lang w:val="en-US" w:eastAsia="zh-CN"/>
        </w:rPr>
        <w:t>94.15</w:t>
      </w:r>
      <w:r>
        <w:rPr>
          <w:rFonts w:hint="eastAsia" w:ascii="仿宋_GB2312"/>
          <w:color w:val="auto"/>
          <w:sz w:val="32"/>
          <w:szCs w:val="32"/>
          <w:highlight w:val="none"/>
        </w:rPr>
        <w:t>万元，预算资金到位率为</w:t>
      </w:r>
      <w:r>
        <w:rPr>
          <w:rFonts w:hint="eastAsia" w:ascii="仿宋_GB2312" w:hAnsi="仿宋_GB2312" w:cs="仿宋_GB2312"/>
          <w:color w:val="auto"/>
          <w:sz w:val="32"/>
          <w:szCs w:val="32"/>
          <w:highlight w:val="none"/>
          <w:lang w:val="en-US" w:eastAsia="zh-CN"/>
        </w:rPr>
        <w:t>100</w:t>
      </w:r>
      <w:r>
        <w:rPr>
          <w:rFonts w:hint="eastAsia" w:ascii="仿宋_GB2312"/>
          <w:color w:val="auto"/>
          <w:sz w:val="32"/>
          <w:szCs w:val="32"/>
          <w:highlight w:val="none"/>
        </w:rPr>
        <w:t>%。</w:t>
      </w:r>
    </w:p>
    <w:p w14:paraId="75ABB5D0">
      <w:pPr>
        <w:spacing w:line="600" w:lineRule="exact"/>
        <w:ind w:firstLine="640"/>
        <w:rPr>
          <w:color w:val="auto"/>
          <w:sz w:val="32"/>
          <w:szCs w:val="32"/>
          <w:highlight w:val="none"/>
        </w:rPr>
      </w:pPr>
      <w:r>
        <w:rPr>
          <w:rFonts w:hint="eastAsia"/>
          <w:color w:val="auto"/>
          <w:sz w:val="32"/>
          <w:szCs w:val="32"/>
          <w:highlight w:val="none"/>
        </w:rPr>
        <w:t>（2）项目资金实际使用情况</w:t>
      </w:r>
    </w:p>
    <w:p w14:paraId="65CB171B">
      <w:pPr>
        <w:pStyle w:val="10"/>
        <w:widowControl/>
        <w:spacing w:before="0" w:beforeAutospacing="0" w:after="0" w:afterAutospacing="0" w:line="570" w:lineRule="exact"/>
        <w:ind w:firstLine="640"/>
        <w:jc w:val="both"/>
        <w:rPr>
          <w:rFonts w:hint="eastAsia" w:ascii="仿宋_GB2312"/>
          <w:color w:val="auto"/>
          <w:sz w:val="32"/>
          <w:szCs w:val="32"/>
          <w:highlight w:val="none"/>
        </w:rPr>
      </w:pPr>
      <w:r>
        <w:rPr>
          <w:rFonts w:hint="eastAsia" w:ascii="仿宋_GB2312" w:hAnsi="Times New Roman" w:eastAsia="仿宋_GB2312" w:cs="Times New Roman"/>
          <w:color w:val="auto"/>
          <w:kern w:val="2"/>
          <w:sz w:val="32"/>
          <w:szCs w:val="32"/>
          <w:highlight w:val="none"/>
          <w:lang w:val="en-US" w:eastAsia="zh-CN" w:bidi="ar-SA"/>
        </w:rPr>
        <w:t>截至2023年12月31日，本项目实际支付资金</w:t>
      </w:r>
      <w:r>
        <w:rPr>
          <w:rFonts w:hint="eastAsia" w:ascii="仿宋_GB2312" w:cs="Times New Roman"/>
          <w:color w:val="auto"/>
          <w:kern w:val="2"/>
          <w:sz w:val="32"/>
          <w:szCs w:val="32"/>
          <w:highlight w:val="none"/>
          <w:lang w:val="en-US" w:eastAsia="zh-CN" w:bidi="ar-SA"/>
        </w:rPr>
        <w:t>94.15</w:t>
      </w:r>
      <w:r>
        <w:rPr>
          <w:rFonts w:hint="eastAsia" w:ascii="仿宋_GB2312" w:hAnsi="Times New Roman" w:eastAsia="仿宋_GB2312" w:cs="Times New Roman"/>
          <w:color w:val="auto"/>
          <w:kern w:val="2"/>
          <w:sz w:val="32"/>
          <w:szCs w:val="32"/>
          <w:highlight w:val="none"/>
          <w:lang w:val="en-US" w:eastAsia="zh-CN" w:bidi="ar-SA"/>
        </w:rPr>
        <w:t>万元，预算执行率</w:t>
      </w:r>
      <w:r>
        <w:rPr>
          <w:rFonts w:hint="eastAsia" w:ascii="仿宋_GB2312" w:cs="Times New Roman"/>
          <w:color w:val="auto"/>
          <w:kern w:val="2"/>
          <w:sz w:val="32"/>
          <w:szCs w:val="32"/>
          <w:highlight w:val="none"/>
          <w:lang w:val="en-US" w:eastAsia="zh-CN" w:bidi="ar-SA"/>
        </w:rPr>
        <w:t>100</w:t>
      </w:r>
      <w:r>
        <w:rPr>
          <w:rFonts w:hint="eastAsia" w:ascii="仿宋_GB2312" w:hAnsi="Times New Roman" w:eastAsia="仿宋_GB2312" w:cs="Times New Roman"/>
          <w:color w:val="auto"/>
          <w:kern w:val="2"/>
          <w:sz w:val="32"/>
          <w:szCs w:val="32"/>
          <w:highlight w:val="none"/>
          <w:lang w:val="en-US" w:eastAsia="zh-CN" w:bidi="ar-SA"/>
        </w:rPr>
        <w:t>%</w:t>
      </w:r>
      <w:r>
        <w:rPr>
          <w:rFonts w:hint="eastAsia" w:ascii="仿宋_GB2312" w:cs="Times New Roman"/>
          <w:color w:val="auto"/>
          <w:kern w:val="2"/>
          <w:sz w:val="32"/>
          <w:szCs w:val="32"/>
          <w:highlight w:val="none"/>
          <w:lang w:val="en-US" w:eastAsia="zh-CN" w:bidi="ar-SA"/>
        </w:rPr>
        <w:t>。</w:t>
      </w:r>
      <w:r>
        <w:rPr>
          <w:rFonts w:hint="eastAsia" w:ascii="仿宋_GB2312"/>
          <w:color w:val="auto"/>
          <w:sz w:val="32"/>
          <w:szCs w:val="32"/>
          <w:highlight w:val="none"/>
        </w:rPr>
        <w:t>项目资金主要用于支付</w:t>
      </w:r>
      <w:r>
        <w:rPr>
          <w:rFonts w:hint="eastAsia" w:ascii="仿宋_GB2312"/>
          <w:color w:val="auto"/>
          <w:sz w:val="32"/>
          <w:szCs w:val="32"/>
          <w:highlight w:val="none"/>
          <w:lang w:eastAsia="zh-CN"/>
        </w:rPr>
        <w:t>办公</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9.6</w:t>
      </w:r>
      <w:r>
        <w:rPr>
          <w:rFonts w:hint="eastAsia" w:ascii="仿宋_GB2312"/>
          <w:color w:val="auto"/>
          <w:sz w:val="32"/>
          <w:szCs w:val="32"/>
          <w:highlight w:val="none"/>
        </w:rPr>
        <w:t>万元、</w:t>
      </w:r>
      <w:r>
        <w:rPr>
          <w:rFonts w:hint="eastAsia" w:ascii="仿宋_GB2312"/>
          <w:color w:val="auto"/>
          <w:sz w:val="32"/>
          <w:szCs w:val="32"/>
          <w:highlight w:val="none"/>
          <w:lang w:eastAsia="zh-CN"/>
        </w:rPr>
        <w:t>印刷</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5.53</w:t>
      </w:r>
      <w:r>
        <w:rPr>
          <w:rFonts w:hint="eastAsia" w:ascii="仿宋_GB2312"/>
          <w:color w:val="auto"/>
          <w:sz w:val="32"/>
          <w:szCs w:val="32"/>
          <w:highlight w:val="none"/>
        </w:rPr>
        <w:t>万元</w:t>
      </w:r>
      <w:r>
        <w:rPr>
          <w:rFonts w:hint="eastAsia" w:ascii="仿宋_GB2312"/>
          <w:color w:val="auto"/>
          <w:sz w:val="32"/>
          <w:szCs w:val="32"/>
          <w:highlight w:val="none"/>
          <w:lang w:eastAsia="zh-CN"/>
        </w:rPr>
        <w:t>、电费</w:t>
      </w:r>
      <w:r>
        <w:rPr>
          <w:rFonts w:hint="eastAsia" w:ascii="仿宋_GB2312"/>
          <w:color w:val="auto"/>
          <w:sz w:val="32"/>
          <w:szCs w:val="32"/>
          <w:highlight w:val="none"/>
          <w:lang w:val="en-US" w:eastAsia="zh-CN"/>
        </w:rPr>
        <w:t>2万元、邮电费2.5万元、差旅费0.36万元、维修（护）费0.43万元、专用材料费18.31万元、劳务费53.42万元，其他交通费2万元</w:t>
      </w:r>
      <w:r>
        <w:rPr>
          <w:rFonts w:hint="eastAsia" w:ascii="仿宋_GB2312"/>
          <w:color w:val="auto"/>
          <w:sz w:val="32"/>
          <w:szCs w:val="32"/>
          <w:highlight w:val="none"/>
        </w:rPr>
        <w:t>。</w:t>
      </w:r>
    </w:p>
    <w:p w14:paraId="11305D91">
      <w:pPr>
        <w:pStyle w:val="3"/>
        <w:numPr>
          <w:ilvl w:val="0"/>
          <w:numId w:val="2"/>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项目绩效目标</w:t>
      </w:r>
    </w:p>
    <w:p w14:paraId="0CEEE8F4">
      <w:pPr>
        <w:bidi w:val="0"/>
        <w:rPr>
          <w:rFonts w:hint="eastAsia"/>
          <w:b/>
          <w:bCs/>
          <w:color w:val="auto"/>
          <w:sz w:val="32"/>
          <w:szCs w:val="32"/>
          <w:highlight w:val="none"/>
        </w:rPr>
      </w:pPr>
      <w:r>
        <w:rPr>
          <w:rFonts w:hint="eastAsia"/>
          <w:b/>
          <w:bCs/>
          <w:color w:val="auto"/>
          <w:sz w:val="32"/>
          <w:szCs w:val="32"/>
          <w:highlight w:val="none"/>
        </w:rPr>
        <w:t>1.总体目标</w:t>
      </w:r>
    </w:p>
    <w:p w14:paraId="69AC48EA">
      <w:pPr>
        <w:spacing w:line="540" w:lineRule="exact"/>
        <w:ind w:firstLine="600"/>
        <w:rPr>
          <w:rFonts w:hint="eastAsia" w:ascii="仿宋_GB2312" w:hAnsi="Times New Roman" w:eastAsia="仿宋_GB2312" w:cs="Times New Roman"/>
          <w:color w:val="auto"/>
          <w:kern w:val="0"/>
          <w:sz w:val="32"/>
          <w:szCs w:val="32"/>
          <w:highlight w:val="none"/>
          <w:lang w:val="en-US" w:eastAsia="zh-CN" w:bidi="ar"/>
        </w:rPr>
      </w:pPr>
      <w:r>
        <w:rPr>
          <w:rFonts w:hint="eastAsia" w:ascii="仿宋_GB2312" w:hAnsi="Times New Roman" w:eastAsia="仿宋_GB2312" w:cs="Times New Roman"/>
          <w:color w:val="auto"/>
          <w:kern w:val="0"/>
          <w:sz w:val="32"/>
          <w:szCs w:val="32"/>
          <w:highlight w:val="none"/>
          <w:lang w:val="en-US" w:eastAsia="zh-CN" w:bidi="ar"/>
        </w:rPr>
        <w:t>通过对全镇人民群众开展公共卫生项目服务，建立完备、适用的居民健康档案，全面掌握全镇城乡居民健康状况，分析影响全镇城乡居民健康的主要因素，制定科学准确的疾病谱，研究做到对危害群众健康的各类疾病“早发现、早诊断、早治疗、早预防”。目标1: 高血压患者管理人数大于等于</w:t>
      </w:r>
      <w:r>
        <w:rPr>
          <w:rFonts w:hint="eastAsia" w:ascii="仿宋_GB2312" w:cs="Times New Roman"/>
          <w:color w:val="auto"/>
          <w:kern w:val="0"/>
          <w:sz w:val="32"/>
          <w:szCs w:val="32"/>
          <w:highlight w:val="none"/>
          <w:lang w:val="en-US" w:eastAsia="zh-CN" w:bidi="ar"/>
        </w:rPr>
        <w:t>1546</w:t>
      </w:r>
      <w:r>
        <w:rPr>
          <w:rFonts w:hint="eastAsia" w:ascii="仿宋_GB2312" w:hAnsi="Times New Roman" w:eastAsia="仿宋_GB2312" w:cs="Times New Roman"/>
          <w:color w:val="auto"/>
          <w:kern w:val="0"/>
          <w:sz w:val="32"/>
          <w:szCs w:val="32"/>
          <w:highlight w:val="none"/>
          <w:lang w:val="en-US" w:eastAsia="zh-CN" w:bidi="ar"/>
        </w:rPr>
        <w:t>人；目标2: 2型糖尿病患者管理人数大于等于</w:t>
      </w:r>
      <w:r>
        <w:rPr>
          <w:rFonts w:hint="eastAsia" w:ascii="仿宋_GB2312" w:cs="Times New Roman"/>
          <w:color w:val="auto"/>
          <w:kern w:val="0"/>
          <w:sz w:val="32"/>
          <w:szCs w:val="32"/>
          <w:highlight w:val="none"/>
          <w:lang w:val="en-US" w:eastAsia="zh-CN" w:bidi="ar"/>
        </w:rPr>
        <w:t>618</w:t>
      </w:r>
      <w:r>
        <w:rPr>
          <w:rFonts w:hint="eastAsia" w:ascii="仿宋_GB2312" w:hAnsi="Times New Roman" w:eastAsia="仿宋_GB2312" w:cs="Times New Roman"/>
          <w:color w:val="auto"/>
          <w:kern w:val="0"/>
          <w:sz w:val="32"/>
          <w:szCs w:val="32"/>
          <w:highlight w:val="none"/>
          <w:lang w:val="en-US" w:eastAsia="zh-CN" w:bidi="ar"/>
        </w:rPr>
        <w:t>人，目标3</w:t>
      </w:r>
      <w:r>
        <w:rPr>
          <w:rFonts w:hint="eastAsia" w:ascii="仿宋_GB2312" w:hAnsi="Times New Roman" w:cs="Times New Roman"/>
          <w:color w:val="auto"/>
          <w:kern w:val="0"/>
          <w:sz w:val="32"/>
          <w:szCs w:val="32"/>
          <w:highlight w:val="none"/>
          <w:lang w:val="en-US" w:eastAsia="zh-CN" w:bidi="ar"/>
        </w:rPr>
        <w:t>：</w:t>
      </w:r>
      <w:r>
        <w:rPr>
          <w:rFonts w:hint="eastAsia" w:ascii="仿宋_GB2312" w:hAnsi="Times New Roman" w:eastAsia="仿宋_GB2312" w:cs="Times New Roman"/>
          <w:color w:val="auto"/>
          <w:kern w:val="0"/>
          <w:sz w:val="32"/>
          <w:szCs w:val="32"/>
          <w:highlight w:val="none"/>
          <w:lang w:val="en-US" w:eastAsia="zh-CN" w:bidi="ar"/>
        </w:rPr>
        <w:t>0-6岁儿童管理人数大于等于</w:t>
      </w:r>
      <w:r>
        <w:rPr>
          <w:rFonts w:hint="eastAsia" w:ascii="仿宋_GB2312" w:cs="Times New Roman"/>
          <w:color w:val="auto"/>
          <w:kern w:val="0"/>
          <w:sz w:val="32"/>
          <w:szCs w:val="32"/>
          <w:highlight w:val="none"/>
          <w:lang w:val="en-US" w:eastAsia="zh-CN" w:bidi="ar"/>
        </w:rPr>
        <w:t>578</w:t>
      </w:r>
      <w:r>
        <w:rPr>
          <w:rFonts w:hint="eastAsia" w:ascii="仿宋_GB2312" w:hAnsi="Times New Roman" w:eastAsia="仿宋_GB2312" w:cs="Times New Roman"/>
          <w:color w:val="auto"/>
          <w:kern w:val="0"/>
          <w:sz w:val="32"/>
          <w:szCs w:val="32"/>
          <w:highlight w:val="none"/>
          <w:lang w:val="en-US" w:eastAsia="zh-CN" w:bidi="ar"/>
        </w:rPr>
        <w:t>人，通过广泛开展全民公共卫生服务，让全镇各族群众切身感受到以习近平同志为核心的党中央对新疆各族人民的特殊关怀，发自内心地感恩党、感恩政府、感恩伟大祖国，为实现社会稳定和长治久安总目标凝心聚力。</w:t>
      </w:r>
    </w:p>
    <w:p w14:paraId="7213AC33">
      <w:pPr>
        <w:bidi w:val="0"/>
        <w:rPr>
          <w:rFonts w:hint="eastAsia"/>
          <w:b/>
          <w:bCs/>
          <w:color w:val="auto"/>
          <w:sz w:val="32"/>
          <w:szCs w:val="32"/>
          <w:highlight w:val="none"/>
        </w:rPr>
      </w:pPr>
      <w:r>
        <w:rPr>
          <w:rFonts w:hint="eastAsia"/>
          <w:b/>
          <w:bCs/>
          <w:color w:val="auto"/>
          <w:sz w:val="32"/>
          <w:szCs w:val="32"/>
          <w:highlight w:val="none"/>
        </w:rPr>
        <w:t>2.阶段性目标</w:t>
      </w:r>
    </w:p>
    <w:p w14:paraId="609FD90F">
      <w:pPr>
        <w:spacing w:line="600" w:lineRule="exact"/>
        <w:ind w:firstLine="640"/>
        <w:rPr>
          <w:rFonts w:ascii="仿宋_GB2312" w:hAnsi="Arial" w:cs="宋体"/>
          <w:bCs/>
          <w:color w:val="auto"/>
          <w:sz w:val="32"/>
          <w:szCs w:val="32"/>
          <w:highlight w:val="none"/>
        </w:rPr>
      </w:pPr>
      <w:r>
        <w:rPr>
          <w:rFonts w:hint="eastAsia" w:ascii="仿宋_GB2312" w:hAnsi="Arial" w:cs="宋体"/>
          <w:bCs/>
          <w:color w:val="auto"/>
          <w:sz w:val="32"/>
          <w:szCs w:val="32"/>
          <w:highlight w:val="none"/>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Arial" w:cs="宋体"/>
          <w:bCs/>
          <w:color w:val="auto"/>
          <w:sz w:val="32"/>
          <w:szCs w:val="32"/>
          <w:highlight w:val="none"/>
          <w:lang w:val="en-US" w:eastAsia="zh-CN"/>
        </w:rPr>
        <w:t>塔城</w:t>
      </w:r>
      <w:r>
        <w:rPr>
          <w:rFonts w:hint="eastAsia" w:ascii="仿宋_GB2312" w:hAnsi="Arial" w:cs="宋体"/>
          <w:bCs/>
          <w:color w:val="auto"/>
          <w:sz w:val="32"/>
          <w:szCs w:val="32"/>
          <w:highlight w:val="none"/>
        </w:rPr>
        <w:t>地区财政</w:t>
      </w:r>
      <w:r>
        <w:rPr>
          <w:rFonts w:hint="eastAsia" w:ascii="仿宋_GB2312"/>
          <w:color w:val="auto"/>
          <w:sz w:val="32"/>
          <w:szCs w:val="32"/>
          <w:highlight w:val="none"/>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号）等文件要求，</w:t>
      </w:r>
      <w:r>
        <w:rPr>
          <w:rFonts w:hint="eastAsia" w:ascii="仿宋_GB2312" w:hAnsi="Arial" w:cs="宋体"/>
          <w:bCs/>
          <w:color w:val="auto"/>
          <w:sz w:val="32"/>
          <w:szCs w:val="32"/>
          <w:highlight w:val="none"/>
        </w:rPr>
        <w:t>结合本项目实际，对绩效目标进行逐层分解、细化后的具体绩效指标如下：</w:t>
      </w:r>
    </w:p>
    <w:p w14:paraId="01907D82">
      <w:pPr>
        <w:numPr>
          <w:ilvl w:val="0"/>
          <w:numId w:val="3"/>
        </w:numPr>
        <w:spacing w:line="600" w:lineRule="exact"/>
        <w:ind w:firstLine="640"/>
        <w:rPr>
          <w:color w:val="auto"/>
          <w:sz w:val="32"/>
          <w:szCs w:val="32"/>
          <w:highlight w:val="none"/>
        </w:rPr>
      </w:pPr>
      <w:r>
        <w:rPr>
          <w:rFonts w:hint="eastAsia"/>
          <w:color w:val="auto"/>
          <w:sz w:val="32"/>
          <w:szCs w:val="32"/>
          <w:highlight w:val="none"/>
        </w:rPr>
        <w:t>项目产出</w:t>
      </w:r>
      <w:r>
        <w:rPr>
          <w:rFonts w:hint="eastAsia"/>
          <w:color w:val="auto"/>
          <w:sz w:val="32"/>
          <w:szCs w:val="32"/>
          <w:highlight w:val="none"/>
          <w:lang w:val="en-US" w:eastAsia="zh-CN"/>
        </w:rPr>
        <w:t>指标</w:t>
      </w:r>
    </w:p>
    <w:p w14:paraId="25DBCBD9">
      <w:pPr>
        <w:spacing w:line="600" w:lineRule="exact"/>
        <w:ind w:firstLine="640"/>
        <w:rPr>
          <w:color w:val="auto"/>
          <w:sz w:val="32"/>
          <w:szCs w:val="32"/>
          <w:highlight w:val="none"/>
        </w:rPr>
      </w:pPr>
      <w:r>
        <w:rPr>
          <w:rFonts w:hint="eastAsia"/>
          <w:color w:val="auto"/>
          <w:sz w:val="32"/>
          <w:szCs w:val="32"/>
          <w:highlight w:val="none"/>
        </w:rPr>
        <w:t>①数量指标</w:t>
      </w:r>
    </w:p>
    <w:p w14:paraId="10DFB8FE">
      <w:pPr>
        <w:spacing w:line="600" w:lineRule="exact"/>
        <w:ind w:firstLine="640"/>
        <w:rPr>
          <w:color w:val="auto"/>
          <w:sz w:val="32"/>
          <w:szCs w:val="32"/>
          <w:highlight w:val="none"/>
        </w:rPr>
      </w:pPr>
      <w:r>
        <w:rPr>
          <w:rFonts w:hint="eastAsia" w:ascii="仿宋" w:hAnsi="仿宋" w:eastAsia="仿宋" w:cs="仿宋"/>
          <w:bCs/>
          <w:color w:val="auto"/>
          <w:sz w:val="30"/>
          <w:szCs w:val="30"/>
          <w:highlight w:val="none"/>
        </w:rPr>
        <w:t>“高血压患者管理人数（人）”指标，预期指标值为“大于等于</w:t>
      </w:r>
      <w:r>
        <w:rPr>
          <w:rFonts w:hint="eastAsia" w:ascii="仿宋" w:hAnsi="仿宋" w:eastAsia="仿宋" w:cs="仿宋"/>
          <w:bCs/>
          <w:color w:val="auto"/>
          <w:sz w:val="30"/>
          <w:szCs w:val="30"/>
          <w:highlight w:val="none"/>
          <w:lang w:val="en-US" w:eastAsia="zh-CN"/>
        </w:rPr>
        <w:t>1546</w:t>
      </w:r>
      <w:r>
        <w:rPr>
          <w:rFonts w:hint="eastAsia" w:ascii="仿宋" w:hAnsi="仿宋" w:eastAsia="仿宋" w:cs="仿宋"/>
          <w:bCs/>
          <w:color w:val="auto"/>
          <w:sz w:val="30"/>
          <w:szCs w:val="30"/>
          <w:highlight w:val="none"/>
        </w:rPr>
        <w:t>人”</w:t>
      </w:r>
      <w:r>
        <w:rPr>
          <w:rFonts w:hint="eastAsia"/>
          <w:color w:val="auto"/>
          <w:sz w:val="32"/>
          <w:szCs w:val="32"/>
          <w:highlight w:val="none"/>
        </w:rPr>
        <w:t>；</w:t>
      </w:r>
    </w:p>
    <w:p w14:paraId="735E83F5">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2型糖尿病患者管理人数</w:t>
      </w:r>
      <w:r>
        <w:rPr>
          <w:rFonts w:hint="eastAsia" w:ascii="仿宋" w:hAnsi="仿宋" w:eastAsia="仿宋" w:cs="仿宋"/>
          <w:bCs/>
          <w:color w:val="auto"/>
          <w:sz w:val="30"/>
          <w:szCs w:val="30"/>
          <w:highlight w:val="none"/>
        </w:rPr>
        <w:t>（人）</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w:t>
      </w:r>
      <w:r>
        <w:rPr>
          <w:rFonts w:hint="eastAsia" w:ascii="仿宋" w:hAnsi="仿宋" w:eastAsia="仿宋" w:cs="仿宋"/>
          <w:bCs/>
          <w:color w:val="auto"/>
          <w:sz w:val="30"/>
          <w:szCs w:val="30"/>
          <w:highlight w:val="none"/>
          <w:lang w:val="en-US" w:eastAsia="zh-CN"/>
        </w:rPr>
        <w:t>618</w:t>
      </w:r>
      <w:r>
        <w:rPr>
          <w:rFonts w:hint="eastAsia" w:ascii="仿宋" w:hAnsi="仿宋" w:eastAsia="仿宋" w:cs="仿宋"/>
          <w:bCs/>
          <w:color w:val="auto"/>
          <w:sz w:val="30"/>
          <w:szCs w:val="30"/>
          <w:highlight w:val="none"/>
        </w:rPr>
        <w:t>人</w:t>
      </w:r>
      <w:r>
        <w:rPr>
          <w:rFonts w:hint="eastAsia"/>
          <w:color w:val="auto"/>
          <w:sz w:val="32"/>
          <w:szCs w:val="32"/>
          <w:highlight w:val="none"/>
        </w:rPr>
        <w:t>”；</w:t>
      </w:r>
    </w:p>
    <w:p w14:paraId="19D87D95">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0-6岁儿童管理人数（人）</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w:t>
      </w:r>
      <w:r>
        <w:rPr>
          <w:rFonts w:hint="eastAsia" w:ascii="仿宋" w:hAnsi="仿宋" w:eastAsia="仿宋" w:cs="仿宋"/>
          <w:bCs/>
          <w:color w:val="auto"/>
          <w:sz w:val="30"/>
          <w:szCs w:val="30"/>
          <w:highlight w:val="none"/>
          <w:lang w:val="en-US" w:eastAsia="zh-CN"/>
        </w:rPr>
        <w:t>578</w:t>
      </w:r>
      <w:r>
        <w:rPr>
          <w:rFonts w:hint="eastAsia" w:ascii="仿宋" w:hAnsi="仿宋" w:eastAsia="仿宋" w:cs="仿宋"/>
          <w:bCs/>
          <w:color w:val="auto"/>
          <w:sz w:val="30"/>
          <w:szCs w:val="30"/>
          <w:highlight w:val="none"/>
        </w:rPr>
        <w:t>人</w:t>
      </w:r>
      <w:r>
        <w:rPr>
          <w:rFonts w:hint="eastAsia"/>
          <w:color w:val="auto"/>
          <w:sz w:val="32"/>
          <w:szCs w:val="32"/>
          <w:highlight w:val="none"/>
        </w:rPr>
        <w:t>”。</w:t>
      </w:r>
    </w:p>
    <w:p w14:paraId="10809501">
      <w:pPr>
        <w:spacing w:line="600" w:lineRule="exact"/>
        <w:ind w:firstLine="640"/>
        <w:rPr>
          <w:color w:val="auto"/>
          <w:sz w:val="32"/>
          <w:szCs w:val="32"/>
          <w:highlight w:val="none"/>
        </w:rPr>
      </w:pPr>
      <w:r>
        <w:rPr>
          <w:rFonts w:hint="eastAsia"/>
          <w:color w:val="auto"/>
          <w:sz w:val="32"/>
          <w:szCs w:val="32"/>
          <w:highlight w:val="none"/>
        </w:rPr>
        <w:t>②质量指标</w:t>
      </w:r>
    </w:p>
    <w:p w14:paraId="13F53849">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高血压患者规范管理率（%）</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大于等于60%</w:t>
      </w:r>
      <w:r>
        <w:rPr>
          <w:rFonts w:hint="eastAsia"/>
          <w:color w:val="auto"/>
          <w:sz w:val="32"/>
          <w:szCs w:val="32"/>
          <w:highlight w:val="none"/>
        </w:rPr>
        <w:t>”；</w:t>
      </w:r>
    </w:p>
    <w:p w14:paraId="11FDE5AB">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2型糖尿病患者规范管理率（%）</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大于等于60%</w:t>
      </w:r>
      <w:r>
        <w:rPr>
          <w:rFonts w:hint="eastAsia"/>
          <w:color w:val="auto"/>
          <w:sz w:val="32"/>
          <w:szCs w:val="32"/>
          <w:highlight w:val="none"/>
        </w:rPr>
        <w:t>”</w:t>
      </w:r>
      <w:r>
        <w:rPr>
          <w:rFonts w:hint="eastAsia"/>
          <w:color w:val="auto"/>
          <w:sz w:val="32"/>
          <w:szCs w:val="32"/>
          <w:highlight w:val="none"/>
          <w:lang w:eastAsia="zh-CN"/>
        </w:rPr>
        <w:t>；</w:t>
      </w:r>
    </w:p>
    <w:p w14:paraId="12E42BE8">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0-6岁儿童健康管理率（%）</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w:t>
      </w:r>
      <w:r>
        <w:rPr>
          <w:rFonts w:hint="eastAsia" w:ascii="仿宋" w:hAnsi="仿宋" w:eastAsia="仿宋" w:cs="仿宋"/>
          <w:bCs/>
          <w:color w:val="auto"/>
          <w:sz w:val="30"/>
          <w:szCs w:val="30"/>
          <w:highlight w:val="none"/>
          <w:lang w:val="en-US" w:eastAsia="zh-CN"/>
        </w:rPr>
        <w:t>60</w:t>
      </w:r>
      <w:r>
        <w:rPr>
          <w:rFonts w:hint="eastAsia" w:ascii="仿宋" w:hAnsi="仿宋" w:eastAsia="仿宋" w:cs="仿宋"/>
          <w:bCs/>
          <w:color w:val="auto"/>
          <w:sz w:val="30"/>
          <w:szCs w:val="30"/>
          <w:highlight w:val="none"/>
        </w:rPr>
        <w:t>%</w:t>
      </w:r>
      <w:r>
        <w:rPr>
          <w:rFonts w:hint="eastAsia"/>
          <w:color w:val="auto"/>
          <w:sz w:val="32"/>
          <w:szCs w:val="32"/>
          <w:highlight w:val="none"/>
        </w:rPr>
        <w:t>”。</w:t>
      </w:r>
    </w:p>
    <w:p w14:paraId="0B394805">
      <w:pPr>
        <w:spacing w:line="600" w:lineRule="exact"/>
        <w:ind w:firstLine="640"/>
        <w:rPr>
          <w:color w:val="auto"/>
          <w:sz w:val="32"/>
          <w:szCs w:val="32"/>
          <w:highlight w:val="none"/>
        </w:rPr>
      </w:pPr>
      <w:r>
        <w:rPr>
          <w:rFonts w:hint="eastAsia"/>
          <w:color w:val="auto"/>
          <w:sz w:val="32"/>
          <w:szCs w:val="32"/>
          <w:highlight w:val="none"/>
        </w:rPr>
        <w:t>③时效指标</w:t>
      </w:r>
    </w:p>
    <w:p w14:paraId="2DCDA571">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基本公共卫生服务项目完成时限</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2023年12月20日前</w:t>
      </w:r>
      <w:r>
        <w:rPr>
          <w:rFonts w:hint="eastAsia"/>
          <w:color w:val="auto"/>
          <w:sz w:val="32"/>
          <w:szCs w:val="32"/>
          <w:highlight w:val="none"/>
        </w:rPr>
        <w:t>”</w:t>
      </w:r>
      <w:r>
        <w:rPr>
          <w:rFonts w:hint="eastAsia"/>
          <w:color w:val="auto"/>
          <w:sz w:val="32"/>
          <w:szCs w:val="32"/>
          <w:highlight w:val="none"/>
          <w:lang w:eastAsia="zh-CN"/>
        </w:rPr>
        <w:t>。</w:t>
      </w:r>
    </w:p>
    <w:p w14:paraId="65E42BB8">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highlight w:val="none"/>
          <w:lang w:val="en-US" w:eastAsia="zh-CN"/>
        </w:rPr>
        <w:t>项目</w:t>
      </w:r>
      <w:r>
        <w:rPr>
          <w:rFonts w:hint="eastAsia"/>
          <w:color w:val="auto"/>
          <w:sz w:val="32"/>
          <w:szCs w:val="32"/>
          <w:highlight w:val="none"/>
        </w:rPr>
        <w:t>成本指标</w:t>
      </w:r>
    </w:p>
    <w:p w14:paraId="49AA8274">
      <w:pPr>
        <w:spacing w:line="600" w:lineRule="exact"/>
        <w:ind w:firstLine="640"/>
        <w:rPr>
          <w:color w:val="auto"/>
          <w:highlight w:val="none"/>
        </w:rPr>
      </w:pPr>
      <w:r>
        <w:rPr>
          <w:rFonts w:hint="eastAsia" w:ascii="仿宋" w:hAnsi="仿宋" w:eastAsia="仿宋" w:cs="仿宋"/>
          <w:color w:val="auto"/>
          <w:sz w:val="30"/>
          <w:szCs w:val="30"/>
          <w:highlight w:val="none"/>
        </w:rPr>
        <w:t>①</w:t>
      </w:r>
      <w:r>
        <w:rPr>
          <w:rFonts w:hint="eastAsia"/>
          <w:color w:val="auto"/>
          <w:sz w:val="32"/>
          <w:szCs w:val="32"/>
          <w:highlight w:val="none"/>
          <w:lang w:val="en-US" w:eastAsia="zh-CN"/>
        </w:rPr>
        <w:t>经济成本</w:t>
      </w:r>
      <w:r>
        <w:rPr>
          <w:rFonts w:hint="eastAsia"/>
          <w:color w:val="auto"/>
          <w:sz w:val="32"/>
          <w:szCs w:val="32"/>
          <w:highlight w:val="none"/>
        </w:rPr>
        <w:t>指标</w:t>
      </w:r>
    </w:p>
    <w:p w14:paraId="031B2931">
      <w:pPr>
        <w:spacing w:line="600" w:lineRule="exact"/>
        <w:ind w:firstLine="640"/>
        <w:rPr>
          <w:rFonts w:hint="eastAsia"/>
          <w:color w:val="auto"/>
          <w:sz w:val="32"/>
          <w:szCs w:val="32"/>
          <w:highlight w:val="none"/>
        </w:rPr>
      </w:pPr>
      <w:r>
        <w:rPr>
          <w:rFonts w:hint="eastAsia"/>
          <w:color w:val="auto"/>
          <w:sz w:val="32"/>
          <w:szCs w:val="32"/>
          <w:highlight w:val="none"/>
        </w:rPr>
        <w:t>“</w:t>
      </w:r>
      <w:r>
        <w:rPr>
          <w:rFonts w:hint="eastAsia"/>
          <w:color w:val="auto"/>
          <w:sz w:val="32"/>
          <w:szCs w:val="32"/>
          <w:highlight w:val="none"/>
          <w:lang w:eastAsia="zh-CN"/>
        </w:rPr>
        <w:t>中央及自治区</w:t>
      </w:r>
      <w:r>
        <w:rPr>
          <w:rFonts w:hint="eastAsia" w:ascii="仿宋_GB2312"/>
          <w:color w:val="auto"/>
          <w:sz w:val="32"/>
          <w:szCs w:val="32"/>
          <w:highlight w:val="none"/>
          <w:lang w:eastAsia="zh-Hans"/>
        </w:rPr>
        <w:t>基本公共卫生服务</w:t>
      </w:r>
      <w:r>
        <w:rPr>
          <w:rFonts w:hint="eastAsia" w:ascii="仿宋_GB2312"/>
          <w:color w:val="auto"/>
          <w:sz w:val="32"/>
          <w:szCs w:val="32"/>
          <w:highlight w:val="none"/>
          <w:lang w:eastAsia="zh-CN"/>
        </w:rPr>
        <w:t>劳务费成本（万元）</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小于等于</w:t>
      </w:r>
      <w:r>
        <w:rPr>
          <w:rFonts w:hint="eastAsia" w:ascii="仿宋" w:hAnsi="仿宋" w:eastAsia="仿宋" w:cs="仿宋"/>
          <w:bCs/>
          <w:color w:val="auto"/>
          <w:sz w:val="30"/>
          <w:szCs w:val="30"/>
          <w:highlight w:val="none"/>
          <w:lang w:val="en-US" w:eastAsia="zh-CN"/>
        </w:rPr>
        <w:t>50万元</w:t>
      </w:r>
      <w:r>
        <w:rPr>
          <w:rFonts w:hint="eastAsia"/>
          <w:color w:val="auto"/>
          <w:sz w:val="32"/>
          <w:szCs w:val="32"/>
          <w:highlight w:val="none"/>
        </w:rPr>
        <w:t>”。</w:t>
      </w:r>
    </w:p>
    <w:p w14:paraId="429BD5D2">
      <w:pPr>
        <w:spacing w:line="600" w:lineRule="exact"/>
        <w:ind w:firstLine="640"/>
        <w:rPr>
          <w:rFonts w:hint="eastAsia"/>
          <w:color w:val="auto"/>
          <w:sz w:val="32"/>
          <w:szCs w:val="32"/>
          <w:highlight w:val="none"/>
        </w:rPr>
      </w:pPr>
      <w:r>
        <w:rPr>
          <w:rFonts w:hint="eastAsia"/>
          <w:color w:val="auto"/>
          <w:sz w:val="32"/>
          <w:szCs w:val="32"/>
          <w:highlight w:val="none"/>
        </w:rPr>
        <w:t>“</w:t>
      </w:r>
      <w:r>
        <w:rPr>
          <w:rFonts w:hint="eastAsia"/>
          <w:color w:val="auto"/>
          <w:sz w:val="32"/>
          <w:szCs w:val="32"/>
          <w:highlight w:val="none"/>
          <w:lang w:eastAsia="zh-CN"/>
        </w:rPr>
        <w:t>中央及自治区</w:t>
      </w:r>
      <w:r>
        <w:rPr>
          <w:rFonts w:hint="eastAsia" w:ascii="仿宋_GB2312"/>
          <w:color w:val="auto"/>
          <w:sz w:val="32"/>
          <w:szCs w:val="32"/>
          <w:highlight w:val="none"/>
          <w:lang w:eastAsia="zh-Hans"/>
        </w:rPr>
        <w:t>基本公共卫生服务</w:t>
      </w:r>
      <w:r>
        <w:rPr>
          <w:rFonts w:hint="eastAsia" w:ascii="仿宋_GB2312"/>
          <w:color w:val="auto"/>
          <w:sz w:val="32"/>
          <w:szCs w:val="32"/>
          <w:highlight w:val="none"/>
          <w:lang w:eastAsia="zh-CN"/>
        </w:rPr>
        <w:t>办公费成本（万元）</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小于等于</w:t>
      </w:r>
      <w:r>
        <w:rPr>
          <w:rFonts w:hint="eastAsia" w:ascii="仿宋" w:hAnsi="仿宋" w:eastAsia="仿宋" w:cs="仿宋"/>
          <w:bCs/>
          <w:color w:val="auto"/>
          <w:sz w:val="30"/>
          <w:szCs w:val="30"/>
          <w:highlight w:val="none"/>
          <w:lang w:val="en-US" w:eastAsia="zh-CN"/>
        </w:rPr>
        <w:t>43.95万元</w:t>
      </w:r>
      <w:r>
        <w:rPr>
          <w:rFonts w:hint="eastAsia"/>
          <w:color w:val="auto"/>
          <w:sz w:val="32"/>
          <w:szCs w:val="32"/>
          <w:highlight w:val="none"/>
        </w:rPr>
        <w:t>”。</w:t>
      </w:r>
    </w:p>
    <w:p w14:paraId="3CF67B0B">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lang w:eastAsia="zh-CN"/>
        </w:rPr>
        <w:t>（</w:t>
      </w:r>
      <w:r>
        <w:rPr>
          <w:rFonts w:hint="eastAsia"/>
          <w:color w:val="auto"/>
          <w:sz w:val="32"/>
          <w:szCs w:val="32"/>
          <w:highlight w:val="none"/>
          <w:lang w:val="en-US" w:eastAsia="zh-CN"/>
        </w:rPr>
        <w:t>3</w:t>
      </w:r>
      <w:r>
        <w:rPr>
          <w:rFonts w:hint="eastAsia"/>
          <w:color w:val="auto"/>
          <w:sz w:val="32"/>
          <w:szCs w:val="32"/>
          <w:highlight w:val="none"/>
          <w:lang w:eastAsia="zh-CN"/>
        </w:rPr>
        <w:t>）</w:t>
      </w:r>
      <w:r>
        <w:rPr>
          <w:rFonts w:hint="eastAsia"/>
          <w:color w:val="auto"/>
          <w:sz w:val="32"/>
          <w:szCs w:val="32"/>
          <w:highlight w:val="none"/>
        </w:rPr>
        <w:t>项目效益</w:t>
      </w:r>
      <w:r>
        <w:rPr>
          <w:rFonts w:hint="eastAsia"/>
          <w:color w:val="auto"/>
          <w:sz w:val="32"/>
          <w:szCs w:val="32"/>
          <w:highlight w:val="none"/>
          <w:lang w:val="en-US" w:eastAsia="zh-CN"/>
        </w:rPr>
        <w:t>指标</w:t>
      </w:r>
    </w:p>
    <w:p w14:paraId="62C65AE7">
      <w:pPr>
        <w:spacing w:line="6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①经济效益指标</w:t>
      </w:r>
    </w:p>
    <w:p w14:paraId="30504420">
      <w:pPr>
        <w:pStyle w:val="27"/>
        <w:spacing w:line="600" w:lineRule="exact"/>
        <w:rPr>
          <w:rFonts w:hint="default" w:ascii="仿宋" w:hAnsi="仿宋" w:eastAsia="仿宋" w:cs="仿宋"/>
          <w:color w:val="auto"/>
          <w:sz w:val="30"/>
          <w:szCs w:val="30"/>
          <w:highlight w:val="none"/>
        </w:rPr>
      </w:pPr>
      <w:r>
        <w:rPr>
          <w:rFonts w:hint="eastAsia" w:ascii="仿宋" w:hAnsi="仿宋" w:eastAsia="仿宋" w:cs="仿宋"/>
          <w:bCs/>
          <w:color w:val="auto"/>
          <w:sz w:val="30"/>
          <w:szCs w:val="30"/>
          <w:highlight w:val="none"/>
        </w:rPr>
        <w:t>无此项指标。</w:t>
      </w:r>
    </w:p>
    <w:p w14:paraId="1DC9BCC9">
      <w:pPr>
        <w:spacing w:line="600" w:lineRule="exact"/>
        <w:ind w:firstLine="640"/>
        <w:rPr>
          <w:color w:val="auto"/>
          <w:sz w:val="32"/>
          <w:szCs w:val="32"/>
          <w:highlight w:val="none"/>
        </w:rPr>
      </w:pPr>
      <w:r>
        <w:rPr>
          <w:rFonts w:hint="default" w:ascii="仿宋" w:hAnsi="仿宋" w:eastAsia="仿宋" w:cs="仿宋"/>
          <w:color w:val="auto"/>
          <w:sz w:val="30"/>
          <w:szCs w:val="30"/>
          <w:highlight w:val="none"/>
        </w:rPr>
        <w:t>②</w:t>
      </w:r>
      <w:r>
        <w:rPr>
          <w:rFonts w:hint="eastAsia"/>
          <w:color w:val="auto"/>
          <w:sz w:val="32"/>
          <w:szCs w:val="32"/>
          <w:highlight w:val="none"/>
        </w:rPr>
        <w:t>社会效益指标</w:t>
      </w:r>
    </w:p>
    <w:p w14:paraId="3D44E6D0">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提升城乡居民基本公共卫生服务均等化水平</w:t>
      </w:r>
      <w:r>
        <w:rPr>
          <w:rFonts w:hint="eastAsia"/>
          <w:color w:val="auto"/>
          <w:sz w:val="32"/>
          <w:szCs w:val="32"/>
          <w:highlight w:val="none"/>
        </w:rPr>
        <w:t>”指标，预期指标值为“</w:t>
      </w:r>
      <w:r>
        <w:rPr>
          <w:rFonts w:hint="eastAsia" w:ascii="仿宋_GB2312" w:hAnsi="Times New Roman" w:cs="Times New Roman"/>
          <w:color w:val="auto"/>
          <w:sz w:val="32"/>
          <w:szCs w:val="32"/>
          <w:highlight w:val="none"/>
          <w:lang w:eastAsia="zh-Hans"/>
        </w:rPr>
        <w:t>有效提</w:t>
      </w:r>
      <w:r>
        <w:rPr>
          <w:rFonts w:hint="eastAsia" w:ascii="仿宋_GB2312"/>
          <w:color w:val="auto"/>
          <w:sz w:val="32"/>
          <w:szCs w:val="32"/>
          <w:highlight w:val="none"/>
          <w:lang w:eastAsia="zh-Hans"/>
        </w:rPr>
        <w:t>升</w:t>
      </w:r>
      <w:r>
        <w:rPr>
          <w:rFonts w:hint="eastAsia"/>
          <w:color w:val="auto"/>
          <w:sz w:val="32"/>
          <w:szCs w:val="32"/>
          <w:highlight w:val="none"/>
        </w:rPr>
        <w:t>”</w:t>
      </w:r>
      <w:r>
        <w:rPr>
          <w:rFonts w:hint="eastAsia"/>
          <w:color w:val="auto"/>
          <w:sz w:val="32"/>
          <w:szCs w:val="32"/>
          <w:highlight w:val="none"/>
          <w:lang w:eastAsia="zh-CN"/>
        </w:rPr>
        <w:t>。</w:t>
      </w:r>
    </w:p>
    <w:p w14:paraId="349806E6">
      <w:pPr>
        <w:spacing w:line="600" w:lineRule="exact"/>
        <w:ind w:firstLine="640"/>
        <w:rPr>
          <w:rFonts w:hint="eastAsia"/>
          <w:color w:val="auto"/>
          <w:sz w:val="32"/>
          <w:szCs w:val="32"/>
          <w:highlight w:val="none"/>
        </w:rPr>
      </w:pPr>
      <w:r>
        <w:rPr>
          <w:rFonts w:hint="default" w:ascii="仿宋" w:hAnsi="仿宋" w:eastAsia="仿宋" w:cs="仿宋"/>
          <w:color w:val="auto"/>
          <w:sz w:val="30"/>
          <w:szCs w:val="30"/>
          <w:highlight w:val="none"/>
        </w:rPr>
        <w:t>③</w:t>
      </w:r>
      <w:r>
        <w:rPr>
          <w:rFonts w:hint="eastAsia" w:ascii="仿宋" w:hAnsi="仿宋" w:eastAsia="仿宋" w:cs="仿宋"/>
          <w:color w:val="auto"/>
          <w:sz w:val="30"/>
          <w:szCs w:val="30"/>
          <w:highlight w:val="none"/>
        </w:rPr>
        <w:t>生</w:t>
      </w:r>
      <w:r>
        <w:rPr>
          <w:rFonts w:hint="eastAsia"/>
          <w:color w:val="auto"/>
          <w:sz w:val="32"/>
          <w:szCs w:val="32"/>
          <w:highlight w:val="none"/>
        </w:rPr>
        <w:t>态效益指标</w:t>
      </w:r>
    </w:p>
    <w:p w14:paraId="030577C6">
      <w:pPr>
        <w:pStyle w:val="27"/>
        <w:spacing w:line="600" w:lineRule="exact"/>
        <w:rPr>
          <w:rFonts w:hint="eastAsia"/>
          <w:color w:val="auto"/>
          <w:sz w:val="32"/>
          <w:szCs w:val="32"/>
          <w:highlight w:val="none"/>
        </w:rPr>
      </w:pPr>
      <w:r>
        <w:rPr>
          <w:rFonts w:hint="eastAsia" w:ascii="仿宋" w:hAnsi="仿宋" w:eastAsia="仿宋" w:cs="仿宋"/>
          <w:bCs/>
          <w:color w:val="auto"/>
          <w:sz w:val="30"/>
          <w:szCs w:val="30"/>
          <w:highlight w:val="none"/>
        </w:rPr>
        <w:t>无此项指标。</w:t>
      </w:r>
    </w:p>
    <w:p w14:paraId="2FF05744">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4</w:t>
      </w:r>
      <w:r>
        <w:rPr>
          <w:rFonts w:hint="eastAsia"/>
          <w:color w:val="auto"/>
          <w:sz w:val="32"/>
          <w:szCs w:val="32"/>
          <w:highlight w:val="none"/>
        </w:rPr>
        <w:t>）相关满意度目标</w:t>
      </w:r>
    </w:p>
    <w:p w14:paraId="5833A966">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服务对象满意度（%）</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大于等于95%</w:t>
      </w:r>
      <w:r>
        <w:rPr>
          <w:rFonts w:hint="eastAsia"/>
          <w:color w:val="auto"/>
          <w:sz w:val="32"/>
          <w:szCs w:val="32"/>
          <w:highlight w:val="none"/>
        </w:rPr>
        <w:t>”</w:t>
      </w:r>
      <w:r>
        <w:rPr>
          <w:rFonts w:hint="eastAsia"/>
          <w:color w:val="auto"/>
          <w:sz w:val="32"/>
          <w:szCs w:val="32"/>
          <w:highlight w:val="none"/>
          <w:lang w:eastAsia="zh-CN"/>
        </w:rPr>
        <w:t>。</w:t>
      </w:r>
    </w:p>
    <w:p w14:paraId="75335C73">
      <w:pPr>
        <w:pStyle w:val="2"/>
        <w:spacing w:line="600" w:lineRule="exact"/>
        <w:rPr>
          <w:color w:val="auto"/>
          <w:szCs w:val="32"/>
          <w:highlight w:val="none"/>
        </w:rPr>
      </w:pPr>
      <w:r>
        <w:rPr>
          <w:rFonts w:hint="eastAsia"/>
          <w:color w:val="auto"/>
          <w:szCs w:val="32"/>
          <w:highlight w:val="none"/>
        </w:rPr>
        <w:t>二、绩效评价工作开展情况</w:t>
      </w:r>
    </w:p>
    <w:p w14:paraId="02616783">
      <w:pPr>
        <w:pStyle w:val="3"/>
        <w:numPr>
          <w:ilvl w:val="0"/>
          <w:numId w:val="4"/>
        </w:numPr>
        <w:spacing w:line="600" w:lineRule="exact"/>
        <w:ind w:firstLine="643"/>
        <w:rPr>
          <w:rFonts w:ascii="楷体_GB2312" w:eastAsia="楷体_GB2312"/>
          <w:color w:val="auto"/>
          <w:szCs w:val="32"/>
          <w:highlight w:val="none"/>
        </w:rPr>
      </w:pPr>
      <w:bookmarkStart w:id="0" w:name="_Toc480473081"/>
      <w:bookmarkStart w:id="1" w:name="_Toc12868"/>
      <w:bookmarkStart w:id="2" w:name="_Toc22922"/>
      <w:bookmarkStart w:id="3" w:name="_Toc22169_WPSOffice_Level2"/>
      <w:bookmarkStart w:id="4" w:name="_Toc5462343"/>
      <w:bookmarkStart w:id="5" w:name="_Toc26632"/>
      <w:bookmarkStart w:id="6" w:name="_Toc5258"/>
      <w:bookmarkStart w:id="7" w:name="_Toc21664"/>
      <w:r>
        <w:rPr>
          <w:rFonts w:hint="eastAsia" w:ascii="楷体_GB2312" w:eastAsia="楷体_GB2312"/>
          <w:color w:val="auto"/>
          <w:szCs w:val="32"/>
          <w:highlight w:val="none"/>
        </w:rPr>
        <w:t>绩效评价的目的</w:t>
      </w:r>
      <w:bookmarkEnd w:id="0"/>
      <w:bookmarkEnd w:id="1"/>
      <w:bookmarkEnd w:id="2"/>
      <w:bookmarkEnd w:id="3"/>
      <w:bookmarkEnd w:id="4"/>
      <w:bookmarkEnd w:id="5"/>
      <w:bookmarkEnd w:id="6"/>
      <w:bookmarkEnd w:id="7"/>
      <w:r>
        <w:rPr>
          <w:rFonts w:hint="eastAsia" w:ascii="楷体_GB2312" w:eastAsia="楷体_GB2312"/>
          <w:color w:val="auto"/>
          <w:szCs w:val="32"/>
          <w:highlight w:val="none"/>
        </w:rPr>
        <w:t>、对象和范围</w:t>
      </w:r>
    </w:p>
    <w:p w14:paraId="2E2D58D8">
      <w:pPr>
        <w:bidi w:val="0"/>
        <w:rPr>
          <w:rFonts w:hint="eastAsia"/>
          <w:b/>
          <w:bCs/>
          <w:color w:val="auto"/>
          <w:sz w:val="32"/>
          <w:szCs w:val="32"/>
          <w:highlight w:val="none"/>
        </w:rPr>
      </w:pPr>
      <w:r>
        <w:rPr>
          <w:rFonts w:hint="eastAsia"/>
          <w:b/>
          <w:bCs/>
          <w:color w:val="auto"/>
          <w:sz w:val="32"/>
          <w:szCs w:val="32"/>
          <w:highlight w:val="none"/>
        </w:rPr>
        <w:t>1.绩效评价的目的</w:t>
      </w:r>
    </w:p>
    <w:p w14:paraId="46BA6A41">
      <w:pPr>
        <w:spacing w:line="600" w:lineRule="exact"/>
        <w:ind w:firstLine="640"/>
        <w:rPr>
          <w:color w:val="auto"/>
          <w:sz w:val="32"/>
          <w:szCs w:val="32"/>
          <w:highlight w:val="none"/>
        </w:rPr>
      </w:pPr>
      <w:r>
        <w:rPr>
          <w:rFonts w:hint="eastAsia" w:ascii="仿宋_GB2312" w:hAnsi="仿宋_GB2312" w:cs="仿宋_GB2312"/>
          <w:color w:val="auto"/>
          <w:sz w:val="32"/>
          <w:szCs w:val="32"/>
          <w:highlight w:val="none"/>
        </w:rPr>
        <w:t>本次</w:t>
      </w:r>
      <w:r>
        <w:rPr>
          <w:rFonts w:hint="eastAsia"/>
          <w:color w:val="auto"/>
          <w:sz w:val="32"/>
          <w:szCs w:val="32"/>
          <w:highlight w:val="none"/>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7E2F3EF2">
      <w:pPr>
        <w:bidi w:val="0"/>
        <w:rPr>
          <w:rFonts w:hint="eastAsia"/>
          <w:b/>
          <w:bCs/>
          <w:color w:val="auto"/>
          <w:sz w:val="32"/>
          <w:szCs w:val="32"/>
          <w:highlight w:val="none"/>
        </w:rPr>
      </w:pPr>
      <w:r>
        <w:rPr>
          <w:rFonts w:hint="eastAsia"/>
          <w:b/>
          <w:bCs/>
          <w:color w:val="auto"/>
          <w:sz w:val="32"/>
          <w:szCs w:val="32"/>
          <w:highlight w:val="none"/>
        </w:rPr>
        <w:t>2.绩效评价的对象和范围</w:t>
      </w:r>
    </w:p>
    <w:p w14:paraId="778C03CA">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本次绩效评价遵循财政部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lang w:eastAsia="zh-Hans"/>
        </w:rPr>
        <w:t>以及</w:t>
      </w:r>
      <w:r>
        <w:rPr>
          <w:rFonts w:hint="eastAsia" w:ascii="仿宋_GB2312" w:hAnsi="仿宋_GB2312" w:cs="仿宋_GB2312"/>
          <w:color w:val="auto"/>
          <w:sz w:val="32"/>
          <w:szCs w:val="32"/>
          <w:highlight w:val="none"/>
        </w:rPr>
        <w:t>自治区财政厅《自治区财政支出绩效评价管理暂行办法》（新财预〔2018〕189号）等文件规定，</w:t>
      </w:r>
      <w:r>
        <w:rPr>
          <w:rFonts w:hint="eastAsia" w:ascii="仿宋_GB2312"/>
          <w:color w:val="auto"/>
          <w:sz w:val="32"/>
          <w:szCs w:val="32"/>
          <w:highlight w:val="none"/>
        </w:rPr>
        <w:t>对202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年度我单位实施</w:t>
      </w:r>
      <w:r>
        <w:rPr>
          <w:rFonts w:hint="eastAsia" w:ascii="仿宋_GB2312" w:hAnsi="Times New Roman" w:cs="Times New Roman"/>
          <w:color w:val="auto"/>
          <w:sz w:val="32"/>
          <w:szCs w:val="32"/>
          <w:highlight w:val="none"/>
          <w:lang w:val="en-US" w:eastAsia="zh-CN"/>
        </w:rPr>
        <w:t>的2023年中央及自治区基本公共卫生服务项</w:t>
      </w:r>
      <w:r>
        <w:rPr>
          <w:rFonts w:hint="eastAsia" w:ascii="仿宋_GB2312"/>
          <w:color w:val="auto"/>
          <w:sz w:val="32"/>
          <w:szCs w:val="32"/>
          <w:highlight w:val="none"/>
        </w:rPr>
        <w:t>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164771AC">
      <w:pPr>
        <w:pStyle w:val="3"/>
        <w:numPr>
          <w:ilvl w:val="0"/>
          <w:numId w:val="4"/>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评价工作简述</w:t>
      </w:r>
    </w:p>
    <w:p w14:paraId="3FCBC6BC">
      <w:pPr>
        <w:bidi w:val="0"/>
        <w:rPr>
          <w:rFonts w:hint="eastAsia"/>
          <w:b/>
          <w:bCs/>
          <w:color w:val="auto"/>
          <w:sz w:val="32"/>
          <w:szCs w:val="32"/>
          <w:highlight w:val="none"/>
        </w:rPr>
      </w:pPr>
      <w:r>
        <w:rPr>
          <w:rFonts w:hint="eastAsia"/>
          <w:b/>
          <w:bCs/>
          <w:color w:val="auto"/>
          <w:sz w:val="32"/>
          <w:szCs w:val="32"/>
          <w:highlight w:val="none"/>
        </w:rPr>
        <w:t>1.绩效评价原则</w:t>
      </w:r>
    </w:p>
    <w:p w14:paraId="6C8AE3F2">
      <w:pPr>
        <w:spacing w:line="600" w:lineRule="exact"/>
        <w:ind w:firstLine="640"/>
        <w:rPr>
          <w:color w:val="auto"/>
          <w:sz w:val="32"/>
          <w:szCs w:val="32"/>
          <w:highlight w:val="none"/>
        </w:rPr>
      </w:pPr>
      <w:r>
        <w:rPr>
          <w:rFonts w:hint="eastAsia"/>
          <w:color w:val="auto"/>
          <w:sz w:val="32"/>
          <w:szCs w:val="32"/>
          <w:highlight w:val="none"/>
        </w:rPr>
        <w:t>依据</w:t>
      </w:r>
      <w:r>
        <w:rPr>
          <w:rFonts w:hint="eastAsia" w:hAnsi="Arial" w:cs="宋体"/>
          <w:bCs/>
          <w:color w:val="auto"/>
          <w:sz w:val="32"/>
          <w:szCs w:val="32"/>
          <w:highlight w:val="none"/>
        </w:rPr>
        <w:t>《中华人民共和国预算法》、</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color w:val="auto"/>
          <w:sz w:val="32"/>
          <w:szCs w:val="32"/>
          <w:highlight w:val="none"/>
        </w:rPr>
        <w:t>等法规和政策文件要求，本次绩效评价秉承科学规范、公正公开、分级分类、绩效相关等原则，按照从投入、过程到产出效果和影响的绩效逻辑路径，结合</w:t>
      </w:r>
      <w:r>
        <w:rPr>
          <w:rFonts w:hint="eastAsia" w:ascii="仿宋_GB2312" w:hAnsi="Times New Roman" w:cs="Times New Roman"/>
          <w:color w:val="auto"/>
          <w:sz w:val="32"/>
          <w:szCs w:val="32"/>
          <w:highlight w:val="none"/>
          <w:lang w:val="en-US" w:eastAsia="zh-CN"/>
        </w:rPr>
        <w:t>2023年中央及自治区基本公共卫生服务</w:t>
      </w:r>
      <w:r>
        <w:rPr>
          <w:rFonts w:hint="eastAsia"/>
          <w:color w:val="auto"/>
          <w:sz w:val="32"/>
          <w:szCs w:val="32"/>
          <w:highlight w:val="none"/>
        </w:rPr>
        <w:t>项目实际开展情况，运用定量和定性分析相结合的方法，总结经验做法，反思项目实施和管理中的问题，以切实提升财政资金管理的科学化、规范化和精细化水平。</w:t>
      </w:r>
    </w:p>
    <w:p w14:paraId="7D679F13">
      <w:pPr>
        <w:spacing w:line="600" w:lineRule="exact"/>
        <w:ind w:firstLine="640"/>
        <w:rPr>
          <w:color w:val="auto"/>
          <w:sz w:val="32"/>
          <w:szCs w:val="32"/>
          <w:highlight w:val="none"/>
        </w:rPr>
      </w:pPr>
      <w:r>
        <w:rPr>
          <w:rFonts w:hint="eastAsia"/>
          <w:color w:val="auto"/>
          <w:sz w:val="32"/>
          <w:szCs w:val="32"/>
          <w:highlight w:val="none"/>
        </w:rPr>
        <w:t>根据以上原则，绩效评价遵循如下具体要求：</w:t>
      </w:r>
    </w:p>
    <w:p w14:paraId="39451ECC">
      <w:pPr>
        <w:spacing w:line="600" w:lineRule="exact"/>
        <w:ind w:firstLine="640"/>
        <w:rPr>
          <w:color w:val="auto"/>
          <w:sz w:val="32"/>
          <w:szCs w:val="32"/>
          <w:highlight w:val="none"/>
        </w:rPr>
      </w:pPr>
      <w:r>
        <w:rPr>
          <w:rFonts w:hint="eastAsia" w:ascii="仿宋_GB2312"/>
          <w:color w:val="auto"/>
          <w:sz w:val="32"/>
          <w:szCs w:val="32"/>
          <w:highlight w:val="none"/>
        </w:rPr>
        <w:t>（1）</w:t>
      </w:r>
      <w:r>
        <w:rPr>
          <w:rFonts w:hint="eastAsia"/>
          <w:color w:val="auto"/>
          <w:sz w:val="32"/>
          <w:szCs w:val="32"/>
          <w:highlight w:val="none"/>
        </w:rPr>
        <w:t>在数据采集时，采取客观数据主管部门审查、社会中介组织复查与问卷调查相结合的形式，以保证各项指标的真实性。</w:t>
      </w:r>
    </w:p>
    <w:p w14:paraId="27D2EEB0">
      <w:pPr>
        <w:spacing w:line="600" w:lineRule="exact"/>
        <w:ind w:firstLine="640"/>
        <w:rPr>
          <w:rFonts w:ascii="仿宋_GB2312"/>
          <w:color w:val="auto"/>
          <w:sz w:val="32"/>
          <w:szCs w:val="32"/>
          <w:highlight w:val="none"/>
        </w:rPr>
      </w:pPr>
      <w:r>
        <w:rPr>
          <w:rFonts w:hint="eastAsia" w:ascii="仿宋_GB2312"/>
          <w:color w:val="auto"/>
          <w:sz w:val="32"/>
          <w:szCs w:val="32"/>
          <w:highlight w:val="none"/>
        </w:rPr>
        <w:t>（2）保证评价结果的真实性、公正性，提高评价报告的公信力。</w:t>
      </w:r>
    </w:p>
    <w:p w14:paraId="12E378EE">
      <w:pPr>
        <w:spacing w:line="600" w:lineRule="exact"/>
        <w:ind w:firstLine="640"/>
        <w:rPr>
          <w:color w:val="auto"/>
          <w:sz w:val="32"/>
          <w:szCs w:val="32"/>
          <w:highlight w:val="none"/>
        </w:rPr>
      </w:pPr>
      <w:r>
        <w:rPr>
          <w:rFonts w:hint="eastAsia" w:ascii="仿宋_GB2312"/>
          <w:color w:val="auto"/>
          <w:sz w:val="32"/>
          <w:szCs w:val="32"/>
          <w:highlight w:val="none"/>
        </w:rPr>
        <w:t>（3）</w:t>
      </w:r>
      <w:r>
        <w:rPr>
          <w:rFonts w:hint="eastAsia"/>
          <w:color w:val="auto"/>
          <w:sz w:val="32"/>
          <w:szCs w:val="32"/>
          <w:highlight w:val="none"/>
        </w:rPr>
        <w:t>绩效评价报告简明扼要，除对绩效评价的过程、结果描述外，还总结经验、指出问题，并就共性问题提出可操作性改进建议。</w:t>
      </w:r>
    </w:p>
    <w:p w14:paraId="7E79EDF6">
      <w:pPr>
        <w:bidi w:val="0"/>
        <w:rPr>
          <w:rFonts w:hint="eastAsia"/>
          <w:b/>
          <w:bCs/>
          <w:color w:val="auto"/>
          <w:sz w:val="32"/>
          <w:szCs w:val="32"/>
          <w:highlight w:val="none"/>
        </w:rPr>
      </w:pPr>
      <w:bookmarkStart w:id="8" w:name="_Toc419984722"/>
      <w:bookmarkStart w:id="9" w:name="_Toc428278230"/>
      <w:bookmarkStart w:id="10" w:name="_Toc1913"/>
      <w:bookmarkStart w:id="11" w:name="_Toc26131"/>
      <w:r>
        <w:rPr>
          <w:rFonts w:hint="eastAsia"/>
          <w:b/>
          <w:bCs/>
          <w:color w:val="auto"/>
          <w:sz w:val="32"/>
          <w:szCs w:val="32"/>
          <w:highlight w:val="none"/>
        </w:rPr>
        <w:t>2.绩效评价指标体系及绩效评价</w:t>
      </w:r>
      <w:bookmarkEnd w:id="8"/>
      <w:bookmarkEnd w:id="9"/>
      <w:bookmarkEnd w:id="10"/>
      <w:bookmarkEnd w:id="11"/>
      <w:r>
        <w:rPr>
          <w:rFonts w:hint="eastAsia"/>
          <w:b/>
          <w:bCs/>
          <w:color w:val="auto"/>
          <w:sz w:val="32"/>
          <w:szCs w:val="32"/>
          <w:highlight w:val="none"/>
        </w:rPr>
        <w:t>标准</w:t>
      </w:r>
    </w:p>
    <w:p w14:paraId="7296C934">
      <w:pPr>
        <w:spacing w:line="600" w:lineRule="exact"/>
        <w:ind w:firstLine="640"/>
        <w:rPr>
          <w:rFonts w:ascii="仿宋_GB2312"/>
          <w:color w:val="auto"/>
          <w:sz w:val="32"/>
          <w:szCs w:val="32"/>
          <w:highlight w:val="none"/>
        </w:rPr>
      </w:pPr>
      <w:r>
        <w:rPr>
          <w:rFonts w:hint="eastAsia" w:ascii="仿宋_GB2312"/>
          <w:color w:val="auto"/>
          <w:sz w:val="32"/>
          <w:szCs w:val="32"/>
          <w:highlight w:val="none"/>
        </w:rPr>
        <w:t>绩效评价指标体系根据财政部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rPr>
        <w:t>自治区财政厅《自治区财政支出绩效评价管理暂行办法》（新财预〔2018〕189号）</w:t>
      </w:r>
      <w:r>
        <w:rPr>
          <w:rFonts w:hint="eastAsia" w:ascii="仿宋_GB2312"/>
          <w:color w:val="auto"/>
          <w:sz w:val="32"/>
          <w:szCs w:val="32"/>
          <w:highlight w:val="none"/>
        </w:rPr>
        <w:t>等文件要求，结合本项目特点，在与专家组充分协商的基础上，评价工作组细化了该项目的绩效评价指标体系（详见附表1）：</w:t>
      </w:r>
    </w:p>
    <w:p w14:paraId="05900E9B">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一级指标为：决策、过程、产出、</w:t>
      </w:r>
      <w:r>
        <w:rPr>
          <w:rFonts w:hint="eastAsia" w:ascii="仿宋_GB2312"/>
          <w:color w:val="auto"/>
          <w:sz w:val="32"/>
          <w:szCs w:val="32"/>
          <w:highlight w:val="none"/>
          <w:lang w:val="en-US" w:eastAsia="zh-CN"/>
        </w:rPr>
        <w:t>成本、</w:t>
      </w:r>
      <w:r>
        <w:rPr>
          <w:rFonts w:hint="eastAsia" w:ascii="仿宋_GB2312"/>
          <w:color w:val="auto"/>
          <w:sz w:val="32"/>
          <w:szCs w:val="32"/>
          <w:highlight w:val="none"/>
        </w:rPr>
        <w:t>效益。</w:t>
      </w:r>
    </w:p>
    <w:p w14:paraId="77919904">
      <w:pPr>
        <w:spacing w:line="600" w:lineRule="exact"/>
        <w:ind w:firstLine="640"/>
        <w:rPr>
          <w:rFonts w:ascii="仿宋_GB2312"/>
          <w:color w:val="auto"/>
          <w:sz w:val="32"/>
          <w:szCs w:val="32"/>
          <w:highlight w:val="none"/>
        </w:rPr>
      </w:pPr>
      <w:r>
        <w:rPr>
          <w:rFonts w:hint="eastAsia" w:ascii="仿宋_GB2312"/>
          <w:color w:val="auto"/>
          <w:sz w:val="32"/>
          <w:szCs w:val="32"/>
          <w:highlight w:val="none"/>
        </w:rPr>
        <w:t>二级指标为：项目立项、绩效目标、资金投入、资金管理、组织实施、产出数量、产出质量、产出时效、</w:t>
      </w:r>
      <w:r>
        <w:rPr>
          <w:rFonts w:hint="eastAsia" w:ascii="仿宋_GB2312"/>
          <w:color w:val="auto"/>
          <w:sz w:val="32"/>
          <w:szCs w:val="32"/>
          <w:highlight w:val="none"/>
          <w:lang w:val="en-US" w:eastAsia="zh-CN"/>
        </w:rPr>
        <w:t>经济</w:t>
      </w:r>
      <w:r>
        <w:rPr>
          <w:rFonts w:hint="eastAsia" w:ascii="仿宋_GB2312"/>
          <w:color w:val="auto"/>
          <w:sz w:val="32"/>
          <w:szCs w:val="32"/>
          <w:highlight w:val="none"/>
        </w:rPr>
        <w:t>成本、项目效益。</w:t>
      </w:r>
    </w:p>
    <w:p w14:paraId="739379B2">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360F65C7">
      <w:pPr>
        <w:bidi w:val="0"/>
        <w:rPr>
          <w:rFonts w:hint="eastAsia"/>
          <w:b/>
          <w:bCs/>
          <w:color w:val="auto"/>
          <w:sz w:val="32"/>
          <w:szCs w:val="32"/>
          <w:highlight w:val="none"/>
        </w:rPr>
      </w:pPr>
      <w:r>
        <w:rPr>
          <w:rFonts w:hint="eastAsia"/>
          <w:b/>
          <w:bCs/>
          <w:color w:val="auto"/>
          <w:sz w:val="32"/>
          <w:szCs w:val="32"/>
          <w:highlight w:val="none"/>
        </w:rPr>
        <w:t>3.评价方法</w:t>
      </w:r>
    </w:p>
    <w:p w14:paraId="41490EBB">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本次评价采取定量与定性评价相结合的方式，采用比较法、公众评判法对</w:t>
      </w:r>
      <w:r>
        <w:rPr>
          <w:rFonts w:hint="eastAsia"/>
          <w:color w:val="auto"/>
          <w:sz w:val="32"/>
          <w:szCs w:val="32"/>
          <w:highlight w:val="none"/>
        </w:rPr>
        <w:t>项目实施过程以及预期绩效目标完成情况进行全面、系统的评价，</w:t>
      </w:r>
      <w:r>
        <w:rPr>
          <w:rFonts w:hint="eastAsia" w:ascii="仿宋_GB2312" w:hAnsi="仿宋_GB2312" w:cs="仿宋_GB2312"/>
          <w:bCs/>
          <w:color w:val="auto"/>
          <w:sz w:val="32"/>
          <w:szCs w:val="32"/>
          <w:highlight w:val="none"/>
        </w:rPr>
        <w:t>总分由各项指标得分汇总形成。</w:t>
      </w:r>
    </w:p>
    <w:p w14:paraId="2D7E41C2">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0C480B47">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1D66E672">
      <w:pPr>
        <w:bidi w:val="0"/>
        <w:rPr>
          <w:rFonts w:hint="eastAsia"/>
          <w:b/>
          <w:bCs/>
          <w:color w:val="auto"/>
          <w:sz w:val="32"/>
          <w:szCs w:val="32"/>
          <w:highlight w:val="none"/>
        </w:rPr>
      </w:pPr>
      <w:r>
        <w:rPr>
          <w:rFonts w:hint="eastAsia"/>
          <w:b/>
          <w:bCs/>
          <w:color w:val="auto"/>
          <w:sz w:val="32"/>
          <w:szCs w:val="32"/>
          <w:highlight w:val="none"/>
        </w:rPr>
        <w:t>4.评价标准</w:t>
      </w:r>
    </w:p>
    <w:p w14:paraId="7655EA02">
      <w:pPr>
        <w:spacing w:line="600" w:lineRule="exact"/>
        <w:ind w:firstLine="640"/>
        <w:rPr>
          <w:color w:val="auto"/>
          <w:sz w:val="32"/>
          <w:szCs w:val="32"/>
          <w:highlight w:val="none"/>
        </w:rPr>
      </w:pPr>
      <w:r>
        <w:rPr>
          <w:rFonts w:hint="eastAsia" w:ascii="仿宋_GB2312" w:hAnsi="仿宋_GB2312" w:cs="仿宋_GB2312"/>
          <w:bCs/>
          <w:color w:val="auto"/>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B712752">
      <w:pPr>
        <w:pStyle w:val="3"/>
        <w:spacing w:line="600" w:lineRule="exact"/>
        <w:ind w:left="420" w:firstLine="0" w:firstLineChars="0"/>
        <w:rPr>
          <w:color w:val="auto"/>
          <w:szCs w:val="32"/>
          <w:highlight w:val="none"/>
        </w:rPr>
      </w:pPr>
      <w:r>
        <w:rPr>
          <w:rFonts w:hint="eastAsia"/>
          <w:color w:val="auto"/>
          <w:szCs w:val="32"/>
          <w:highlight w:val="none"/>
        </w:rPr>
        <w:t>（三）绩效评价工作过程</w:t>
      </w:r>
    </w:p>
    <w:p w14:paraId="55BDEB24">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第一阶段：前期准备。</w:t>
      </w:r>
    </w:p>
    <w:p w14:paraId="6FEED3F6">
      <w:pPr>
        <w:pStyle w:val="21"/>
        <w:spacing w:line="600" w:lineRule="exact"/>
        <w:ind w:firstLine="640"/>
        <w:rPr>
          <w:rFonts w:hint="eastAsia" w:ascii="仿宋_GB2312" w:hAnsi="仿宋_GB2312" w:cs="仿宋_GB2312"/>
          <w:color w:val="auto"/>
          <w:sz w:val="32"/>
          <w:szCs w:val="32"/>
          <w:highlight w:val="none"/>
        </w:rPr>
      </w:pPr>
      <w:r>
        <w:rPr>
          <w:rFonts w:hint="eastAsia" w:ascii="仿宋_GB2312" w:hAnsi="仿宋" w:cs="仿宋"/>
          <w:color w:val="auto"/>
          <w:sz w:val="32"/>
          <w:szCs w:val="32"/>
          <w:highlight w:val="none"/>
          <w:lang w:bidi="ar"/>
        </w:rPr>
        <w:t>我单位绩效评价人员</w:t>
      </w:r>
      <w:r>
        <w:rPr>
          <w:rFonts w:hint="eastAsia" w:ascii="仿宋_GB2312" w:hAnsi="仿宋" w:cs="仿宋"/>
          <w:color w:val="auto"/>
          <w:spacing w:val="-4"/>
          <w:sz w:val="32"/>
          <w:szCs w:val="32"/>
          <w:highlight w:val="none"/>
        </w:rPr>
        <w:t>根据《项目支出绩效评价管理办法》（财预</w:t>
      </w:r>
      <w:r>
        <w:rPr>
          <w:rFonts w:hint="eastAsia" w:ascii="仿宋_GB2312" w:hAnsi="仿宋" w:cs="仿宋"/>
          <w:color w:val="auto"/>
          <w:sz w:val="32"/>
          <w:szCs w:val="32"/>
          <w:highlight w:val="none"/>
        </w:rPr>
        <w:t>〔2020〕</w:t>
      </w:r>
      <w:r>
        <w:rPr>
          <w:rFonts w:hint="eastAsia" w:ascii="仿宋_GB2312" w:hAnsi="仿宋" w:cs="仿宋"/>
          <w:color w:val="auto"/>
          <w:spacing w:val="-4"/>
          <w:sz w:val="32"/>
          <w:szCs w:val="32"/>
          <w:highlight w:val="none"/>
        </w:rPr>
        <w:t>10号）文件精神</w:t>
      </w:r>
      <w:r>
        <w:rPr>
          <w:rFonts w:hint="eastAsia" w:ascii="仿宋_GB2312" w:hAnsi="仿宋_GB2312" w:cs="仿宋_GB2312"/>
          <w:color w:val="auto"/>
          <w:sz w:val="32"/>
          <w:szCs w:val="32"/>
          <w:highlight w:val="none"/>
        </w:rPr>
        <w:t>认真学习相关要求与规定，成立绩效评价工作组，作为绩效评价工作具体实施机构。成员构成如下：</w:t>
      </w:r>
    </w:p>
    <w:p w14:paraId="7A6834FE">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吕长捷</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14:paraId="192F0612">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陈旭</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14:paraId="1775947E">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孙若馨、马琴、古丽巴克</w:t>
      </w: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任评价组成员，绩效评价工作职责为做好项目支出绩效评价工作的沟通协调工作，对项目实施情况进行实地调查，编写项目支出绩效评价报告。</w:t>
      </w:r>
    </w:p>
    <w:p w14:paraId="176C0FBD">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第二阶段：组织实施。</w:t>
      </w:r>
    </w:p>
    <w:p w14:paraId="6D3846F0">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经评价组通过实地调研、查阅资料等方式，采用综合分析法对项目的决策、管理、绩效进行的综合评价分析。</w:t>
      </w:r>
    </w:p>
    <w:p w14:paraId="4B42A1CA">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第三阶段：分析评价。</w:t>
      </w:r>
    </w:p>
    <w:p w14:paraId="2C127147">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首先按照指标体系进行定量、定性分析。其次开展量化打分、综合评价工作，形成初步评价结论。最后归纳整体项目情况与存在问题，撰写部门绩效评价报告。</w:t>
      </w:r>
    </w:p>
    <w:p w14:paraId="32749089">
      <w:pPr>
        <w:pStyle w:val="21"/>
        <w:spacing w:line="600" w:lineRule="exact"/>
        <w:ind w:firstLine="640"/>
        <w:rPr>
          <w:rFonts w:ascii="仿宋_GB2312" w:hAnsi="仿宋_GB2312" w:cs="仿宋_GB2312"/>
          <w:color w:val="auto"/>
          <w:sz w:val="32"/>
          <w:szCs w:val="32"/>
          <w:highlight w:val="none"/>
        </w:rPr>
      </w:pPr>
      <w:bookmarkStart w:id="12" w:name="_Toc2618"/>
      <w:r>
        <w:rPr>
          <w:rFonts w:hint="eastAsia" w:ascii="仿宋_GB2312" w:hAnsi="仿宋_GB2312" w:cs="仿宋_GB2312"/>
          <w:color w:val="auto"/>
          <w:sz w:val="32"/>
          <w:szCs w:val="32"/>
          <w:highlight w:val="none"/>
        </w:rPr>
        <w:t>第四阶段：撰写与提交评价报告</w:t>
      </w:r>
      <w:bookmarkEnd w:id="12"/>
    </w:p>
    <w:p w14:paraId="681AFD48">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项目撰写绩效评价报告，按照财政局大平台绩效系统中统一格式和文本框架撰写绩效评价报告。</w:t>
      </w:r>
    </w:p>
    <w:p w14:paraId="77002E75">
      <w:pPr>
        <w:pStyle w:val="21"/>
        <w:spacing w:line="600" w:lineRule="exact"/>
        <w:ind w:firstLine="640"/>
        <w:rPr>
          <w:rFonts w:ascii="仿宋_GB2312" w:hAnsi="仿宋_GB2312" w:cs="仿宋_GB2312"/>
          <w:color w:val="auto"/>
          <w:sz w:val="32"/>
          <w:szCs w:val="32"/>
          <w:highlight w:val="none"/>
        </w:rPr>
      </w:pPr>
      <w:bookmarkStart w:id="13" w:name="_Toc5055"/>
      <w:r>
        <w:rPr>
          <w:rFonts w:hint="eastAsia" w:ascii="仿宋_GB2312" w:hAnsi="仿宋_GB2312" w:cs="仿宋_GB2312"/>
          <w:color w:val="auto"/>
          <w:sz w:val="32"/>
          <w:szCs w:val="32"/>
          <w:highlight w:val="none"/>
        </w:rPr>
        <w:t>第五阶段：归集档案</w:t>
      </w:r>
      <w:bookmarkEnd w:id="13"/>
    </w:p>
    <w:p w14:paraId="30EA4697">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建立和落实档案管理制度，将项目相关资料存档，包括但不限于：评价项目基本情况和相关文件、评价实施方案、项目支付资料等相关档案。</w:t>
      </w:r>
    </w:p>
    <w:p w14:paraId="5E5C487B">
      <w:pPr>
        <w:pStyle w:val="2"/>
        <w:numPr>
          <w:ilvl w:val="0"/>
          <w:numId w:val="5"/>
        </w:numPr>
        <w:spacing w:line="600" w:lineRule="exact"/>
        <w:ind w:firstLine="640"/>
        <w:rPr>
          <w:color w:val="auto"/>
          <w:szCs w:val="32"/>
          <w:highlight w:val="none"/>
        </w:rPr>
      </w:pPr>
      <w:r>
        <w:rPr>
          <w:rFonts w:hint="eastAsia"/>
          <w:color w:val="auto"/>
          <w:szCs w:val="32"/>
          <w:highlight w:val="none"/>
        </w:rPr>
        <w:t>综合评价情况及评价结论</w:t>
      </w:r>
    </w:p>
    <w:p w14:paraId="32ECD6A0">
      <w:pPr>
        <w:pStyle w:val="23"/>
        <w:spacing w:before="0" w:after="0" w:line="600" w:lineRule="exact"/>
        <w:ind w:left="560"/>
        <w:rPr>
          <w:rFonts w:ascii="仿宋_GB2312" w:hAnsi="仿宋_GB2312" w:cs="仿宋_GB2312"/>
          <w:color w:val="auto"/>
          <w:sz w:val="32"/>
          <w:highlight w:val="none"/>
        </w:rPr>
      </w:pPr>
      <w:bookmarkStart w:id="14" w:name="_Toc68364665"/>
      <w:r>
        <w:rPr>
          <w:rFonts w:hint="eastAsia" w:ascii="仿宋_GB2312" w:hAnsi="仿宋_GB2312" w:cs="仿宋_GB2312"/>
          <w:color w:val="auto"/>
          <w:sz w:val="32"/>
          <w:highlight w:val="none"/>
        </w:rPr>
        <w:t>（一）综合评价情况</w:t>
      </w:r>
      <w:bookmarkEnd w:id="14"/>
    </w:p>
    <w:p w14:paraId="64650A33">
      <w:pPr>
        <w:spacing w:line="600" w:lineRule="exact"/>
        <w:ind w:firstLine="640"/>
        <w:rPr>
          <w:rFonts w:ascii="仿宋_GB2312"/>
          <w:color w:val="auto"/>
          <w:sz w:val="32"/>
          <w:szCs w:val="32"/>
          <w:highlight w:val="none"/>
        </w:rPr>
      </w:pPr>
      <w:r>
        <w:rPr>
          <w:rFonts w:hint="eastAsia" w:ascii="仿宋_GB2312"/>
          <w:color w:val="auto"/>
          <w:sz w:val="32"/>
          <w:szCs w:val="32"/>
          <w:highlight w:val="none"/>
        </w:rPr>
        <w:t>通过</w:t>
      </w:r>
      <w:r>
        <w:rPr>
          <w:rFonts w:hint="eastAsia" w:ascii="仿宋_GB2312" w:hAnsi="Times New Roman" w:cs="Times New Roman"/>
          <w:color w:val="auto"/>
          <w:sz w:val="32"/>
          <w:szCs w:val="32"/>
          <w:highlight w:val="none"/>
          <w:lang w:val="en-US" w:eastAsia="zh-CN"/>
        </w:rPr>
        <w:t>2023年中央及自治区基本公共卫生服务</w:t>
      </w:r>
      <w:r>
        <w:rPr>
          <w:rFonts w:hint="eastAsia" w:ascii="仿宋_GB2312"/>
          <w:color w:val="auto"/>
          <w:sz w:val="32"/>
          <w:szCs w:val="32"/>
          <w:highlight w:val="none"/>
        </w:rPr>
        <w:t>项目的实施，解决了</w:t>
      </w:r>
      <w:r>
        <w:rPr>
          <w:rFonts w:hint="eastAsia" w:ascii="仿宋_GB2312" w:hAnsi="Times New Roman" w:cs="Times New Roman"/>
          <w:color w:val="auto"/>
          <w:sz w:val="32"/>
          <w:szCs w:val="32"/>
          <w:highlight w:val="none"/>
          <w:lang w:val="en-US" w:eastAsia="zh-CN"/>
        </w:rPr>
        <w:t>辖区群众看病“早发现、早诊断、早治疗、早预防”</w:t>
      </w:r>
      <w:r>
        <w:rPr>
          <w:rFonts w:hint="eastAsia" w:ascii="仿宋_GB2312"/>
          <w:color w:val="auto"/>
          <w:sz w:val="32"/>
          <w:szCs w:val="32"/>
          <w:highlight w:val="none"/>
        </w:rPr>
        <w:t>问题，实现了</w:t>
      </w:r>
      <w:r>
        <w:rPr>
          <w:rFonts w:hint="eastAsia" w:ascii="仿宋_GB2312"/>
          <w:color w:val="auto"/>
          <w:sz w:val="32"/>
          <w:szCs w:val="32"/>
          <w:highlight w:val="none"/>
          <w:lang w:eastAsia="zh-CN"/>
        </w:rPr>
        <w:t>有效</w:t>
      </w:r>
      <w:r>
        <w:rPr>
          <w:rFonts w:hint="eastAsia" w:ascii="仿宋_GB2312"/>
          <w:color w:val="auto"/>
          <w:sz w:val="32"/>
          <w:szCs w:val="32"/>
          <w:highlight w:val="none"/>
        </w:rPr>
        <w:t>提升城乡居民基本公共卫生服务均等化水平</w:t>
      </w:r>
      <w:r>
        <w:rPr>
          <w:rFonts w:hint="eastAsia" w:ascii="仿宋_GB2312"/>
          <w:color w:val="auto"/>
          <w:sz w:val="32"/>
          <w:szCs w:val="32"/>
          <w:highlight w:val="none"/>
          <w:lang w:eastAsia="zh-CN"/>
        </w:rPr>
        <w:t>社会</w:t>
      </w:r>
      <w:r>
        <w:rPr>
          <w:rFonts w:hint="eastAsia" w:ascii="仿宋_GB2312"/>
          <w:color w:val="auto"/>
          <w:sz w:val="32"/>
          <w:szCs w:val="32"/>
          <w:highlight w:val="none"/>
        </w:rPr>
        <w:t>效益，该项目预算执行率达</w:t>
      </w:r>
      <w:r>
        <w:rPr>
          <w:rFonts w:hint="eastAsia" w:ascii="仿宋_GB2312"/>
          <w:color w:val="auto"/>
          <w:sz w:val="32"/>
          <w:szCs w:val="32"/>
          <w:highlight w:val="none"/>
          <w:lang w:val="en-US" w:eastAsia="zh-CN"/>
        </w:rPr>
        <w:t>100</w:t>
      </w:r>
      <w:r>
        <w:rPr>
          <w:rFonts w:ascii="仿宋_GB2312"/>
          <w:color w:val="auto"/>
          <w:sz w:val="32"/>
          <w:szCs w:val="32"/>
          <w:highlight w:val="none"/>
        </w:rPr>
        <w:t>%</w:t>
      </w:r>
      <w:r>
        <w:rPr>
          <w:rFonts w:hint="eastAsia" w:ascii="仿宋_GB2312"/>
          <w:color w:val="auto"/>
          <w:sz w:val="32"/>
          <w:szCs w:val="32"/>
          <w:highlight w:val="none"/>
        </w:rPr>
        <w:t>，项目预期绩效目标及各项具体指标均已全部达成。</w:t>
      </w:r>
    </w:p>
    <w:p w14:paraId="787EA81F">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（二）综合评价结论</w:t>
      </w:r>
    </w:p>
    <w:p w14:paraId="7119051F">
      <w:pPr>
        <w:spacing w:line="600" w:lineRule="exact"/>
        <w:ind w:firstLine="640"/>
        <w:rPr>
          <w:rFonts w:ascii="仿宋_GB2312"/>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w:t>
      </w:r>
      <w:r>
        <w:rPr>
          <w:rFonts w:hint="eastAsia" w:ascii="仿宋_GB2312"/>
          <w:color w:val="auto"/>
          <w:sz w:val="32"/>
          <w:szCs w:val="32"/>
          <w:highlight w:val="none"/>
        </w:rPr>
        <w:t>对</w:t>
      </w:r>
      <w:r>
        <w:rPr>
          <w:rFonts w:hint="eastAsia" w:ascii="仿宋_GB2312" w:hAnsi="Times New Roman" w:cs="Times New Roman"/>
          <w:color w:val="auto"/>
          <w:sz w:val="32"/>
          <w:szCs w:val="32"/>
          <w:highlight w:val="none"/>
          <w:lang w:val="en-US" w:eastAsia="zh-CN"/>
        </w:rPr>
        <w:t>2023年中央及自治区基本公共卫生服务</w:t>
      </w:r>
      <w:r>
        <w:rPr>
          <w:rFonts w:hint="eastAsia" w:ascii="仿宋_GB2312"/>
          <w:color w:val="auto"/>
          <w:sz w:val="32"/>
          <w:szCs w:val="32"/>
          <w:highlight w:val="none"/>
        </w:rPr>
        <w:t>项目的绩效目标和各项具体绩效指标实现情况进行了客观评价，最终评分为</w:t>
      </w:r>
      <w:r>
        <w:rPr>
          <w:rFonts w:hint="eastAsia" w:ascii="仿宋_GB2312"/>
          <w:color w:val="auto"/>
          <w:sz w:val="32"/>
          <w:szCs w:val="32"/>
          <w:highlight w:val="none"/>
          <w:lang w:val="en-US" w:eastAsia="zh-CN"/>
        </w:rPr>
        <w:t>99.83</w:t>
      </w:r>
      <w:r>
        <w:rPr>
          <w:rFonts w:hint="eastAsia" w:ascii="仿宋_GB2312"/>
          <w:color w:val="auto"/>
          <w:sz w:val="32"/>
          <w:szCs w:val="32"/>
          <w:highlight w:val="none"/>
        </w:rPr>
        <w:t>分。</w:t>
      </w:r>
      <w:r>
        <w:rPr>
          <w:rFonts w:hint="eastAsia"/>
          <w:color w:val="auto"/>
          <w:sz w:val="30"/>
          <w:szCs w:val="30"/>
          <w:highlight w:val="none"/>
        </w:rPr>
        <w:t>绩效评级为</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CN"/>
        </w:rPr>
        <w:t>优</w:t>
      </w:r>
      <w:r>
        <w:rPr>
          <w:rFonts w:hint="eastAsia" w:ascii="仿宋_GB2312" w:cs="仿宋_GB2312"/>
          <w:color w:val="auto"/>
          <w:sz w:val="32"/>
          <w:szCs w:val="32"/>
          <w:highlight w:val="none"/>
        </w:rPr>
        <w:t>”，具体得分情况为：项目决策</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分、项目过程</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分、项目产出</w:t>
      </w:r>
      <w:r>
        <w:rPr>
          <w:rFonts w:hint="eastAsia" w:ascii="仿宋_GB2312"/>
          <w:color w:val="auto"/>
          <w:sz w:val="32"/>
          <w:szCs w:val="32"/>
          <w:highlight w:val="none"/>
          <w:lang w:val="en-US" w:eastAsia="zh-CN"/>
        </w:rPr>
        <w:t>39.83</w:t>
      </w:r>
      <w:r>
        <w:rPr>
          <w:rFonts w:hint="eastAsia" w:ascii="仿宋_GB2312" w:cs="仿宋_GB2312"/>
          <w:color w:val="auto"/>
          <w:sz w:val="32"/>
          <w:szCs w:val="32"/>
          <w:highlight w:val="none"/>
        </w:rPr>
        <w:t>分、项目效益</w:t>
      </w:r>
      <w:r>
        <w:rPr>
          <w:rFonts w:hint="eastAsia" w:ascii="仿宋_GB2312"/>
          <w:color w:val="auto"/>
          <w:sz w:val="32"/>
          <w:szCs w:val="32"/>
          <w:highlight w:val="none"/>
          <w:lang w:val="en-US" w:eastAsia="zh-CN"/>
        </w:rPr>
        <w:t>20</w:t>
      </w:r>
      <w:r>
        <w:rPr>
          <w:rFonts w:hint="eastAsia" w:ascii="仿宋_GB2312" w:cs="仿宋_GB2312"/>
          <w:color w:val="auto"/>
          <w:sz w:val="32"/>
          <w:szCs w:val="32"/>
          <w:highlight w:val="none"/>
        </w:rPr>
        <w:t>分</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lang w:val="en-US" w:eastAsia="zh-CN"/>
        </w:rPr>
        <w:t>项目满意度10分</w:t>
      </w:r>
      <w:r>
        <w:rPr>
          <w:rFonts w:hint="eastAsia" w:ascii="仿宋_GB2312" w:cs="仿宋_GB2312"/>
          <w:color w:val="auto"/>
          <w:sz w:val="32"/>
          <w:szCs w:val="32"/>
          <w:highlight w:val="none"/>
        </w:rPr>
        <w:t>。</w:t>
      </w:r>
    </w:p>
    <w:p w14:paraId="393E9970">
      <w:pPr>
        <w:pStyle w:val="2"/>
        <w:spacing w:line="600" w:lineRule="exact"/>
        <w:ind w:firstLine="640"/>
        <w:rPr>
          <w:color w:val="auto"/>
          <w:szCs w:val="32"/>
          <w:highlight w:val="none"/>
        </w:rPr>
      </w:pPr>
      <w:r>
        <w:rPr>
          <w:rFonts w:hint="eastAsia"/>
          <w:color w:val="auto"/>
          <w:szCs w:val="32"/>
          <w:highlight w:val="none"/>
        </w:rPr>
        <w:t>四、绩效评价指标分析</w:t>
      </w:r>
    </w:p>
    <w:p w14:paraId="45E07D0B">
      <w:pPr>
        <w:pStyle w:val="3"/>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（一）项目决策情况</w:t>
      </w:r>
    </w:p>
    <w:p w14:paraId="10F654ED">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rPr>
        <w:t>项目决策类指标</w:t>
      </w:r>
      <w:r>
        <w:rPr>
          <w:rFonts w:hint="eastAsia" w:ascii="仿宋_GB2312" w:hAnsi="仿宋_GB2312" w:cs="仿宋_GB2312"/>
          <w:color w:val="auto"/>
          <w:sz w:val="32"/>
          <w:szCs w:val="32"/>
          <w:highlight w:val="none"/>
          <w:lang w:eastAsia="zh-Hans"/>
        </w:rPr>
        <w:t>从</w:t>
      </w:r>
      <w:r>
        <w:rPr>
          <w:rFonts w:hint="eastAsia" w:ascii="仿宋_GB2312" w:hAnsi="仿宋_GB2312" w:cs="仿宋_GB2312"/>
          <w:color w:val="auto"/>
          <w:sz w:val="32"/>
          <w:szCs w:val="32"/>
          <w:highlight w:val="none"/>
        </w:rPr>
        <w:t>项目立项、绩效目标和资金投入</w:t>
      </w:r>
      <w:r>
        <w:rPr>
          <w:rFonts w:hint="eastAsia" w:ascii="仿宋_GB2312" w:hAnsi="仿宋_GB2312" w:cs="仿宋_GB2312"/>
          <w:color w:val="auto"/>
          <w:sz w:val="32"/>
          <w:szCs w:val="32"/>
          <w:highlight w:val="none"/>
          <w:lang w:eastAsia="zh-Hans"/>
        </w:rPr>
        <w:t>三个</w:t>
      </w:r>
      <w:r>
        <w:rPr>
          <w:rFonts w:hint="eastAsia" w:ascii="仿宋_GB2312" w:hAnsi="仿宋_GB2312" w:cs="仿宋_GB2312"/>
          <w:color w:val="auto"/>
          <w:sz w:val="32"/>
          <w:szCs w:val="32"/>
          <w:highlight w:val="none"/>
        </w:rPr>
        <w:t>方面</w:t>
      </w:r>
      <w:r>
        <w:rPr>
          <w:rFonts w:hint="eastAsia" w:ascii="仿宋_GB2312" w:hAnsi="仿宋_GB2312" w:cs="仿宋_GB2312"/>
          <w:color w:val="auto"/>
          <w:sz w:val="32"/>
          <w:szCs w:val="32"/>
          <w:highlight w:val="none"/>
          <w:lang w:eastAsia="zh-Hans"/>
        </w:rPr>
        <w:t>评价项目前期准备工作</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2CC9D779">
      <w:pPr>
        <w:pStyle w:val="24"/>
        <w:spacing w:line="600" w:lineRule="exact"/>
        <w:ind w:firstLine="736"/>
        <w:rPr>
          <w:rFonts w:cs="仿宋_GB2312"/>
          <w:color w:val="auto"/>
          <w:highlight w:val="none"/>
        </w:rPr>
      </w:pPr>
      <w:r>
        <w:rPr>
          <w:rFonts w:hint="eastAsia" w:cs="仿宋_GB2312"/>
          <w:b/>
          <w:bCs/>
          <w:color w:val="auto"/>
          <w:highlight w:val="none"/>
        </w:rPr>
        <w:t>1.立项依据充分性：</w:t>
      </w:r>
      <w:r>
        <w:rPr>
          <w:rFonts w:hint="eastAsia" w:cs="仿宋_GB2312"/>
          <w:color w:val="auto"/>
          <w:highlight w:val="none"/>
          <w:lang w:eastAsia="zh-Hans"/>
        </w:rPr>
        <w:t>本项目是由</w:t>
      </w:r>
      <w:r>
        <w:rPr>
          <w:rFonts w:hint="eastAsia" w:cs="仿宋_GB2312"/>
          <w:color w:val="auto"/>
          <w:highlight w:val="none"/>
          <w:lang w:eastAsia="zh-CN"/>
        </w:rPr>
        <w:t>沙湾市金沟河镇卫生院</w:t>
      </w:r>
      <w:r>
        <w:rPr>
          <w:rFonts w:hint="eastAsia" w:cs="仿宋_GB2312"/>
          <w:color w:val="auto"/>
          <w:highlight w:val="none"/>
          <w:lang w:eastAsia="zh-Hans"/>
        </w:rPr>
        <w:t>提出申报</w:t>
      </w:r>
      <w:r>
        <w:rPr>
          <w:rFonts w:cs="仿宋_GB2312"/>
          <w:color w:val="auto"/>
          <w:highlight w:val="none"/>
          <w:lang w:eastAsia="zh-Hans"/>
        </w:rPr>
        <w:t>，202</w:t>
      </w:r>
      <w:r>
        <w:rPr>
          <w:rFonts w:hint="eastAsia" w:cs="仿宋_GB2312"/>
          <w:color w:val="auto"/>
          <w:highlight w:val="none"/>
          <w:lang w:val="en-US" w:eastAsia="zh-CN"/>
        </w:rPr>
        <w:t>3</w:t>
      </w:r>
      <w:r>
        <w:rPr>
          <w:rFonts w:hint="eastAsia" w:cs="仿宋_GB2312"/>
          <w:color w:val="auto"/>
          <w:highlight w:val="none"/>
          <w:lang w:eastAsia="zh-Hans"/>
        </w:rPr>
        <w:t>年我单位根据</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关于</w:t>
      </w:r>
      <w:r>
        <w:rPr>
          <w:rFonts w:hint="eastAsia" w:ascii="仿宋_GB2312" w:hAnsi="仿宋_GB2312" w:cs="仿宋_GB2312"/>
          <w:color w:val="auto"/>
          <w:sz w:val="32"/>
          <w:szCs w:val="32"/>
          <w:highlight w:val="none"/>
          <w:lang w:eastAsia="zh-Hans"/>
        </w:rPr>
        <w:t>提前下达2023年中央财政基本公共卫生服务补助资金</w:t>
      </w:r>
      <w:r>
        <w:rPr>
          <w:rFonts w:hint="eastAsia" w:ascii="仿宋_GB2312" w:hAnsi="仿宋_GB2312" w:cs="仿宋_GB2312"/>
          <w:color w:val="auto"/>
          <w:sz w:val="32"/>
          <w:szCs w:val="32"/>
          <w:highlight w:val="none"/>
          <w:lang w:eastAsia="zh-CN"/>
        </w:rPr>
        <w:t>预算</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91</w:t>
      </w:r>
      <w:r>
        <w:rPr>
          <w:rFonts w:hint="eastAsia" w:ascii="仿宋_GB2312" w:hAnsi="仿宋_GB2312" w:cs="仿宋_GB2312"/>
          <w:color w:val="auto"/>
          <w:sz w:val="32"/>
          <w:szCs w:val="32"/>
          <w:highlight w:val="none"/>
        </w:rPr>
        <w:t>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eastAsia="zh-CN"/>
        </w:rPr>
        <w:t>关于拨付</w:t>
      </w:r>
      <w:r>
        <w:rPr>
          <w:rFonts w:hint="eastAsia" w:ascii="仿宋_GB2312" w:hAnsi="仿宋_GB2312" w:cs="仿宋_GB2312"/>
          <w:color w:val="auto"/>
          <w:sz w:val="32"/>
          <w:szCs w:val="32"/>
          <w:highlight w:val="none"/>
          <w:lang w:eastAsia="zh-Hans"/>
        </w:rPr>
        <w:t>2023年中央基本公共卫生服务补助资金</w:t>
      </w:r>
      <w:r>
        <w:rPr>
          <w:rFonts w:hint="eastAsia" w:ascii="仿宋_GB2312" w:hAnsi="仿宋_GB2312" w:cs="仿宋_GB2312"/>
          <w:color w:val="auto"/>
          <w:sz w:val="32"/>
          <w:szCs w:val="32"/>
          <w:highlight w:val="none"/>
          <w:lang w:eastAsia="zh-CN"/>
        </w:rPr>
        <w:t>（第二批）</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25</w:t>
      </w:r>
      <w:r>
        <w:rPr>
          <w:rFonts w:hint="eastAsia" w:ascii="仿宋_GB2312" w:hAnsi="仿宋_GB2312" w:cs="仿宋_GB2312"/>
          <w:color w:val="auto"/>
          <w:sz w:val="32"/>
          <w:szCs w:val="32"/>
          <w:highlight w:val="none"/>
        </w:rPr>
        <w:t>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eastAsia="zh-CN"/>
        </w:rPr>
        <w:t>关于</w:t>
      </w:r>
      <w:r>
        <w:rPr>
          <w:rFonts w:hint="eastAsia" w:ascii="仿宋_GB2312" w:hAnsi="仿宋_GB2312" w:cs="仿宋_GB2312"/>
          <w:color w:val="auto"/>
          <w:sz w:val="32"/>
          <w:szCs w:val="32"/>
          <w:highlight w:val="none"/>
          <w:lang w:eastAsia="zh-Hans"/>
        </w:rPr>
        <w:t>提前下达2023年</w:t>
      </w:r>
      <w:r>
        <w:rPr>
          <w:rFonts w:hint="eastAsia" w:ascii="仿宋_GB2312" w:hAnsi="仿宋_GB2312" w:cs="仿宋_GB2312"/>
          <w:color w:val="auto"/>
          <w:sz w:val="32"/>
          <w:szCs w:val="32"/>
          <w:highlight w:val="none"/>
          <w:lang w:eastAsia="zh-CN"/>
        </w:rPr>
        <w:t>自治区</w:t>
      </w:r>
      <w:r>
        <w:rPr>
          <w:rFonts w:hint="eastAsia" w:ascii="仿宋_GB2312" w:hAnsi="仿宋_GB2312" w:cs="仿宋_GB2312"/>
          <w:color w:val="auto"/>
          <w:sz w:val="32"/>
          <w:szCs w:val="32"/>
          <w:highlight w:val="none"/>
          <w:lang w:eastAsia="zh-Hans"/>
        </w:rPr>
        <w:t>基本公共卫生服务补助资金</w:t>
      </w:r>
      <w:r>
        <w:rPr>
          <w:rFonts w:hint="eastAsia" w:ascii="仿宋_GB2312" w:hAnsi="仿宋_GB2312" w:cs="仿宋_GB2312"/>
          <w:color w:val="auto"/>
          <w:sz w:val="32"/>
          <w:szCs w:val="32"/>
          <w:highlight w:val="none"/>
          <w:lang w:eastAsia="zh-CN"/>
        </w:rPr>
        <w:t>预算</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103</w:t>
      </w:r>
      <w:r>
        <w:rPr>
          <w:rFonts w:hint="eastAsia" w:ascii="仿宋_GB2312" w:hAnsi="仿宋_GB2312" w:cs="仿宋_GB2312"/>
          <w:color w:val="auto"/>
          <w:sz w:val="32"/>
          <w:szCs w:val="32"/>
          <w:highlight w:val="none"/>
        </w:rPr>
        <w:t>号）</w:t>
      </w:r>
      <w:r>
        <w:rPr>
          <w:rFonts w:hint="eastAsia" w:cs="仿宋_GB2312"/>
          <w:color w:val="auto"/>
          <w:highlight w:val="none"/>
          <w:lang w:eastAsia="zh-Hans"/>
        </w:rPr>
        <w:t>文件要求</w:t>
      </w:r>
      <w:r>
        <w:rPr>
          <w:rFonts w:hint="eastAsia" w:cs="仿宋_GB2312"/>
          <w:color w:val="auto"/>
          <w:highlight w:val="none"/>
        </w:rPr>
        <w:t>组织实施</w:t>
      </w:r>
      <w:r>
        <w:rPr>
          <w:rFonts w:hint="eastAsia" w:cs="仿宋_GB2312"/>
          <w:color w:val="auto"/>
          <w:highlight w:val="none"/>
          <w:lang w:eastAsia="zh-Hans"/>
        </w:rPr>
        <w:t>该项目</w:t>
      </w:r>
      <w:r>
        <w:rPr>
          <w:rFonts w:hint="eastAsia" w:cs="仿宋_GB2312"/>
          <w:color w:val="auto"/>
          <w:highlight w:val="none"/>
        </w:rPr>
        <w:t>。</w:t>
      </w:r>
      <w:r>
        <w:rPr>
          <w:rFonts w:hint="eastAsia" w:hAnsi="仿宋_GB2312" w:cs="仿宋_GB2312"/>
          <w:color w:val="auto"/>
          <w:spacing w:val="0"/>
          <w:highlight w:val="none"/>
          <w:lang w:eastAsia="zh-Hans"/>
        </w:rPr>
        <w:t>项目立项符合国家法律法规、自治区和地区行业发展规划和政策要求，属于本部门履职所需。</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65CE9386">
      <w:pPr>
        <w:pStyle w:val="24"/>
        <w:spacing w:line="600" w:lineRule="exact"/>
        <w:ind w:firstLine="736"/>
        <w:rPr>
          <w:rFonts w:cs="仿宋_GB2312"/>
          <w:color w:val="auto"/>
          <w:highlight w:val="none"/>
        </w:rPr>
      </w:pPr>
      <w:r>
        <w:rPr>
          <w:rFonts w:hint="eastAsia" w:cs="仿宋_GB2312"/>
          <w:b/>
          <w:bCs/>
          <w:color w:val="auto"/>
          <w:highlight w:val="none"/>
        </w:rPr>
        <w:t>2.立项程序规范性：</w:t>
      </w:r>
      <w:r>
        <w:rPr>
          <w:rFonts w:hint="eastAsia" w:cs="仿宋_GB2312"/>
          <w:color w:val="auto"/>
          <w:highlight w:val="none"/>
        </w:rPr>
        <w:t>根据决策依据编制工作计划和经费预算，经过与部门市政府分管领导进行沟通、筛选确定经费预算计划，上党委会研究确定最终预算方案</w:t>
      </w:r>
      <w:r>
        <w:rPr>
          <w:rFonts w:cs="仿宋_GB2312"/>
          <w:color w:val="auto"/>
          <w:highlight w:val="none"/>
        </w:rPr>
        <w:t>。</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7D958AAC">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3.绩效目标合理性</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制定了</w:t>
      </w:r>
      <w:r>
        <w:rPr>
          <w:rFonts w:hint="eastAsia" w:ascii="仿宋_GB2312" w:cs="仿宋_GB2312"/>
          <w:color w:val="auto"/>
          <w:sz w:val="32"/>
          <w:szCs w:val="32"/>
          <w:highlight w:val="none"/>
          <w:lang w:eastAsia="zh-Hans"/>
        </w:rPr>
        <w:t>项目支出绩效目标</w:t>
      </w:r>
      <w:r>
        <w:rPr>
          <w:rFonts w:hint="eastAsia" w:ascii="仿宋_GB2312" w:cs="仿宋_GB2312"/>
          <w:color w:val="auto"/>
          <w:sz w:val="32"/>
          <w:szCs w:val="32"/>
          <w:highlight w:val="none"/>
        </w:rPr>
        <w:t>，明确了</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总体思路及</w:t>
      </w:r>
      <w:r>
        <w:rPr>
          <w:rFonts w:hint="eastAsia" w:ascii="仿宋_GB2312" w:cs="仿宋_GB2312"/>
          <w:color w:val="auto"/>
          <w:sz w:val="32"/>
          <w:szCs w:val="32"/>
          <w:highlight w:val="none"/>
          <w:lang w:eastAsia="zh-Hans"/>
        </w:rPr>
        <w:t>总</w:t>
      </w:r>
      <w:r>
        <w:rPr>
          <w:rFonts w:hint="eastAsia" w:ascii="仿宋_GB2312" w:cs="仿宋_GB2312"/>
          <w:color w:val="auto"/>
          <w:sz w:val="32"/>
          <w:szCs w:val="32"/>
          <w:highlight w:val="none"/>
        </w:rPr>
        <w:t>目标、并对</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任务进行了详细分解，对目标进行了细化</w:t>
      </w:r>
      <w:r>
        <w:rPr>
          <w:rFonts w:ascii="仿宋_GB2312" w:cs="仿宋_GB2312"/>
          <w:color w:val="auto"/>
          <w:sz w:val="32"/>
          <w:szCs w:val="32"/>
          <w:highlight w:val="none"/>
        </w:rPr>
        <w:t>。</w:t>
      </w:r>
      <w:r>
        <w:rPr>
          <w:rFonts w:hint="eastAsia" w:ascii="仿宋_GB2312" w:cs="仿宋_GB2312"/>
          <w:color w:val="auto"/>
          <w:sz w:val="32"/>
          <w:szCs w:val="32"/>
          <w:highlight w:val="none"/>
        </w:rPr>
        <w:t>根据评分标准，该指标</w:t>
      </w:r>
      <w:r>
        <w:rPr>
          <w:rFonts w:ascii="仿宋_GB2312" w:cs="仿宋_GB2312"/>
          <w:color w:val="auto"/>
          <w:sz w:val="32"/>
          <w:szCs w:val="32"/>
          <w:highlight w:val="none"/>
        </w:rPr>
        <w:t>3</w:t>
      </w:r>
      <w:r>
        <w:rPr>
          <w:rFonts w:hint="eastAsia" w:ascii="仿宋_GB2312" w:cs="仿宋_GB2312"/>
          <w:color w:val="auto"/>
          <w:sz w:val="32"/>
          <w:szCs w:val="32"/>
          <w:highlight w:val="none"/>
        </w:rPr>
        <w:t>分，得3分。</w:t>
      </w:r>
    </w:p>
    <w:p w14:paraId="3000B7DD">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4.绩效指标明确性：</w:t>
      </w:r>
      <w:r>
        <w:rPr>
          <w:rFonts w:hint="eastAsia" w:ascii="仿宋_GB2312" w:cs="仿宋_GB2312"/>
          <w:color w:val="auto"/>
          <w:sz w:val="32"/>
          <w:szCs w:val="32"/>
          <w:highlight w:val="none"/>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highlight w:val="none"/>
        </w:rPr>
        <w:t>2</w:t>
      </w:r>
      <w:r>
        <w:rPr>
          <w:rFonts w:hint="eastAsia" w:ascii="仿宋_GB2312" w:cs="仿宋_GB2312"/>
          <w:color w:val="auto"/>
          <w:sz w:val="32"/>
          <w:szCs w:val="32"/>
          <w:highlight w:val="none"/>
        </w:rPr>
        <w:t>分，得2分。</w:t>
      </w:r>
    </w:p>
    <w:p w14:paraId="70C71F25">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5.预算编制科学性：</w:t>
      </w:r>
      <w:r>
        <w:rPr>
          <w:rFonts w:hint="eastAsia" w:ascii="仿宋_GB2312" w:cs="仿宋_GB2312"/>
          <w:color w:val="auto"/>
          <w:sz w:val="32"/>
          <w:szCs w:val="32"/>
          <w:highlight w:val="none"/>
        </w:rPr>
        <w:t xml:space="preserve"> 预算编制经过科学论证，内容与项目内容匹配，项目投资额与工作任务相匹配，根据评分标准，该指标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4EB98E2F">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6.资金分配合理性：</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资金分配依据充分，资金分配额度合理，与项目地方实际相适应。根据评分标准，该指标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14:paraId="43E4071E">
      <w:pPr>
        <w:pStyle w:val="3"/>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（二）项目过程情况</w:t>
      </w:r>
    </w:p>
    <w:p w14:paraId="2507E323">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项目过程类指标包括资金管理和组织实施两方面的内容，由 5个三级指标构成，</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67B7DF67">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1.资金到位率：</w:t>
      </w:r>
      <w:r>
        <w:rPr>
          <w:rFonts w:hint="eastAsia" w:ascii="仿宋_GB2312" w:cs="仿宋_GB2312"/>
          <w:color w:val="auto"/>
          <w:sz w:val="32"/>
          <w:szCs w:val="32"/>
          <w:highlight w:val="none"/>
        </w:rPr>
        <w:t>该项目所需财政资金能够足额拨付到位，牵头单位能够及时足额按照合同约定将专项资金拨付给单位，根据评分标准，该指标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 xml:space="preserve">分。   </w:t>
      </w:r>
    </w:p>
    <w:p w14:paraId="1A622EC2">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2.预算执行率：</w:t>
      </w:r>
      <w:r>
        <w:rPr>
          <w:rFonts w:hint="eastAsia" w:ascii="仿宋_GB2312" w:cs="仿宋_GB2312"/>
          <w:b/>
          <w:bCs/>
          <w:color w:val="auto"/>
          <w:sz w:val="32"/>
          <w:szCs w:val="32"/>
          <w:highlight w:val="none"/>
          <w:lang w:eastAsia="zh-Hans"/>
        </w:rPr>
        <w:t>本项目</w:t>
      </w:r>
      <w:r>
        <w:rPr>
          <w:rFonts w:hint="eastAsia" w:ascii="仿宋_GB2312" w:cs="仿宋_GB2312"/>
          <w:color w:val="auto"/>
          <w:sz w:val="32"/>
          <w:szCs w:val="32"/>
          <w:highlight w:val="none"/>
        </w:rPr>
        <w:t>预算编制较为详细，</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94.15</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94.15</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100</w:t>
      </w:r>
      <w:r>
        <w:rPr>
          <w:rFonts w:ascii="仿宋_GB2312" w:cs="仿宋_GB2312"/>
          <w:color w:val="auto"/>
          <w:sz w:val="32"/>
          <w:szCs w:val="32"/>
          <w:highlight w:val="none"/>
          <w:lang w:eastAsia="zh-Hans"/>
        </w:rPr>
        <w:t>%</w:t>
      </w:r>
      <w:r>
        <w:rPr>
          <w:rFonts w:hint="eastAsia" w:ascii="仿宋_GB2312" w:hAnsi="Times New Roman" w:cs="Times New Roman"/>
          <w:color w:val="auto"/>
          <w:kern w:val="2"/>
          <w:sz w:val="32"/>
          <w:szCs w:val="32"/>
          <w:highlight w:val="none"/>
          <w:lang w:val="en-US" w:eastAsia="zh-CN" w:bidi="ar-SA"/>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14:paraId="00DAA713">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3.资金使用合规性：</w:t>
      </w:r>
      <w:r>
        <w:rPr>
          <w:rFonts w:hint="eastAsia" w:ascii="仿宋_GB2312" w:cs="仿宋_GB2312"/>
          <w:color w:val="auto"/>
          <w:sz w:val="32"/>
          <w:szCs w:val="32"/>
          <w:highlight w:val="none"/>
          <w:lang w:eastAsia="zh-Hans"/>
        </w:rPr>
        <w:t>项目</w:t>
      </w:r>
      <w:r>
        <w:rPr>
          <w:rFonts w:hint="eastAsia" w:ascii="仿宋_GB2312" w:hAnsi="Times New Roman" w:cs="仿宋_GB2312"/>
          <w:color w:val="auto"/>
          <w:sz w:val="32"/>
          <w:szCs w:val="32"/>
          <w:highlight w:val="none"/>
          <w:lang w:eastAsia="zh-Hans"/>
        </w:rPr>
        <w:t>任务下达后，我单位</w:t>
      </w:r>
      <w:r>
        <w:rPr>
          <w:rFonts w:hint="eastAsia" w:ascii="仿宋_GB2312" w:hAnsi="Times New Roman" w:cs="仿宋_GB2312"/>
          <w:color w:val="auto"/>
          <w:sz w:val="32"/>
          <w:szCs w:val="32"/>
          <w:highlight w:val="none"/>
        </w:rPr>
        <w:t>制定了《沙湾市</w:t>
      </w:r>
      <w:r>
        <w:rPr>
          <w:rFonts w:hint="eastAsia" w:ascii="仿宋_GB2312" w:cs="仿宋_GB2312"/>
          <w:color w:val="auto"/>
          <w:sz w:val="32"/>
          <w:szCs w:val="32"/>
          <w:highlight w:val="none"/>
          <w:lang w:eastAsia="zh-CN"/>
        </w:rPr>
        <w:t>金沟河镇</w:t>
      </w:r>
      <w:r>
        <w:rPr>
          <w:rFonts w:hint="eastAsia" w:ascii="仿宋_GB2312" w:hAnsi="Times New Roman" w:cs="仿宋_GB2312"/>
          <w:color w:val="auto"/>
          <w:sz w:val="32"/>
          <w:szCs w:val="32"/>
          <w:highlight w:val="none"/>
        </w:rPr>
        <w:t>卫生院2023年中央转移支付卫生院能力建设项目实施方案》制度</w:t>
      </w:r>
      <w:r>
        <w:rPr>
          <w:rFonts w:hint="eastAsia" w:ascii="仿宋_GB2312" w:cs="仿宋_GB2312"/>
          <w:color w:val="auto"/>
          <w:sz w:val="32"/>
          <w:szCs w:val="32"/>
          <w:highlight w:val="none"/>
        </w:rPr>
        <w:t>和管理规定对经费使用进行规范管理，财务制度健全、执行严格</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2D6144D3">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4.管理制度健全性：</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eastAsia="zh-CN"/>
        </w:rPr>
        <w:t>基本公共卫生项目实施方案</w:t>
      </w:r>
      <w:r>
        <w:rPr>
          <w:rFonts w:ascii="仿宋_GB2312" w:cs="仿宋_GB2312"/>
          <w:color w:val="auto"/>
          <w:sz w:val="32"/>
          <w:szCs w:val="32"/>
          <w:highlight w:val="none"/>
        </w:rPr>
        <w:t>》</w:t>
      </w:r>
      <w:r>
        <w:rPr>
          <w:rFonts w:hint="eastAsia" w:ascii="仿宋_GB2312" w:cs="仿宋_GB2312"/>
          <w:color w:val="auto"/>
          <w:sz w:val="32"/>
          <w:szCs w:val="32"/>
          <w:highlight w:val="none"/>
          <w:lang w:eastAsia="zh-Hans"/>
        </w:rPr>
        <w:t>等</w:t>
      </w:r>
      <w:r>
        <w:rPr>
          <w:rFonts w:ascii="仿宋_GB2312" w:cs="仿宋_GB2312"/>
          <w:color w:val="auto"/>
          <w:sz w:val="32"/>
          <w:szCs w:val="32"/>
          <w:highlight w:val="none"/>
        </w:rPr>
        <w:t>相关</w:t>
      </w:r>
      <w:r>
        <w:rPr>
          <w:rFonts w:hint="eastAsia" w:ascii="仿宋_GB2312" w:cs="仿宋_GB2312"/>
          <w:color w:val="auto"/>
          <w:sz w:val="32"/>
          <w:szCs w:val="32"/>
          <w:highlight w:val="none"/>
          <w:lang w:eastAsia="zh-Hans"/>
        </w:rPr>
        <w:t>项目</w:t>
      </w:r>
      <w:r>
        <w:rPr>
          <w:rFonts w:ascii="仿宋_GB2312" w:cs="仿宋_GB2312"/>
          <w:color w:val="auto"/>
          <w:sz w:val="32"/>
          <w:szCs w:val="32"/>
          <w:highlight w:val="none"/>
        </w:rPr>
        <w:t>管理办法，</w:t>
      </w:r>
      <w:r>
        <w:rPr>
          <w:rFonts w:hint="eastAsia" w:ascii="仿宋_GB2312" w:cs="仿宋_GB2312"/>
          <w:color w:val="auto"/>
          <w:sz w:val="32"/>
          <w:szCs w:val="32"/>
          <w:highlight w:val="none"/>
          <w:lang w:eastAsia="zh-Hans"/>
        </w:rPr>
        <w:t>同时</w:t>
      </w:r>
      <w:r>
        <w:rPr>
          <w:rFonts w:hint="eastAsia" w:ascii="仿宋_GB2312" w:cs="仿宋_GB2312"/>
          <w:color w:val="auto"/>
          <w:sz w:val="32"/>
          <w:szCs w:val="32"/>
          <w:highlight w:val="none"/>
        </w:rPr>
        <w:t>对财政专项资金进行</w:t>
      </w:r>
      <w:r>
        <w:rPr>
          <w:rFonts w:ascii="仿宋_GB2312" w:cs="仿宋_GB2312"/>
          <w:color w:val="auto"/>
          <w:sz w:val="32"/>
          <w:szCs w:val="32"/>
          <w:highlight w:val="none"/>
        </w:rPr>
        <w:t>严格</w:t>
      </w:r>
      <w:r>
        <w:rPr>
          <w:rFonts w:hint="eastAsia" w:ascii="仿宋_GB2312" w:cs="仿宋_GB2312"/>
          <w:color w:val="auto"/>
          <w:sz w:val="32"/>
          <w:szCs w:val="32"/>
          <w:highlight w:val="none"/>
        </w:rPr>
        <w:t>管理，基本做到了专款专用，根据评分标准，该指标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55043A1B">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5.制度执行有效性</w:t>
      </w:r>
      <w:r>
        <w:rPr>
          <w:rFonts w:hint="eastAsia" w:ascii="仿宋_GB2312" w:cs="仿宋_GB2312"/>
          <w:color w:val="auto"/>
          <w:sz w:val="32"/>
          <w:szCs w:val="32"/>
          <w:highlight w:val="none"/>
        </w:rPr>
        <w:t>：由部门提出经费预算支出可行性方案，经过与市政府分管领导沟通后</w:t>
      </w:r>
      <w:r>
        <w:rPr>
          <w:rFonts w:ascii="仿宋_GB2312" w:cs="仿宋_GB2312"/>
          <w:color w:val="auto"/>
          <w:sz w:val="32"/>
          <w:szCs w:val="32"/>
          <w:highlight w:val="none"/>
        </w:rPr>
        <w:t>，</w:t>
      </w:r>
      <w:r>
        <w:rPr>
          <w:rFonts w:hint="eastAsia" w:ascii="仿宋_GB2312" w:cs="仿宋_GB2312"/>
          <w:color w:val="auto"/>
          <w:sz w:val="32"/>
          <w:szCs w:val="32"/>
          <w:highlight w:val="none"/>
        </w:rPr>
        <w:t>报</w:t>
      </w:r>
      <w:r>
        <w:rPr>
          <w:rFonts w:ascii="仿宋_GB2312" w:cs="仿宋_GB2312"/>
          <w:color w:val="auto"/>
          <w:sz w:val="32"/>
          <w:szCs w:val="32"/>
          <w:highlight w:val="none"/>
        </w:rPr>
        <w:t>党</w:t>
      </w:r>
      <w:r>
        <w:rPr>
          <w:rFonts w:hint="eastAsia" w:ascii="仿宋_GB2312" w:cs="仿宋_GB2312"/>
          <w:color w:val="auto"/>
          <w:sz w:val="32"/>
          <w:szCs w:val="32"/>
          <w:highlight w:val="none"/>
        </w:rPr>
        <w:t>委</w:t>
      </w:r>
      <w:r>
        <w:rPr>
          <w:rFonts w:ascii="仿宋_GB2312" w:cs="仿宋_GB2312"/>
          <w:color w:val="auto"/>
          <w:sz w:val="32"/>
          <w:szCs w:val="32"/>
          <w:highlight w:val="none"/>
        </w:rPr>
        <w:t>会议</w:t>
      </w:r>
      <w:r>
        <w:rPr>
          <w:rFonts w:hint="eastAsia" w:ascii="仿宋_GB2312" w:cs="仿宋_GB2312"/>
          <w:color w:val="auto"/>
          <w:sz w:val="32"/>
          <w:szCs w:val="32"/>
          <w:highlight w:val="none"/>
        </w:rPr>
        <w:t>研究执行，财务对资金的使用合法合规性进行监督，年底对资金使用效果进行自评，根据评分标准，该指标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0451456E">
      <w:pPr>
        <w:pStyle w:val="3"/>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eastAsia="zh-Hans"/>
        </w:rPr>
        <w:t>三</w:t>
      </w:r>
      <w:r>
        <w:rPr>
          <w:rFonts w:hint="eastAsia" w:ascii="楷体_GB2312" w:eastAsia="楷体_GB2312"/>
          <w:color w:val="auto"/>
          <w:szCs w:val="32"/>
          <w:highlight w:val="none"/>
        </w:rPr>
        <w:t>）项目产出情况</w:t>
      </w:r>
    </w:p>
    <w:p w14:paraId="43A33F2D">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项目产出类指标包括产出数量、产出质量、产出时效、产出成本共四方面的内容，由</w:t>
      </w:r>
      <w:r>
        <w:rPr>
          <w:rFonts w:hint="eastAsia" w:ascii="仿宋_GB2312" w:cs="仿宋_GB2312"/>
          <w:color w:val="auto"/>
          <w:sz w:val="32"/>
          <w:szCs w:val="32"/>
          <w:highlight w:val="none"/>
          <w:lang w:val="en-US" w:eastAsia="zh-CN"/>
        </w:rPr>
        <w:t>11</w:t>
      </w:r>
      <w:r>
        <w:rPr>
          <w:rFonts w:hint="eastAsia" w:ascii="仿宋_GB2312" w:cs="仿宋_GB2312"/>
          <w:color w:val="auto"/>
          <w:sz w:val="32"/>
          <w:szCs w:val="32"/>
          <w:highlight w:val="none"/>
        </w:rPr>
        <w:t>个三级指标构成，权重分为</w:t>
      </w:r>
      <w:r>
        <w:rPr>
          <w:rFonts w:hint="eastAsia" w:ascii="仿宋_GB2312" w:cs="仿宋_GB2312"/>
          <w:color w:val="auto"/>
          <w:sz w:val="32"/>
          <w:szCs w:val="32"/>
          <w:highlight w:val="none"/>
          <w:lang w:val="en-US" w:eastAsia="zh-CN"/>
        </w:rPr>
        <w:t>4</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39.83</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99.58</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53CACB85">
      <w:pPr>
        <w:spacing w:line="600" w:lineRule="exact"/>
        <w:ind w:firstLineChars="0"/>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 产出数量</w:t>
      </w:r>
    </w:p>
    <w:p w14:paraId="634DE623">
      <w:pPr>
        <w:spacing w:line="600" w:lineRule="exact"/>
        <w:ind w:firstLine="640"/>
        <w:rPr>
          <w:rFonts w:hint="eastAsia" w:ascii="仿宋_GB2312" w:hAnsi="仿宋_GB2312" w:cs="仿宋_GB2312"/>
          <w:color w:val="auto"/>
          <w:sz w:val="32"/>
          <w:szCs w:val="32"/>
          <w:highlight w:val="none"/>
          <w:lang w:eastAsia="zh-CN"/>
        </w:rPr>
      </w:pPr>
      <w:r>
        <w:rPr>
          <w:rFonts w:hint="default" w:ascii="仿宋_GB2312" w:hAnsi="仿宋_GB2312" w:cs="仿宋_GB2312"/>
          <w:color w:val="auto"/>
          <w:sz w:val="32"/>
          <w:szCs w:val="32"/>
          <w:highlight w:val="none"/>
          <w:lang w:eastAsia="zh-Hans"/>
        </w:rPr>
        <w:t>①</w:t>
      </w:r>
      <w:r>
        <w:rPr>
          <w:rFonts w:hint="eastAsia" w:ascii="仿宋_GB2312" w:hAnsi="仿宋_GB2312" w:cs="仿宋_GB2312"/>
          <w:color w:val="auto"/>
          <w:sz w:val="32"/>
          <w:szCs w:val="32"/>
          <w:highlight w:val="none"/>
          <w:lang w:eastAsia="zh-Hans"/>
        </w:rPr>
        <w:t>“高血压患者管理人数（人）”指标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1546人</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2023年公卫工作完成人数统计表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1502人</w:t>
      </w:r>
      <w:r>
        <w:rPr>
          <w:rFonts w:hint="eastAsia" w:ascii="仿宋_GB2312" w:hAnsi="仿宋_GB2312" w:cs="仿宋_GB2312"/>
          <w:color w:val="auto"/>
          <w:sz w:val="32"/>
          <w:szCs w:val="32"/>
          <w:highlight w:val="none"/>
        </w:rPr>
        <w:t>，指标完成率为</w:t>
      </w:r>
      <w:r>
        <w:rPr>
          <w:rFonts w:hint="eastAsia" w:ascii="仿宋_GB2312"/>
          <w:color w:val="auto"/>
          <w:sz w:val="32"/>
          <w:szCs w:val="32"/>
          <w:highlight w:val="none"/>
          <w:lang w:val="en-US" w:eastAsia="zh-CN"/>
        </w:rPr>
        <w:t>97.15</w:t>
      </w:r>
      <w:r>
        <w:rPr>
          <w:rFonts w:hint="eastAsia" w:ascii="仿宋_GB2312" w:hAnsi="仿宋_GB2312" w:cs="仿宋_GB2312"/>
          <w:color w:val="auto"/>
          <w:sz w:val="32"/>
          <w:szCs w:val="32"/>
          <w:highlight w:val="none"/>
        </w:rPr>
        <w:t>%，偏差率为</w:t>
      </w:r>
      <w:r>
        <w:rPr>
          <w:rFonts w:hint="eastAsia" w:ascii="仿宋_GB2312"/>
          <w:color w:val="auto"/>
          <w:sz w:val="32"/>
          <w:szCs w:val="32"/>
          <w:highlight w:val="none"/>
          <w:lang w:val="en-US" w:eastAsia="zh-CN"/>
        </w:rPr>
        <w:t>2.85</w:t>
      </w:r>
      <w:r>
        <w:rPr>
          <w:rFonts w:hint="eastAsia" w:ascii="仿宋_GB2312" w:hAnsi="仿宋_GB2312" w:cs="仿宋_GB2312"/>
          <w:color w:val="auto"/>
          <w:sz w:val="32"/>
          <w:szCs w:val="32"/>
          <w:highlight w:val="none"/>
        </w:rPr>
        <w:t>%，造成偏差原因</w:t>
      </w:r>
      <w:r>
        <w:rPr>
          <w:rFonts w:hint="eastAsia" w:ascii="仿宋_GB2312" w:hAnsi="仿宋_GB2312" w:cs="仿宋_GB2312"/>
          <w:color w:val="auto"/>
          <w:sz w:val="32"/>
          <w:szCs w:val="32"/>
          <w:highlight w:val="none"/>
          <w:lang w:eastAsia="zh-Hans"/>
        </w:rPr>
        <w:t>为</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我辖区内两栖居民较多，</w:t>
      </w:r>
      <w:r>
        <w:rPr>
          <w:rFonts w:hint="eastAsia" w:ascii="仿宋_GB2312" w:hAnsi="仿宋_GB2312" w:cs="仿宋_GB2312"/>
          <w:color w:val="auto"/>
          <w:sz w:val="32"/>
          <w:szCs w:val="32"/>
          <w:highlight w:val="none"/>
          <w:lang w:eastAsia="zh-CN"/>
        </w:rPr>
        <w:t>高血压</w:t>
      </w:r>
      <w:r>
        <w:rPr>
          <w:rFonts w:hint="eastAsia" w:ascii="仿宋_GB2312" w:hAnsi="仿宋_GB2312" w:cs="仿宋_GB2312"/>
          <w:color w:val="auto"/>
          <w:sz w:val="32"/>
          <w:szCs w:val="32"/>
          <w:highlight w:val="none"/>
        </w:rPr>
        <w:t>档案基础</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，根据评分标准，该指标</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3.88</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CN"/>
        </w:rPr>
        <w:t>；</w:t>
      </w:r>
    </w:p>
    <w:p w14:paraId="56078BBD">
      <w:pPr>
        <w:spacing w:line="600" w:lineRule="exact"/>
        <w:ind w:firstLine="640"/>
        <w:rPr>
          <w:rFonts w:hint="eastAsia" w:ascii="仿宋_GB2312" w:hAnsi="仿宋_GB2312" w:cs="仿宋_GB2312"/>
          <w:color w:val="auto"/>
          <w:sz w:val="32"/>
          <w:szCs w:val="32"/>
          <w:highlight w:val="none"/>
          <w:lang w:eastAsia="zh-CN"/>
        </w:rPr>
      </w:pPr>
      <w:r>
        <w:rPr>
          <w:rFonts w:hint="default" w:ascii="仿宋_GB2312" w:hAnsi="仿宋_GB2312" w:cs="仿宋_GB2312"/>
          <w:color w:val="auto"/>
          <w:sz w:val="32"/>
          <w:szCs w:val="32"/>
          <w:highlight w:val="none"/>
          <w:lang w:eastAsia="zh-Hans"/>
        </w:rPr>
        <w:t>②</w:t>
      </w:r>
      <w:r>
        <w:rPr>
          <w:rFonts w:hint="eastAsia" w:ascii="仿宋_GB2312" w:hAnsi="仿宋_GB2312" w:cs="仿宋_GB2312"/>
          <w:color w:val="auto"/>
          <w:sz w:val="32"/>
          <w:szCs w:val="32"/>
          <w:highlight w:val="none"/>
          <w:lang w:eastAsia="zh-Hans"/>
        </w:rPr>
        <w:t>“2型糖尿病患者管理人数（人）”指标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618人</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2023年公卫工作完成人数统计表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655人</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CN"/>
        </w:rPr>
        <w:t>大于</w:t>
      </w:r>
      <w:r>
        <w:rPr>
          <w:rFonts w:hint="eastAsia" w:ascii="仿宋_GB2312" w:hAnsi="仿宋_GB2312" w:cs="仿宋_GB2312"/>
          <w:color w:val="auto"/>
          <w:sz w:val="32"/>
          <w:szCs w:val="32"/>
          <w:highlight w:val="none"/>
        </w:rPr>
        <w:t>预期目标，根据评分标准，该指标</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CN"/>
        </w:rPr>
        <w:t>；</w:t>
      </w:r>
    </w:p>
    <w:p w14:paraId="3B525ADE">
      <w:pPr>
        <w:spacing w:line="600" w:lineRule="exact"/>
        <w:ind w:firstLine="640"/>
        <w:rPr>
          <w:rFonts w:ascii="仿宋_GB2312" w:hAnsi="仿宋_GB2312" w:cs="仿宋_GB2312"/>
          <w:color w:val="auto"/>
          <w:sz w:val="32"/>
          <w:szCs w:val="32"/>
          <w:highlight w:val="none"/>
        </w:rPr>
      </w:pPr>
      <w:r>
        <w:rPr>
          <w:rFonts w:hint="default" w:ascii="仿宋_GB2312" w:hAnsi="仿宋_GB2312" w:cs="仿宋_GB2312"/>
          <w:color w:val="auto"/>
          <w:sz w:val="32"/>
          <w:szCs w:val="32"/>
          <w:highlight w:val="none"/>
          <w:lang w:eastAsia="zh-Hans"/>
        </w:rPr>
        <w:t>③</w:t>
      </w:r>
      <w:r>
        <w:rPr>
          <w:rFonts w:hint="eastAsia" w:ascii="仿宋_GB2312" w:hAnsi="仿宋_GB2312" w:cs="仿宋_GB2312"/>
          <w:color w:val="auto"/>
          <w:sz w:val="32"/>
          <w:szCs w:val="32"/>
          <w:highlight w:val="none"/>
          <w:lang w:eastAsia="zh-Hans"/>
        </w:rPr>
        <w:t>“0-6岁儿童管理人数（人）”指标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578人</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2023年公卫工作完成人数统计表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568人</w:t>
      </w:r>
      <w:r>
        <w:rPr>
          <w:rFonts w:hint="eastAsia" w:ascii="仿宋_GB2312" w:hAnsi="仿宋_GB2312" w:cs="仿宋_GB2312"/>
          <w:color w:val="auto"/>
          <w:sz w:val="32"/>
          <w:szCs w:val="32"/>
          <w:highlight w:val="none"/>
        </w:rPr>
        <w:t>，指标完成率为</w:t>
      </w:r>
      <w:r>
        <w:rPr>
          <w:rFonts w:hint="eastAsia" w:ascii="仿宋_GB2312"/>
          <w:color w:val="auto"/>
          <w:sz w:val="32"/>
          <w:szCs w:val="32"/>
          <w:highlight w:val="none"/>
          <w:lang w:val="en-US" w:eastAsia="zh-CN"/>
        </w:rPr>
        <w:t>98.27</w:t>
      </w:r>
      <w:r>
        <w:rPr>
          <w:rFonts w:hint="eastAsia" w:ascii="仿宋_GB2312" w:hAnsi="仿宋_GB2312" w:cs="仿宋_GB2312"/>
          <w:color w:val="auto"/>
          <w:sz w:val="32"/>
          <w:szCs w:val="32"/>
          <w:highlight w:val="none"/>
        </w:rPr>
        <w:t>%，偏差率为</w:t>
      </w:r>
      <w:r>
        <w:rPr>
          <w:rFonts w:hint="eastAsia" w:ascii="仿宋_GB2312"/>
          <w:color w:val="auto"/>
          <w:sz w:val="32"/>
          <w:szCs w:val="32"/>
          <w:highlight w:val="none"/>
          <w:lang w:val="en-US" w:eastAsia="zh-CN"/>
        </w:rPr>
        <w:t>1.73</w:t>
      </w:r>
      <w:r>
        <w:rPr>
          <w:rFonts w:hint="eastAsia" w:ascii="仿宋_GB2312" w:hAnsi="仿宋_GB2312" w:cs="仿宋_GB2312"/>
          <w:color w:val="auto"/>
          <w:sz w:val="32"/>
          <w:szCs w:val="32"/>
          <w:highlight w:val="none"/>
        </w:rPr>
        <w:t>%，造成偏差原因</w:t>
      </w:r>
      <w:r>
        <w:rPr>
          <w:rFonts w:hint="eastAsia" w:ascii="仿宋_GB2312" w:hAnsi="仿宋_GB2312" w:cs="仿宋_GB2312"/>
          <w:color w:val="auto"/>
          <w:sz w:val="32"/>
          <w:szCs w:val="32"/>
          <w:highlight w:val="none"/>
          <w:lang w:eastAsia="zh-Hans"/>
        </w:rPr>
        <w:t>为</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我辖区内两栖居民较多，儿童档案迁出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，根据评分标准，该指标</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2.95</w:t>
      </w:r>
      <w:r>
        <w:rPr>
          <w:rFonts w:hint="eastAsia" w:ascii="仿宋_GB2312" w:hAnsi="仿宋_GB2312" w:cs="仿宋_GB2312"/>
          <w:color w:val="auto"/>
          <w:sz w:val="32"/>
          <w:szCs w:val="32"/>
          <w:highlight w:val="none"/>
        </w:rPr>
        <w:t>分。</w:t>
      </w:r>
    </w:p>
    <w:p w14:paraId="294EBB71">
      <w:pPr>
        <w:spacing w:line="600" w:lineRule="exact"/>
        <w:ind w:firstLine="643"/>
        <w:rPr>
          <w:rFonts w:ascii="仿宋_GB2312"/>
          <w:b/>
          <w:bCs/>
          <w:color w:val="auto"/>
          <w:sz w:val="32"/>
          <w:highlight w:val="none"/>
        </w:rPr>
      </w:pPr>
      <w:r>
        <w:rPr>
          <w:rFonts w:hint="eastAsia" w:ascii="仿宋_GB2312"/>
          <w:b/>
          <w:bCs/>
          <w:color w:val="auto"/>
          <w:sz w:val="32"/>
          <w:highlight w:val="none"/>
        </w:rPr>
        <w:t>2.产出质量</w:t>
      </w:r>
    </w:p>
    <w:p w14:paraId="58ED8F08">
      <w:pPr>
        <w:spacing w:line="600" w:lineRule="exact"/>
        <w:ind w:firstLine="640"/>
        <w:rPr>
          <w:rFonts w:hint="eastAsia" w:ascii="仿宋_GB2312" w:hAnsi="仿宋_GB2312" w:cs="仿宋_GB2312"/>
          <w:color w:val="auto"/>
          <w:sz w:val="32"/>
          <w:szCs w:val="32"/>
          <w:highlight w:val="none"/>
        </w:rPr>
      </w:pPr>
      <w:r>
        <w:rPr>
          <w:rFonts w:hint="default" w:ascii="仿宋_GB2312" w:hAnsi="仿宋_GB2312" w:cs="仿宋_GB2312"/>
          <w:color w:val="auto"/>
          <w:sz w:val="32"/>
          <w:szCs w:val="32"/>
          <w:highlight w:val="none"/>
          <w:lang w:eastAsia="zh-Hans"/>
        </w:rPr>
        <w:t>①</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高血压患者规范管理率（%）</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60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2023年公卫工作完成率统计表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lang w:eastAsia="zh-CN"/>
        </w:rPr>
        <w:t>实际完成值</w:t>
      </w:r>
      <w:r>
        <w:rPr>
          <w:rFonts w:hint="eastAsia" w:ascii="仿宋_GB2312" w:hAnsi="仿宋_GB2312" w:cs="仿宋_GB2312"/>
          <w:color w:val="auto"/>
          <w:sz w:val="32"/>
          <w:szCs w:val="32"/>
          <w:highlight w:val="none"/>
          <w:lang w:val="en-US" w:eastAsia="zh-CN"/>
        </w:rPr>
        <w:t>85.42</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大于</w:t>
      </w:r>
      <w:r>
        <w:rPr>
          <w:rFonts w:hint="eastAsia" w:ascii="仿宋_GB2312" w:hAnsi="仿宋_GB2312" w:cs="仿宋_GB2312"/>
          <w:color w:val="auto"/>
          <w:sz w:val="32"/>
          <w:szCs w:val="32"/>
          <w:highlight w:val="none"/>
        </w:rPr>
        <w:t>预期目标，根据评分标准，该指标</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CN"/>
        </w:rPr>
        <w:t>；</w:t>
      </w:r>
    </w:p>
    <w:p w14:paraId="646B6A68">
      <w:pPr>
        <w:spacing w:line="600" w:lineRule="exact"/>
        <w:ind w:firstLine="640"/>
        <w:rPr>
          <w:rFonts w:hint="eastAsia" w:ascii="仿宋_GB2312" w:hAnsi="仿宋_GB2312" w:cs="仿宋_GB2312"/>
          <w:color w:val="auto"/>
          <w:sz w:val="32"/>
          <w:szCs w:val="32"/>
          <w:highlight w:val="none"/>
        </w:rPr>
      </w:pPr>
      <w:r>
        <w:rPr>
          <w:rFonts w:hint="default" w:ascii="仿宋_GB2312" w:hAnsi="仿宋_GB2312" w:cs="仿宋_GB2312"/>
          <w:color w:val="auto"/>
          <w:sz w:val="32"/>
          <w:szCs w:val="32"/>
          <w:highlight w:val="none"/>
          <w:lang w:eastAsia="zh-Hans"/>
        </w:rPr>
        <w:t>②</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2型糖尿病患者规范管理率（%）</w:t>
      </w:r>
      <w:r>
        <w:rPr>
          <w:rFonts w:hint="eastAsia" w:ascii="仿宋_GB2312" w:hAnsi="仿宋_GB2312" w:cs="仿宋_GB2312"/>
          <w:color w:val="auto"/>
          <w:sz w:val="32"/>
          <w:szCs w:val="32"/>
          <w:highlight w:val="none"/>
          <w:lang w:eastAsia="zh-Hans"/>
        </w:rPr>
        <w:t>”指标，预期指标值为“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60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2023年公卫工作完成率统计表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lang w:eastAsia="zh-CN"/>
        </w:rPr>
        <w:t>实际完成值</w:t>
      </w:r>
      <w:r>
        <w:rPr>
          <w:rFonts w:hint="eastAsia" w:ascii="仿宋_GB2312" w:hAnsi="仿宋_GB2312" w:cs="仿宋_GB2312"/>
          <w:color w:val="auto"/>
          <w:sz w:val="32"/>
          <w:szCs w:val="32"/>
          <w:highlight w:val="none"/>
          <w:lang w:val="en-US" w:eastAsia="zh-CN"/>
        </w:rPr>
        <w:t>88.85</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大于</w:t>
      </w:r>
      <w:r>
        <w:rPr>
          <w:rFonts w:hint="eastAsia" w:ascii="仿宋_GB2312" w:hAnsi="仿宋_GB2312" w:cs="仿宋_GB2312"/>
          <w:color w:val="auto"/>
          <w:sz w:val="32"/>
          <w:szCs w:val="32"/>
          <w:highlight w:val="none"/>
        </w:rPr>
        <w:t>预期目标，根据评分标准，该指标</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CN"/>
        </w:rPr>
        <w:t>；</w:t>
      </w:r>
    </w:p>
    <w:p w14:paraId="227C932A">
      <w:pPr>
        <w:spacing w:line="600" w:lineRule="exact"/>
        <w:ind w:firstLine="640"/>
        <w:rPr>
          <w:rFonts w:hint="eastAsia" w:ascii="仿宋_GB2312" w:hAnsi="仿宋_GB2312" w:cs="仿宋_GB2312"/>
          <w:color w:val="auto"/>
          <w:sz w:val="32"/>
          <w:szCs w:val="32"/>
          <w:highlight w:val="none"/>
        </w:rPr>
      </w:pPr>
      <w:r>
        <w:rPr>
          <w:rFonts w:hint="default" w:ascii="仿宋_GB2312" w:hAnsi="仿宋_GB2312" w:cs="仿宋_GB2312"/>
          <w:color w:val="auto"/>
          <w:sz w:val="32"/>
          <w:szCs w:val="32"/>
          <w:highlight w:val="none"/>
          <w:lang w:eastAsia="zh-Hans"/>
        </w:rPr>
        <w:t>③</w:t>
      </w:r>
      <w:r>
        <w:rPr>
          <w:rFonts w:hint="eastAsia" w:ascii="仿宋_GB2312" w:hAnsi="仿宋_GB2312" w:cs="仿宋_GB2312"/>
          <w:color w:val="auto"/>
          <w:sz w:val="32"/>
          <w:szCs w:val="32"/>
          <w:highlight w:val="none"/>
          <w:lang w:eastAsia="zh-Hans"/>
        </w:rPr>
        <w:t>“0-6岁儿童健康管理率（%）”指标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60%</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2023年公卫工作完成率统计表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95%</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CN"/>
        </w:rPr>
        <w:t>大于</w:t>
      </w:r>
      <w:r>
        <w:rPr>
          <w:rFonts w:hint="eastAsia" w:ascii="仿宋_GB2312" w:hAnsi="仿宋_GB2312" w:cs="仿宋_GB2312"/>
          <w:color w:val="auto"/>
          <w:sz w:val="32"/>
          <w:szCs w:val="32"/>
          <w:highlight w:val="none"/>
        </w:rPr>
        <w:t>预期目标，根据评分标准，该指标</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CN"/>
        </w:rPr>
        <w:t>；</w:t>
      </w:r>
    </w:p>
    <w:p w14:paraId="7943231B">
      <w:pPr>
        <w:pStyle w:val="6"/>
        <w:spacing w:before="0" w:after="0" w:line="600" w:lineRule="exact"/>
        <w:ind w:left="643" w:firstLine="0" w:firstLineChars="0"/>
        <w:jc w:val="both"/>
        <w:rPr>
          <w:rFonts w:ascii="仿宋_GB2312" w:cs="仿宋_GB2312"/>
          <w:bCs/>
          <w:color w:val="auto"/>
          <w:sz w:val="32"/>
          <w:szCs w:val="32"/>
          <w:highlight w:val="none"/>
        </w:rPr>
      </w:pPr>
      <w:r>
        <w:rPr>
          <w:rFonts w:hint="eastAsia" w:ascii="仿宋_GB2312" w:cs="仿宋_GB2312"/>
          <w:bCs/>
          <w:color w:val="auto"/>
          <w:sz w:val="32"/>
          <w:szCs w:val="32"/>
          <w:highlight w:val="none"/>
        </w:rPr>
        <w:t>3.产出时效</w:t>
      </w:r>
    </w:p>
    <w:p w14:paraId="0F8409AF">
      <w:pPr>
        <w:pStyle w:val="6"/>
        <w:spacing w:before="0" w:after="0" w:line="600" w:lineRule="exact"/>
        <w:ind w:firstLine="640"/>
        <w:jc w:val="both"/>
        <w:rPr>
          <w:rFonts w:ascii="仿宋_GB2312" w:cs="仿宋_GB2312"/>
          <w:b w:val="0"/>
          <w:color w:val="auto"/>
          <w:sz w:val="32"/>
          <w:szCs w:val="32"/>
          <w:highlight w:val="none"/>
        </w:rPr>
      </w:pP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基本公共卫生服务项目完成时限</w:t>
      </w:r>
      <w:r>
        <w:rPr>
          <w:rFonts w:hint="eastAsia" w:ascii="仿宋_GB2312" w:cs="仿宋_GB2312"/>
          <w:b w:val="0"/>
          <w:color w:val="auto"/>
          <w:sz w:val="32"/>
          <w:szCs w:val="32"/>
          <w:highlight w:val="none"/>
          <w:lang w:eastAsia="zh-Hans"/>
        </w:rPr>
        <w:t>”</w:t>
      </w:r>
      <w:r>
        <w:rPr>
          <w:rFonts w:hint="eastAsia" w:ascii="仿宋_GB2312" w:hAnsi="仿宋_GB2312" w:cs="仿宋_GB2312"/>
          <w:b w:val="0"/>
          <w:color w:val="auto"/>
          <w:sz w:val="32"/>
          <w:szCs w:val="32"/>
          <w:highlight w:val="none"/>
          <w:lang w:eastAsia="zh-Hans"/>
        </w:rPr>
        <w:t>指标，预期指标值为</w:t>
      </w: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2023年12月20日前</w:t>
      </w:r>
      <w:r>
        <w:rPr>
          <w:rFonts w:hint="eastAsia" w:ascii="仿宋_GB2312" w:cs="仿宋_GB2312"/>
          <w:b w:val="0"/>
          <w:color w:val="auto"/>
          <w:sz w:val="32"/>
          <w:szCs w:val="32"/>
          <w:highlight w:val="none"/>
          <w:lang w:eastAsia="zh-Hans"/>
        </w:rPr>
        <w:t>”</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根据2023年度</w:t>
      </w:r>
      <w:r>
        <w:rPr>
          <w:rFonts w:hint="eastAsia" w:ascii="仿宋_GB2312" w:cs="仿宋_GB2312"/>
          <w:b w:val="0"/>
          <w:color w:val="auto"/>
          <w:sz w:val="32"/>
          <w:szCs w:val="32"/>
          <w:highlight w:val="none"/>
          <w:lang w:eastAsia="zh-CN"/>
        </w:rPr>
        <w:t>金沟河镇</w:t>
      </w:r>
      <w:r>
        <w:rPr>
          <w:rFonts w:hint="eastAsia" w:ascii="仿宋_GB2312" w:cs="仿宋_GB2312"/>
          <w:b w:val="0"/>
          <w:color w:val="auto"/>
          <w:sz w:val="32"/>
          <w:szCs w:val="32"/>
          <w:highlight w:val="none"/>
          <w:lang w:eastAsia="zh-Hans"/>
        </w:rPr>
        <w:t>卫生院工作总结显示</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该项目于</w:t>
      </w:r>
      <w:r>
        <w:rPr>
          <w:rFonts w:hint="eastAsia" w:ascii="仿宋_GB2312" w:cs="仿宋_GB2312"/>
          <w:b w:val="0"/>
          <w:color w:val="auto"/>
          <w:sz w:val="32"/>
          <w:szCs w:val="32"/>
          <w:highlight w:val="none"/>
          <w:lang w:val="en-US" w:eastAsia="zh-CN"/>
        </w:rPr>
        <w:t>2</w:t>
      </w:r>
      <w:r>
        <w:rPr>
          <w:rFonts w:hint="eastAsia" w:ascii="仿宋_GB2312" w:cs="仿宋_GB2312"/>
          <w:b w:val="0"/>
          <w:color w:val="auto"/>
          <w:sz w:val="32"/>
          <w:szCs w:val="32"/>
          <w:highlight w:val="none"/>
        </w:rPr>
        <w:t>023年12月20日前完成</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与预期目标指标一</w:t>
      </w:r>
      <w:r>
        <w:rPr>
          <w:rFonts w:hint="eastAsia" w:ascii="仿宋_GB2312" w:cs="仿宋_GB2312"/>
          <w:b w:val="0"/>
          <w:bCs/>
          <w:color w:val="auto"/>
          <w:sz w:val="32"/>
          <w:szCs w:val="32"/>
          <w:highlight w:val="none"/>
        </w:rPr>
        <w:t>致</w:t>
      </w:r>
      <w:r>
        <w:rPr>
          <w:rFonts w:hint="eastAsia" w:ascii="仿宋_GB2312" w:cs="仿宋_GB2312"/>
          <w:b w:val="0"/>
          <w:color w:val="auto"/>
          <w:sz w:val="32"/>
          <w:szCs w:val="32"/>
          <w:highlight w:val="none"/>
        </w:rPr>
        <w:t>，根据评分标准，该指标</w:t>
      </w:r>
      <w:r>
        <w:rPr>
          <w:rFonts w:hint="eastAsia" w:ascii="仿宋_GB2312"/>
          <w:b w:val="0"/>
          <w:bCs/>
          <w:color w:val="auto"/>
          <w:sz w:val="32"/>
          <w:szCs w:val="32"/>
          <w:highlight w:val="none"/>
          <w:lang w:val="en-US" w:eastAsia="zh-CN"/>
        </w:rPr>
        <w:t>10</w:t>
      </w:r>
      <w:r>
        <w:rPr>
          <w:rFonts w:hint="eastAsia" w:ascii="仿宋_GB2312" w:cs="仿宋_GB2312"/>
          <w:b w:val="0"/>
          <w:color w:val="auto"/>
          <w:sz w:val="32"/>
          <w:szCs w:val="32"/>
          <w:highlight w:val="none"/>
        </w:rPr>
        <w:t>分，得</w:t>
      </w:r>
      <w:r>
        <w:rPr>
          <w:rFonts w:hint="eastAsia" w:ascii="仿宋_GB2312"/>
          <w:b w:val="0"/>
          <w:bCs/>
          <w:color w:val="auto"/>
          <w:sz w:val="32"/>
          <w:szCs w:val="32"/>
          <w:highlight w:val="none"/>
          <w:lang w:val="en-US" w:eastAsia="zh-CN"/>
        </w:rPr>
        <w:t>10</w:t>
      </w:r>
      <w:r>
        <w:rPr>
          <w:rFonts w:hint="eastAsia" w:ascii="仿宋_GB2312" w:cs="仿宋_GB2312"/>
          <w:b w:val="0"/>
          <w:color w:val="auto"/>
          <w:sz w:val="32"/>
          <w:szCs w:val="32"/>
          <w:highlight w:val="none"/>
        </w:rPr>
        <w:t>分。</w:t>
      </w:r>
    </w:p>
    <w:p w14:paraId="3341557C">
      <w:pPr>
        <w:pStyle w:val="6"/>
        <w:spacing w:before="0" w:after="0" w:line="600" w:lineRule="exact"/>
        <w:ind w:left="643" w:firstLine="0" w:firstLineChars="0"/>
        <w:jc w:val="both"/>
        <w:rPr>
          <w:rFonts w:hint="eastAsia" w:ascii="仿宋_GB2312" w:cs="仿宋_GB2312"/>
          <w:bCs/>
          <w:color w:val="auto"/>
          <w:sz w:val="32"/>
          <w:szCs w:val="32"/>
          <w:highlight w:val="none"/>
        </w:rPr>
      </w:pPr>
      <w:r>
        <w:rPr>
          <w:rFonts w:hint="eastAsia" w:ascii="仿宋_GB2312" w:cs="仿宋_GB2312"/>
          <w:bCs/>
          <w:color w:val="auto"/>
          <w:sz w:val="32"/>
          <w:szCs w:val="32"/>
          <w:highlight w:val="none"/>
          <w:lang w:val="en-US" w:eastAsia="zh-CN"/>
        </w:rPr>
        <w:t>4.</w:t>
      </w:r>
      <w:r>
        <w:rPr>
          <w:rFonts w:hint="eastAsia" w:ascii="仿宋_GB2312" w:cs="仿宋_GB2312"/>
          <w:bCs/>
          <w:color w:val="auto"/>
          <w:sz w:val="32"/>
          <w:szCs w:val="32"/>
          <w:highlight w:val="none"/>
        </w:rPr>
        <w:t>产出成本</w:t>
      </w:r>
    </w:p>
    <w:p w14:paraId="381E2B6E">
      <w:pPr>
        <w:spacing w:line="600" w:lineRule="exact"/>
        <w:ind w:firstLine="640"/>
        <w:rPr>
          <w:rFonts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基本公共卫生服务支出</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hAnsi="Times New Roman" w:cs="仿宋_GB2312"/>
          <w:color w:val="auto"/>
          <w:sz w:val="32"/>
          <w:szCs w:val="32"/>
          <w:highlight w:val="none"/>
          <w:lang w:eastAsia="zh-CN"/>
        </w:rPr>
        <w:t>小于等于</w:t>
      </w:r>
      <w:r>
        <w:rPr>
          <w:rFonts w:hint="eastAsia" w:ascii="仿宋_GB2312" w:cs="仿宋_GB2312"/>
          <w:color w:val="auto"/>
          <w:sz w:val="32"/>
          <w:szCs w:val="32"/>
          <w:highlight w:val="none"/>
          <w:lang w:val="en-US" w:eastAsia="zh-CN"/>
        </w:rPr>
        <w:t>94.15</w:t>
      </w:r>
      <w:r>
        <w:rPr>
          <w:rFonts w:hint="eastAsia" w:ascii="仿宋_GB2312" w:hAnsi="Times New Roman" w:cs="仿宋_GB2312"/>
          <w:color w:val="auto"/>
          <w:sz w:val="32"/>
          <w:szCs w:val="32"/>
          <w:highlight w:val="none"/>
          <w:lang w:eastAsia="zh-Hans"/>
        </w:rPr>
        <w:t>万元</w:t>
      </w:r>
      <w:r>
        <w:rPr>
          <w:rFonts w:hint="eastAsia" w:ascii="仿宋_GB2312" w:cs="仿宋_GB2312"/>
          <w:color w:val="auto"/>
          <w:sz w:val="32"/>
          <w:szCs w:val="32"/>
          <w:highlight w:val="none"/>
          <w:lang w:eastAsia="zh-Hans"/>
        </w:rPr>
        <w:t>”，根据国库支付银行回单凭证显示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94.15</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10</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10</w:t>
      </w:r>
      <w:r>
        <w:rPr>
          <w:rFonts w:hint="eastAsia" w:ascii="仿宋_GB2312" w:cs="仿宋_GB2312"/>
          <w:color w:val="auto"/>
          <w:sz w:val="32"/>
          <w:szCs w:val="32"/>
          <w:highlight w:val="none"/>
        </w:rPr>
        <w:t>分。</w:t>
      </w:r>
    </w:p>
    <w:p w14:paraId="38BD3A75">
      <w:pPr>
        <w:pStyle w:val="3"/>
        <w:spacing w:line="600" w:lineRule="exact"/>
        <w:ind w:left="560" w:leftChars="200" w:firstLine="0" w:firstLineChars="0"/>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）项目效益情况</w:t>
      </w:r>
    </w:p>
    <w:p w14:paraId="0BDFBB65">
      <w:pPr>
        <w:overflowPunct w:val="0"/>
        <w:spacing w:line="600" w:lineRule="exact"/>
        <w:ind w:firstLine="600"/>
        <w:contextualSpacing/>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zh-TW" w:eastAsia="zh-TW"/>
        </w:rPr>
        <w:t>项目</w:t>
      </w:r>
      <w:r>
        <w:rPr>
          <w:rFonts w:hint="eastAsia" w:ascii="仿宋" w:hAnsi="仿宋" w:eastAsia="仿宋" w:cs="仿宋"/>
          <w:color w:val="auto"/>
          <w:kern w:val="0"/>
          <w:sz w:val="30"/>
          <w:szCs w:val="30"/>
          <w:highlight w:val="none"/>
        </w:rPr>
        <w:t>效益</w:t>
      </w:r>
      <w:r>
        <w:rPr>
          <w:rFonts w:hint="eastAsia" w:ascii="仿宋" w:hAnsi="仿宋" w:eastAsia="仿宋" w:cs="仿宋"/>
          <w:color w:val="auto"/>
          <w:kern w:val="0"/>
          <w:sz w:val="30"/>
          <w:szCs w:val="30"/>
          <w:highlight w:val="none"/>
          <w:lang w:val="zh-TW" w:eastAsia="zh-TW"/>
        </w:rPr>
        <w:t>类指标由</w:t>
      </w:r>
      <w:r>
        <w:rPr>
          <w:rFonts w:hint="eastAsia" w:ascii="仿宋" w:hAnsi="仿宋" w:eastAsia="仿宋" w:cs="仿宋"/>
          <w:color w:val="auto"/>
          <w:kern w:val="0"/>
          <w:sz w:val="30"/>
          <w:szCs w:val="30"/>
          <w:highlight w:val="none"/>
        </w:rPr>
        <w:t>社会效益1</w:t>
      </w:r>
      <w:r>
        <w:rPr>
          <w:rFonts w:hint="eastAsia" w:ascii="仿宋" w:hAnsi="仿宋" w:eastAsia="仿宋" w:cs="仿宋"/>
          <w:color w:val="auto"/>
          <w:kern w:val="0"/>
          <w:sz w:val="30"/>
          <w:szCs w:val="30"/>
          <w:highlight w:val="none"/>
          <w:lang w:val="zh-TW" w:eastAsia="zh-TW"/>
        </w:rPr>
        <w:t>个</w:t>
      </w:r>
      <w:r>
        <w:rPr>
          <w:rFonts w:hint="eastAsia" w:ascii="仿宋" w:hAnsi="仿宋" w:eastAsia="仿宋" w:cs="仿宋"/>
          <w:color w:val="auto"/>
          <w:kern w:val="0"/>
          <w:sz w:val="30"/>
          <w:szCs w:val="30"/>
          <w:highlight w:val="none"/>
          <w:lang w:val="zh-TW"/>
        </w:rPr>
        <w:t>二</w:t>
      </w:r>
      <w:r>
        <w:rPr>
          <w:rFonts w:hint="eastAsia" w:ascii="仿宋" w:hAnsi="仿宋" w:eastAsia="仿宋" w:cs="仿宋"/>
          <w:color w:val="auto"/>
          <w:kern w:val="0"/>
          <w:sz w:val="30"/>
          <w:szCs w:val="30"/>
          <w:highlight w:val="none"/>
          <w:lang w:val="zh-TW" w:eastAsia="zh-TW"/>
        </w:rPr>
        <w:t>级指标和</w:t>
      </w:r>
      <w:r>
        <w:rPr>
          <w:rFonts w:hint="eastAsia" w:ascii="仿宋" w:hAnsi="仿宋" w:eastAsia="仿宋" w:cs="仿宋"/>
          <w:color w:val="auto"/>
          <w:kern w:val="0"/>
          <w:sz w:val="30"/>
          <w:szCs w:val="30"/>
          <w:highlight w:val="none"/>
        </w:rPr>
        <w:t>1</w:t>
      </w:r>
      <w:r>
        <w:rPr>
          <w:rFonts w:hint="eastAsia" w:ascii="仿宋" w:hAnsi="仿宋" w:eastAsia="仿宋" w:cs="仿宋"/>
          <w:color w:val="auto"/>
          <w:kern w:val="0"/>
          <w:sz w:val="30"/>
          <w:szCs w:val="30"/>
          <w:highlight w:val="none"/>
          <w:lang w:val="zh-TW" w:eastAsia="zh-TW"/>
        </w:rPr>
        <w:t>个</w:t>
      </w:r>
      <w:r>
        <w:rPr>
          <w:rFonts w:hint="eastAsia" w:ascii="仿宋" w:hAnsi="仿宋" w:eastAsia="仿宋" w:cs="仿宋"/>
          <w:color w:val="auto"/>
          <w:kern w:val="0"/>
          <w:sz w:val="30"/>
          <w:szCs w:val="30"/>
          <w:highlight w:val="none"/>
        </w:rPr>
        <w:t>三</w:t>
      </w:r>
      <w:r>
        <w:rPr>
          <w:rFonts w:hint="eastAsia" w:ascii="仿宋" w:hAnsi="仿宋" w:eastAsia="仿宋" w:cs="仿宋"/>
          <w:color w:val="auto"/>
          <w:kern w:val="0"/>
          <w:sz w:val="30"/>
          <w:szCs w:val="30"/>
          <w:highlight w:val="none"/>
          <w:lang w:val="zh-TW" w:eastAsia="zh-TW"/>
        </w:rPr>
        <w:t>级指标构成，</w:t>
      </w:r>
      <w:r>
        <w:rPr>
          <w:rFonts w:hint="eastAsia" w:ascii="仿宋" w:hAnsi="仿宋" w:eastAsia="仿宋" w:cs="仿宋"/>
          <w:color w:val="auto"/>
          <w:kern w:val="0"/>
          <w:sz w:val="30"/>
          <w:szCs w:val="30"/>
          <w:highlight w:val="none"/>
        </w:rPr>
        <w:t>权重分为20分，本项目实际得分20分，得分率为100.0%。具体各项指标得分如下：</w:t>
      </w:r>
    </w:p>
    <w:p w14:paraId="3F215EF6">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1.</w:t>
      </w:r>
      <w:r>
        <w:rPr>
          <w:rFonts w:hint="eastAsia" w:ascii="仿宋_GB2312"/>
          <w:b/>
          <w:bCs/>
          <w:color w:val="auto"/>
          <w:sz w:val="32"/>
          <w:szCs w:val="32"/>
          <w:highlight w:val="none"/>
        </w:rPr>
        <w:t>社会效益指标</w:t>
      </w:r>
    </w:p>
    <w:p w14:paraId="7C5B1734">
      <w:pPr>
        <w:spacing w:line="600" w:lineRule="exact"/>
        <w:ind w:firstLine="640"/>
        <w:rPr>
          <w:color w:val="auto"/>
          <w:highlight w:val="none"/>
        </w:rPr>
      </w:pPr>
      <w:r>
        <w:rPr>
          <w:rFonts w:hint="eastAsia" w:ascii="仿宋_GB2312"/>
          <w:color w:val="auto"/>
          <w:sz w:val="32"/>
          <w:szCs w:val="32"/>
          <w:highlight w:val="none"/>
          <w:lang w:eastAsia="zh-Hans"/>
        </w:rPr>
        <w:t>“</w:t>
      </w:r>
      <w:r>
        <w:rPr>
          <w:rFonts w:hint="eastAsia" w:ascii="仿宋_GB2312"/>
          <w:color w:val="auto"/>
          <w:sz w:val="32"/>
          <w:szCs w:val="32"/>
          <w:highlight w:val="none"/>
        </w:rPr>
        <w:t>提升城乡居民基本公共卫生服务均等化水平</w:t>
      </w:r>
      <w:r>
        <w:rPr>
          <w:rFonts w:hint="eastAsia" w:ascii="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olor w:val="auto"/>
          <w:sz w:val="32"/>
          <w:szCs w:val="32"/>
          <w:highlight w:val="none"/>
          <w:lang w:eastAsia="zh-Hans"/>
        </w:rPr>
        <w:t>“有效提升”，</w:t>
      </w:r>
      <w:r>
        <w:rPr>
          <w:rFonts w:hint="eastAsia"/>
          <w:color w:val="auto"/>
          <w:sz w:val="32"/>
          <w:szCs w:val="32"/>
          <w:highlight w:val="none"/>
        </w:rPr>
        <w:t>根据</w:t>
      </w:r>
      <w:r>
        <w:rPr>
          <w:rFonts w:hint="eastAsia" w:ascii="仿宋_GB2312" w:cs="仿宋_GB2312"/>
          <w:b w:val="0"/>
          <w:color w:val="auto"/>
          <w:sz w:val="32"/>
          <w:szCs w:val="32"/>
          <w:highlight w:val="none"/>
          <w:lang w:eastAsia="zh-Hans"/>
        </w:rPr>
        <w:t>2023年度</w:t>
      </w:r>
      <w:r>
        <w:rPr>
          <w:rFonts w:hint="eastAsia" w:ascii="仿宋_GB2312" w:cs="仿宋_GB2312"/>
          <w:b w:val="0"/>
          <w:color w:val="auto"/>
          <w:sz w:val="32"/>
          <w:szCs w:val="32"/>
          <w:highlight w:val="none"/>
          <w:lang w:eastAsia="zh-CN"/>
        </w:rPr>
        <w:t>金沟河镇</w:t>
      </w:r>
      <w:r>
        <w:rPr>
          <w:rFonts w:hint="eastAsia" w:ascii="仿宋_GB2312" w:cs="仿宋_GB2312"/>
          <w:b w:val="0"/>
          <w:color w:val="auto"/>
          <w:sz w:val="32"/>
          <w:szCs w:val="32"/>
          <w:highlight w:val="none"/>
          <w:lang w:eastAsia="zh-Hans"/>
        </w:rPr>
        <w:t>卫生院工作总结</w:t>
      </w:r>
      <w:r>
        <w:rPr>
          <w:rFonts w:hint="eastAsia"/>
          <w:color w:val="auto"/>
          <w:sz w:val="32"/>
          <w:szCs w:val="32"/>
          <w:highlight w:val="none"/>
        </w:rPr>
        <w:t>，实际完成值为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有效提升</w:t>
      </w:r>
      <w:r>
        <w:rPr>
          <w:rFonts w:hint="eastAsia" w:ascii="仿宋_GB2312"/>
          <w:color w:val="auto"/>
          <w:sz w:val="32"/>
          <w:szCs w:val="32"/>
          <w:highlight w:val="none"/>
          <w:lang w:eastAsia="zh-Hans"/>
        </w:rPr>
        <w:t>”</w:t>
      </w:r>
      <w:r>
        <w:rPr>
          <w:rFonts w:hint="eastAsia" w:ascii="仿宋_GB2312"/>
          <w:color w:val="auto"/>
          <w:sz w:val="32"/>
          <w:szCs w:val="32"/>
          <w:highlight w:val="none"/>
        </w:rPr>
        <w:t>，该指标</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分，得</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w:t>
      </w:r>
    </w:p>
    <w:p w14:paraId="082B309A">
      <w:pPr>
        <w:spacing w:line="600" w:lineRule="exact"/>
        <w:ind w:firstLine="640"/>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2.</w:t>
      </w:r>
      <w:r>
        <w:rPr>
          <w:rFonts w:hint="eastAsia" w:ascii="仿宋_GB2312"/>
          <w:b/>
          <w:bCs/>
          <w:color w:val="auto"/>
          <w:sz w:val="32"/>
          <w:szCs w:val="32"/>
          <w:highlight w:val="none"/>
        </w:rPr>
        <w:t>经济效益指标</w:t>
      </w:r>
    </w:p>
    <w:p w14:paraId="2CCE952E">
      <w:pPr>
        <w:spacing w:line="600" w:lineRule="exact"/>
        <w:ind w:firstLine="600"/>
        <w:rPr>
          <w:rFonts w:ascii="仿宋" w:hAnsi="仿宋" w:eastAsia="仿宋" w:cs="仿宋"/>
          <w:b/>
          <w:color w:val="auto"/>
          <w:sz w:val="30"/>
          <w:szCs w:val="30"/>
          <w:highlight w:val="none"/>
        </w:rPr>
      </w:pPr>
      <w:r>
        <w:rPr>
          <w:rFonts w:hint="eastAsia" w:ascii="仿宋" w:hAnsi="仿宋" w:eastAsia="仿宋" w:cs="仿宋"/>
          <w:color w:val="auto"/>
          <w:sz w:val="30"/>
          <w:szCs w:val="30"/>
          <w:highlight w:val="none"/>
        </w:rPr>
        <w:t>本项目无该项指标。</w:t>
      </w:r>
    </w:p>
    <w:p w14:paraId="06840465">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3.</w:t>
      </w:r>
      <w:r>
        <w:rPr>
          <w:rFonts w:hint="eastAsia" w:ascii="仿宋_GB2312"/>
          <w:b/>
          <w:bCs/>
          <w:color w:val="auto"/>
          <w:sz w:val="32"/>
          <w:szCs w:val="32"/>
          <w:highlight w:val="none"/>
        </w:rPr>
        <w:t>生态效益指标</w:t>
      </w:r>
    </w:p>
    <w:p w14:paraId="464B9339">
      <w:pPr>
        <w:spacing w:line="600" w:lineRule="exact"/>
        <w:ind w:firstLine="600"/>
        <w:rPr>
          <w:rFonts w:ascii="仿宋" w:hAnsi="仿宋" w:eastAsia="仿宋" w:cs="仿宋"/>
          <w:b/>
          <w:color w:val="auto"/>
          <w:sz w:val="30"/>
          <w:szCs w:val="30"/>
          <w:highlight w:val="none"/>
        </w:rPr>
      </w:pPr>
      <w:r>
        <w:rPr>
          <w:rFonts w:hint="eastAsia" w:ascii="仿宋" w:hAnsi="仿宋" w:eastAsia="仿宋" w:cs="仿宋"/>
          <w:color w:val="auto"/>
          <w:sz w:val="30"/>
          <w:szCs w:val="30"/>
          <w:highlight w:val="none"/>
        </w:rPr>
        <w:t>本项目无该项指标。</w:t>
      </w:r>
    </w:p>
    <w:p w14:paraId="14841A17">
      <w:pPr>
        <w:pStyle w:val="3"/>
        <w:spacing w:line="600" w:lineRule="exact"/>
        <w:ind w:left="560" w:leftChars="200" w:firstLine="0" w:firstLineChars="0"/>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满意度指标</w:t>
      </w:r>
      <w:r>
        <w:rPr>
          <w:rFonts w:hint="eastAsia" w:ascii="楷体_GB2312" w:eastAsia="楷体_GB2312"/>
          <w:color w:val="auto"/>
          <w:szCs w:val="32"/>
          <w:highlight w:val="none"/>
          <w:lang w:val="en-US" w:eastAsia="zh-CN"/>
        </w:rPr>
        <w:t>完成情况分析</w:t>
      </w:r>
    </w:p>
    <w:p w14:paraId="0F58CC89">
      <w:pPr>
        <w:pStyle w:val="21"/>
        <w:spacing w:line="600" w:lineRule="exact"/>
        <w:ind w:firstLine="640"/>
        <w:rPr>
          <w:rFonts w:hint="eastAsia" w:ascii="仿宋_GB2312" w:cs="仿宋_GB2312"/>
          <w:color w:val="auto"/>
          <w:kern w:val="2"/>
          <w:sz w:val="32"/>
          <w:szCs w:val="32"/>
          <w:highlight w:val="none"/>
        </w:rPr>
      </w:pPr>
      <w:bookmarkStart w:id="15" w:name="_Toc1921"/>
      <w:bookmarkStart w:id="16" w:name="_Toc28290"/>
      <w:r>
        <w:rPr>
          <w:rFonts w:hint="eastAsia" w:ascii="仿宋_GB2312" w:cs="仿宋_GB2312"/>
          <w:color w:val="auto"/>
          <w:kern w:val="2"/>
          <w:sz w:val="32"/>
          <w:szCs w:val="32"/>
          <w:highlight w:val="none"/>
        </w:rPr>
        <w:t>“</w:t>
      </w:r>
      <w:r>
        <w:rPr>
          <w:rFonts w:hint="eastAsia" w:ascii="仿宋_GB2312" w:cs="仿宋_GB2312"/>
          <w:color w:val="auto"/>
          <w:kern w:val="2"/>
          <w:sz w:val="32"/>
          <w:szCs w:val="32"/>
          <w:highlight w:val="none"/>
          <w:lang w:eastAsia="zh-Hans"/>
        </w:rPr>
        <w:t>服务对象满意度（%）”</w:t>
      </w:r>
      <w:r>
        <w:rPr>
          <w:rFonts w:hint="eastAsia" w:ascii="仿宋_GB2312" w:hAnsi="仿宋_GB2312" w:cs="仿宋_GB2312"/>
          <w:color w:val="auto"/>
          <w:kern w:val="2"/>
          <w:sz w:val="32"/>
          <w:szCs w:val="32"/>
          <w:highlight w:val="none"/>
          <w:lang w:eastAsia="zh-Hans"/>
        </w:rPr>
        <w:t>指标，预期指标值为</w:t>
      </w:r>
      <w:r>
        <w:rPr>
          <w:rFonts w:hint="eastAsia" w:ascii="仿宋_GB2312" w:cs="仿宋_GB2312"/>
          <w:color w:val="auto"/>
          <w:kern w:val="2"/>
          <w:sz w:val="32"/>
          <w:szCs w:val="32"/>
          <w:highlight w:val="none"/>
          <w:lang w:eastAsia="zh-Hans"/>
        </w:rPr>
        <w:t>“</w:t>
      </w:r>
      <w:r>
        <w:rPr>
          <w:rFonts w:hint="eastAsia" w:ascii="仿宋_GB2312" w:hAnsi="Times New Roman" w:cs="仿宋_GB2312"/>
          <w:color w:val="auto"/>
          <w:kern w:val="2"/>
          <w:sz w:val="32"/>
          <w:szCs w:val="32"/>
          <w:highlight w:val="none"/>
          <w:lang w:eastAsia="zh-CN"/>
        </w:rPr>
        <w:t>大于等于</w:t>
      </w:r>
      <w:r>
        <w:rPr>
          <w:rFonts w:ascii="仿宋_GB2312" w:cs="仿宋_GB2312"/>
          <w:color w:val="auto"/>
          <w:kern w:val="2"/>
          <w:sz w:val="32"/>
          <w:szCs w:val="32"/>
          <w:highlight w:val="none"/>
          <w:lang w:eastAsia="zh-Hans"/>
        </w:rPr>
        <w:t>95%</w:t>
      </w:r>
      <w:r>
        <w:rPr>
          <w:rFonts w:hint="eastAsia" w:ascii="仿宋_GB2312" w:cs="仿宋_GB2312"/>
          <w:color w:val="auto"/>
          <w:kern w:val="2"/>
          <w:sz w:val="32"/>
          <w:szCs w:val="32"/>
          <w:highlight w:val="none"/>
          <w:lang w:eastAsia="zh-Hans"/>
        </w:rPr>
        <w:t>”，根据服务对象满意度问卷调查的结果可知</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服务对象满意度达</w:t>
      </w:r>
      <w:r>
        <w:rPr>
          <w:rFonts w:hint="eastAsia" w:ascii="仿宋_GB2312" w:cs="仿宋_GB2312"/>
          <w:color w:val="auto"/>
          <w:kern w:val="2"/>
          <w:sz w:val="32"/>
          <w:szCs w:val="32"/>
          <w:highlight w:val="none"/>
          <w:lang w:val="en-US" w:eastAsia="zh-CN"/>
        </w:rPr>
        <w:t>95</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rPr>
        <w:t>根据评分标准，该指标</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分,得</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w:t>
      </w:r>
    </w:p>
    <w:p w14:paraId="3FFEE3DF">
      <w:pPr>
        <w:pStyle w:val="2"/>
        <w:spacing w:line="600" w:lineRule="exact"/>
        <w:ind w:firstLine="640"/>
        <w:rPr>
          <w:color w:val="auto"/>
          <w:szCs w:val="32"/>
          <w:highlight w:val="none"/>
        </w:rPr>
      </w:pPr>
      <w:r>
        <w:rPr>
          <w:rFonts w:hint="eastAsia"/>
          <w:color w:val="auto"/>
          <w:szCs w:val="32"/>
          <w:highlight w:val="none"/>
        </w:rPr>
        <w:t>五、预算执行进度与绩效指标偏差情况</w:t>
      </w:r>
    </w:p>
    <w:p w14:paraId="6E6FEBC9">
      <w:pPr>
        <w:pStyle w:val="3"/>
        <w:numPr>
          <w:ilvl w:val="0"/>
          <w:numId w:val="6"/>
        </w:numPr>
        <w:spacing w:line="600" w:lineRule="exact"/>
        <w:ind w:firstLine="643"/>
        <w:rPr>
          <w:rFonts w:hint="eastAsia" w:ascii="楷体_GB2312" w:eastAsia="楷体_GB2312"/>
          <w:color w:val="auto"/>
          <w:szCs w:val="32"/>
          <w:highlight w:val="none"/>
          <w:lang w:eastAsia="zh-Hans"/>
        </w:rPr>
      </w:pPr>
      <w:r>
        <w:rPr>
          <w:rFonts w:hint="eastAsia" w:ascii="楷体_GB2312" w:eastAsia="楷体_GB2312"/>
          <w:color w:val="auto"/>
          <w:szCs w:val="32"/>
          <w:highlight w:val="none"/>
          <w:lang w:eastAsia="zh-Hans"/>
        </w:rPr>
        <w:t>预算执行进度</w:t>
      </w:r>
    </w:p>
    <w:p w14:paraId="6BB7F68F">
      <w:pPr>
        <w:pStyle w:val="21"/>
        <w:spacing w:line="600" w:lineRule="exact"/>
        <w:ind w:firstLine="640"/>
        <w:rPr>
          <w:rFonts w:hint="eastAsia" w:ascii="仿宋_GB2312" w:eastAsia="仿宋_GB2312"/>
          <w:color w:val="auto"/>
          <w:sz w:val="32"/>
          <w:szCs w:val="32"/>
          <w:highlight w:val="none"/>
          <w:lang w:eastAsia="zh-CN"/>
        </w:rPr>
      </w:pPr>
      <w:r>
        <w:rPr>
          <w:rFonts w:hint="eastAsia" w:ascii="仿宋_GB2312" w:hAnsi="Times New Roman" w:cs="Times New Roman"/>
          <w:color w:val="auto"/>
          <w:sz w:val="32"/>
          <w:szCs w:val="32"/>
          <w:highlight w:val="none"/>
          <w:lang w:val="en-US" w:eastAsia="zh-CN"/>
        </w:rPr>
        <w:t>2023年中央及自治区基本公共卫生服务</w:t>
      </w:r>
      <w:r>
        <w:rPr>
          <w:rFonts w:hint="eastAsia" w:ascii="仿宋_GB2312"/>
          <w:color w:val="auto"/>
          <w:sz w:val="32"/>
          <w:szCs w:val="32"/>
          <w:highlight w:val="none"/>
          <w:lang w:eastAsia="zh-Hans"/>
        </w:rPr>
        <w:t>项目预算金额</w:t>
      </w:r>
      <w:r>
        <w:rPr>
          <w:rFonts w:hint="eastAsia" w:ascii="仿宋_GB2312"/>
          <w:color w:val="auto"/>
          <w:sz w:val="32"/>
          <w:szCs w:val="32"/>
          <w:highlight w:val="none"/>
          <w:lang w:val="en-US" w:eastAsia="zh-CN"/>
        </w:rPr>
        <w:t>94.15</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，实际到位</w:t>
      </w:r>
      <w:r>
        <w:rPr>
          <w:rFonts w:hint="eastAsia" w:ascii="仿宋_GB2312"/>
          <w:color w:val="auto"/>
          <w:sz w:val="32"/>
          <w:szCs w:val="32"/>
          <w:highlight w:val="none"/>
          <w:lang w:val="en-US" w:eastAsia="zh-CN"/>
        </w:rPr>
        <w:t>94.15</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，实际支出</w:t>
      </w:r>
      <w:r>
        <w:rPr>
          <w:rFonts w:hint="eastAsia" w:ascii="仿宋_GB2312"/>
          <w:color w:val="auto"/>
          <w:sz w:val="32"/>
          <w:szCs w:val="32"/>
          <w:highlight w:val="none"/>
          <w:lang w:val="en-US" w:eastAsia="zh-CN"/>
        </w:rPr>
        <w:t>94.15</w:t>
      </w:r>
      <w:r>
        <w:rPr>
          <w:rFonts w:hint="eastAsia" w:ascii="仿宋_GB2312"/>
          <w:color w:val="auto"/>
          <w:sz w:val="32"/>
          <w:szCs w:val="32"/>
          <w:highlight w:val="none"/>
        </w:rPr>
        <w:t>万元</w:t>
      </w:r>
      <w:r>
        <w:rPr>
          <w:rFonts w:hint="eastAsia" w:ascii="仿宋_GB2312"/>
          <w:color w:val="auto"/>
          <w:sz w:val="32"/>
          <w:szCs w:val="32"/>
          <w:highlight w:val="none"/>
          <w:lang w:eastAsia="zh-Hans"/>
        </w:rPr>
        <w:t>，预算执行率为</w:t>
      </w:r>
      <w:r>
        <w:rPr>
          <w:rFonts w:hint="eastAsia" w:ascii="仿宋_GB2312"/>
          <w:color w:val="auto"/>
          <w:sz w:val="32"/>
          <w:szCs w:val="32"/>
          <w:highlight w:val="none"/>
          <w:lang w:val="en-US" w:eastAsia="zh-CN"/>
        </w:rPr>
        <w:t>100</w:t>
      </w:r>
      <w:r>
        <w:rPr>
          <w:rFonts w:hint="eastAsia" w:ascii="仿宋_GB2312"/>
          <w:color w:val="auto"/>
          <w:sz w:val="32"/>
          <w:szCs w:val="32"/>
          <w:highlight w:val="none"/>
          <w:lang w:eastAsia="zh-Hans"/>
        </w:rPr>
        <w:t>%，项目绩效指标总体完成率为</w:t>
      </w:r>
      <w:r>
        <w:rPr>
          <w:rFonts w:hint="eastAsia" w:ascii="仿宋_GB2312"/>
          <w:color w:val="auto"/>
          <w:sz w:val="32"/>
          <w:szCs w:val="32"/>
          <w:highlight w:val="none"/>
          <w:lang w:val="en-US" w:eastAsia="zh-CN"/>
        </w:rPr>
        <w:t>100</w:t>
      </w:r>
      <w:r>
        <w:rPr>
          <w:rFonts w:hint="eastAsia" w:ascii="仿宋_GB2312"/>
          <w:color w:val="auto"/>
          <w:sz w:val="32"/>
          <w:szCs w:val="32"/>
          <w:highlight w:val="none"/>
          <w:lang w:eastAsia="zh-Hans"/>
        </w:rPr>
        <w:t>%，偏差率为</w:t>
      </w:r>
      <w:r>
        <w:rPr>
          <w:rFonts w:hint="eastAsia" w:ascii="仿宋_GB2312"/>
          <w:color w:val="auto"/>
          <w:sz w:val="32"/>
          <w:szCs w:val="32"/>
          <w:highlight w:val="none"/>
          <w:lang w:val="en-US" w:eastAsia="zh-CN"/>
        </w:rPr>
        <w:t>0</w:t>
      </w:r>
      <w:r>
        <w:rPr>
          <w:rFonts w:hint="eastAsia" w:ascii="仿宋_GB2312"/>
          <w:color w:val="auto"/>
          <w:sz w:val="32"/>
          <w:szCs w:val="32"/>
          <w:highlight w:val="none"/>
          <w:lang w:eastAsia="zh-Hans"/>
        </w:rPr>
        <w:t>%</w:t>
      </w:r>
      <w:r>
        <w:rPr>
          <w:rFonts w:hint="eastAsia" w:ascii="仿宋_GB2312"/>
          <w:color w:val="auto"/>
          <w:sz w:val="32"/>
          <w:szCs w:val="32"/>
          <w:highlight w:val="none"/>
        </w:rPr>
        <w:t>,偏差原因是</w:t>
      </w:r>
      <w:r>
        <w:rPr>
          <w:rFonts w:hint="eastAsia" w:ascii="仿宋_GB2312"/>
          <w:color w:val="auto"/>
          <w:sz w:val="32"/>
          <w:szCs w:val="32"/>
          <w:highlight w:val="none"/>
          <w:lang w:eastAsia="zh-CN"/>
        </w:rPr>
        <w:t>：</w:t>
      </w:r>
      <w:r>
        <w:rPr>
          <w:rFonts w:hint="eastAsia" w:ascii="仿宋_GB2312"/>
          <w:color w:val="auto"/>
          <w:sz w:val="32"/>
          <w:szCs w:val="32"/>
          <w:highlight w:val="none"/>
          <w:lang w:val="en-US" w:eastAsia="zh-CN"/>
        </w:rPr>
        <w:t>1、通过体检发现新增患者，</w:t>
      </w:r>
      <w:r>
        <w:rPr>
          <w:rFonts w:hint="eastAsia" w:ascii="仿宋_GB2312"/>
          <w:color w:val="auto"/>
          <w:sz w:val="32"/>
          <w:szCs w:val="32"/>
          <w:highlight w:val="none"/>
          <w:lang w:eastAsia="zh-CN"/>
        </w:rPr>
        <w:t>高血压患者增加；</w:t>
      </w:r>
      <w:r>
        <w:rPr>
          <w:rFonts w:hint="eastAsia" w:ascii="仿宋_GB2312"/>
          <w:color w:val="auto"/>
          <w:sz w:val="32"/>
          <w:szCs w:val="32"/>
          <w:highlight w:val="none"/>
          <w:lang w:val="en-US" w:eastAsia="zh-CN"/>
        </w:rPr>
        <w:t>2、通过体检发现新增患者，2型糖尿病患者增加</w:t>
      </w:r>
      <w:r>
        <w:rPr>
          <w:rFonts w:hint="eastAsia" w:ascii="仿宋_GB2312"/>
          <w:color w:val="auto"/>
          <w:sz w:val="32"/>
          <w:szCs w:val="32"/>
          <w:highlight w:val="none"/>
          <w:lang w:eastAsia="zh-CN"/>
        </w:rPr>
        <w:t>；</w:t>
      </w:r>
      <w:r>
        <w:rPr>
          <w:rFonts w:hint="eastAsia" w:ascii="仿宋_GB2312"/>
          <w:color w:val="auto"/>
          <w:sz w:val="32"/>
          <w:szCs w:val="32"/>
          <w:highlight w:val="none"/>
        </w:rPr>
        <w:t>拟采取的措施是</w:t>
      </w:r>
      <w:r>
        <w:rPr>
          <w:rFonts w:hint="eastAsia" w:ascii="仿宋_GB2312"/>
          <w:color w:val="auto"/>
          <w:sz w:val="32"/>
          <w:szCs w:val="32"/>
          <w:highlight w:val="none"/>
          <w:lang w:eastAsia="zh-CN"/>
        </w:rPr>
        <w:t>：通过全民健康体检，对慢病患者进行早发现、早诊断、早治疗，提升辖区患者健康水平。</w:t>
      </w:r>
    </w:p>
    <w:p w14:paraId="3E23EDCF">
      <w:pPr>
        <w:pStyle w:val="3"/>
        <w:numPr>
          <w:ilvl w:val="0"/>
          <w:numId w:val="6"/>
        </w:numPr>
        <w:spacing w:line="600" w:lineRule="exact"/>
        <w:ind w:firstLine="643"/>
        <w:rPr>
          <w:rFonts w:ascii="楷体_GB2312" w:eastAsia="楷体_GB2312"/>
          <w:color w:val="auto"/>
          <w:szCs w:val="32"/>
          <w:highlight w:val="none"/>
          <w:lang w:eastAsia="zh-Hans"/>
        </w:rPr>
      </w:pPr>
      <w:r>
        <w:rPr>
          <w:rFonts w:hint="eastAsia" w:ascii="楷体_GB2312" w:eastAsia="楷体_GB2312"/>
          <w:color w:val="auto"/>
          <w:szCs w:val="32"/>
          <w:highlight w:val="none"/>
          <w:lang w:eastAsia="zh-Hans"/>
        </w:rPr>
        <w:t>绩效指标偏差情况</w:t>
      </w:r>
    </w:p>
    <w:p w14:paraId="50721D14">
      <w:pPr>
        <w:spacing w:line="600" w:lineRule="exact"/>
        <w:ind w:firstLine="640"/>
        <w:rPr>
          <w:rFonts w:ascii="仿宋_GB2312"/>
          <w:color w:val="auto"/>
          <w:sz w:val="32"/>
          <w:szCs w:val="32"/>
          <w:highlight w:val="none"/>
        </w:rPr>
      </w:pP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年本单位负责实施的</w:t>
      </w:r>
      <w:r>
        <w:rPr>
          <w:rFonts w:hint="eastAsia" w:ascii="仿宋_GB2312" w:hAnsi="Times New Roman" w:cs="Times New Roman"/>
          <w:color w:val="auto"/>
          <w:sz w:val="32"/>
          <w:szCs w:val="32"/>
          <w:highlight w:val="none"/>
          <w:lang w:val="en-US" w:eastAsia="zh-CN"/>
        </w:rPr>
        <w:t>2023年中央及自治区基本公共卫生服务</w:t>
      </w:r>
      <w:r>
        <w:rPr>
          <w:rFonts w:hint="eastAsia" w:ascii="仿宋_GB2312"/>
          <w:color w:val="auto"/>
          <w:sz w:val="32"/>
          <w:szCs w:val="32"/>
          <w:highlight w:val="none"/>
        </w:rPr>
        <w:t>项目当中，</w:t>
      </w:r>
      <w:r>
        <w:rPr>
          <w:rFonts w:hint="eastAsia" w:ascii="仿宋_GB2312" w:hAnsi="仿宋_GB2312" w:cs="仿宋_GB2312"/>
          <w:color w:val="auto"/>
          <w:sz w:val="32"/>
          <w:szCs w:val="32"/>
          <w:highlight w:val="none"/>
          <w:lang w:eastAsia="zh-Hans"/>
        </w:rPr>
        <w:t>0-6岁儿童管理人数</w:t>
      </w:r>
      <w:r>
        <w:rPr>
          <w:rFonts w:hint="eastAsia" w:ascii="仿宋_GB2312"/>
          <w:color w:val="auto"/>
          <w:sz w:val="32"/>
          <w:szCs w:val="32"/>
          <w:highlight w:val="none"/>
        </w:rPr>
        <w:t>指标和</w:t>
      </w:r>
      <w:r>
        <w:rPr>
          <w:rFonts w:hint="eastAsia" w:ascii="仿宋_GB2312" w:cs="仿宋_GB2312"/>
          <w:color w:val="auto"/>
          <w:sz w:val="32"/>
          <w:szCs w:val="32"/>
          <w:highlight w:val="none"/>
        </w:rPr>
        <w:t>基本公共卫生服务支出</w:t>
      </w:r>
      <w:r>
        <w:rPr>
          <w:rFonts w:hint="eastAsia" w:ascii="仿宋_GB2312"/>
          <w:color w:val="auto"/>
          <w:sz w:val="32"/>
          <w:szCs w:val="32"/>
          <w:highlight w:val="none"/>
        </w:rPr>
        <w:t>指标的实际完成情况未能达到预算指标值，存在偏差的原因如下：</w:t>
      </w:r>
    </w:p>
    <w:p w14:paraId="0C111C54">
      <w:pPr>
        <w:numPr>
          <w:ilvl w:val="0"/>
          <w:numId w:val="0"/>
        </w:num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cs="仿宋_GB2312"/>
          <w:color w:val="auto"/>
          <w:sz w:val="32"/>
          <w:szCs w:val="32"/>
          <w:highlight w:val="none"/>
          <w:lang w:val="en-US" w:eastAsia="zh-CN"/>
        </w:rPr>
        <w:t>1.</w:t>
      </w:r>
      <w:r>
        <w:rPr>
          <w:rFonts w:hint="eastAsia" w:ascii="仿宋_GB2312" w:hAnsi="仿宋_GB2312" w:cs="仿宋_GB2312"/>
          <w:color w:val="auto"/>
          <w:sz w:val="32"/>
          <w:szCs w:val="32"/>
          <w:highlight w:val="none"/>
          <w:lang w:eastAsia="zh-Hans"/>
        </w:rPr>
        <w:t>“高血压患者管理人数（人）”指标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1546人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1502人</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CN"/>
        </w:rPr>
        <w:t>存在</w:t>
      </w:r>
      <w:r>
        <w:rPr>
          <w:rFonts w:hint="eastAsia" w:ascii="仿宋_GB2312" w:hAnsi="仿宋_GB2312" w:cs="仿宋_GB2312"/>
          <w:color w:val="auto"/>
          <w:sz w:val="32"/>
          <w:szCs w:val="32"/>
          <w:highlight w:val="none"/>
        </w:rPr>
        <w:t>偏差原因</w:t>
      </w:r>
      <w:r>
        <w:rPr>
          <w:rFonts w:hint="eastAsia" w:ascii="仿宋_GB2312" w:hAnsi="仿宋_GB2312" w:cs="仿宋_GB2312"/>
          <w:color w:val="auto"/>
          <w:sz w:val="32"/>
          <w:szCs w:val="32"/>
          <w:highlight w:val="none"/>
          <w:lang w:eastAsia="zh-CN"/>
        </w:rPr>
        <w:t>是</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我辖区内两栖居民较多，</w:t>
      </w:r>
      <w:r>
        <w:rPr>
          <w:rFonts w:hint="eastAsia" w:ascii="仿宋_GB2312" w:hAnsi="仿宋_GB2312" w:cs="仿宋_GB2312"/>
          <w:color w:val="auto"/>
          <w:sz w:val="32"/>
          <w:szCs w:val="32"/>
          <w:highlight w:val="none"/>
          <w:lang w:eastAsia="zh-CN"/>
        </w:rPr>
        <w:t>高血压</w:t>
      </w:r>
      <w:r>
        <w:rPr>
          <w:rFonts w:hint="eastAsia" w:ascii="仿宋_GB2312" w:hAnsi="仿宋_GB2312" w:cs="仿宋_GB2312"/>
          <w:color w:val="auto"/>
          <w:sz w:val="32"/>
          <w:szCs w:val="32"/>
          <w:highlight w:val="none"/>
        </w:rPr>
        <w:t>档案迁出</w:t>
      </w:r>
      <w:r>
        <w:rPr>
          <w:rFonts w:hint="eastAsia" w:ascii="仿宋_GB2312" w:hAnsi="仿宋_GB2312" w:cs="仿宋_GB2312"/>
          <w:color w:val="auto"/>
          <w:sz w:val="32"/>
          <w:szCs w:val="32"/>
          <w:highlight w:val="none"/>
          <w:lang w:eastAsia="zh-CN"/>
        </w:rPr>
        <w:t>。</w:t>
      </w:r>
    </w:p>
    <w:p w14:paraId="68878C20">
      <w:pPr>
        <w:numPr>
          <w:ilvl w:val="0"/>
          <w:numId w:val="0"/>
        </w:numPr>
        <w:spacing w:line="60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Hans"/>
        </w:rPr>
        <w:t>“0-6岁儿童管理人数（人）”指标</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578人</w:t>
      </w:r>
      <w:r>
        <w:rPr>
          <w:rFonts w:hint="eastAsia" w:ascii="仿宋_GB2312" w:hAnsi="仿宋_GB2312" w:cs="仿宋_GB2312"/>
          <w:color w:val="auto"/>
          <w:sz w:val="32"/>
          <w:szCs w:val="32"/>
          <w:highlight w:val="none"/>
          <w:lang w:eastAsia="zh-Hans"/>
        </w:rPr>
        <w:t>”</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实际完成值为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568人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存在</w:t>
      </w:r>
      <w:r>
        <w:rPr>
          <w:rFonts w:hint="eastAsia" w:ascii="仿宋_GB2312" w:hAnsi="仿宋_GB2312" w:cs="仿宋_GB2312"/>
          <w:color w:val="auto"/>
          <w:sz w:val="32"/>
          <w:szCs w:val="32"/>
          <w:highlight w:val="none"/>
        </w:rPr>
        <w:t>偏差原因</w:t>
      </w:r>
      <w:r>
        <w:rPr>
          <w:rFonts w:hint="eastAsia" w:ascii="仿宋_GB2312" w:hAnsi="仿宋_GB2312" w:cs="仿宋_GB2312"/>
          <w:color w:val="auto"/>
          <w:sz w:val="32"/>
          <w:szCs w:val="32"/>
          <w:highlight w:val="none"/>
          <w:lang w:eastAsia="zh-Hans"/>
        </w:rPr>
        <w:t>是</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由于</w:t>
      </w:r>
      <w:r>
        <w:rPr>
          <w:rFonts w:hint="eastAsia" w:ascii="仿宋_GB2312" w:hAnsi="仿宋_GB2312" w:cs="仿宋_GB2312"/>
          <w:color w:val="auto"/>
          <w:sz w:val="32"/>
          <w:szCs w:val="32"/>
          <w:highlight w:val="none"/>
        </w:rPr>
        <w:t>我辖区内两栖居民较多，儿童档案迁出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w:t>
      </w:r>
    </w:p>
    <w:bookmarkEnd w:id="15"/>
    <w:bookmarkEnd w:id="16"/>
    <w:p w14:paraId="18D1BE13">
      <w:pPr>
        <w:pStyle w:val="2"/>
        <w:spacing w:line="600" w:lineRule="exact"/>
        <w:ind w:firstLine="640"/>
        <w:rPr>
          <w:color w:val="auto"/>
          <w:szCs w:val="32"/>
          <w:highlight w:val="none"/>
        </w:rPr>
      </w:pPr>
      <w:r>
        <w:rPr>
          <w:rFonts w:hint="eastAsia"/>
          <w:color w:val="auto"/>
          <w:szCs w:val="32"/>
          <w:highlight w:val="none"/>
        </w:rPr>
        <w:t>六、主要经验及做法</w:t>
      </w:r>
      <w:r>
        <w:rPr>
          <w:color w:val="auto"/>
          <w:szCs w:val="32"/>
          <w:highlight w:val="none"/>
        </w:rPr>
        <w:t>、</w:t>
      </w:r>
      <w:r>
        <w:rPr>
          <w:rFonts w:hint="eastAsia"/>
          <w:color w:val="auto"/>
          <w:szCs w:val="32"/>
          <w:highlight w:val="none"/>
        </w:rPr>
        <w:t>存在的问题及原因分析</w:t>
      </w:r>
    </w:p>
    <w:p w14:paraId="75663F9B">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（一）主要经验及做法</w:t>
      </w:r>
    </w:p>
    <w:p w14:paraId="68594C85">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1.聚焦重点任务，推动项目工作落地落实</w:t>
      </w:r>
    </w:p>
    <w:p w14:paraId="03533607">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7026B751">
      <w:pPr>
        <w:pStyle w:val="21"/>
        <w:spacing w:line="600" w:lineRule="exact"/>
        <w:ind w:firstLine="643"/>
        <w:rPr>
          <w:rFonts w:ascii="仿宋_GB2312" w:hAnsi="仿宋_GB2312" w:cs="仿宋_GB2312"/>
          <w:color w:val="auto"/>
          <w:sz w:val="32"/>
          <w:szCs w:val="32"/>
          <w:highlight w:val="none"/>
        </w:rPr>
      </w:pPr>
      <w:r>
        <w:rPr>
          <w:rFonts w:hint="eastAsia" w:ascii="仿宋_GB2312" w:hAnsi="仿宋_GB2312" w:cs="仿宋_GB2312"/>
          <w:b/>
          <w:bCs/>
          <w:color w:val="auto"/>
          <w:sz w:val="32"/>
          <w:szCs w:val="32"/>
          <w:highlight w:val="none"/>
        </w:rPr>
        <w:t>2.坚持问题导向，加</w:t>
      </w:r>
      <w:bookmarkStart w:id="18" w:name="_GoBack"/>
      <w:r>
        <w:rPr>
          <w:rFonts w:hint="eastAsia" w:ascii="仿宋_GB2312" w:hAnsi="仿宋_GB2312" w:cs="仿宋_GB2312"/>
          <w:b/>
          <w:bCs/>
          <w:color w:val="auto"/>
          <w:sz w:val="32"/>
          <w:szCs w:val="32"/>
          <w:highlight w:val="none"/>
        </w:rPr>
        <w:t>强执行</w:t>
      </w:r>
      <w:r>
        <w:rPr>
          <w:rFonts w:hint="eastAsia" w:ascii="仿宋_GB2312" w:hAnsi="仿宋_GB2312" w:cs="仿宋_GB2312"/>
          <w:b/>
          <w:bCs/>
          <w:color w:val="auto"/>
          <w:sz w:val="32"/>
          <w:szCs w:val="32"/>
          <w:highlight w:val="none"/>
          <w:lang w:val="en-US" w:eastAsia="zh-CN"/>
        </w:rPr>
        <w:t>绩效管理</w:t>
      </w:r>
      <w:r>
        <w:rPr>
          <w:rFonts w:hint="eastAsia" w:ascii="仿宋_GB2312" w:hAnsi="仿宋_GB2312" w:cs="仿宋_GB2312"/>
          <w:b/>
          <w:bCs/>
          <w:color w:val="auto"/>
          <w:sz w:val="32"/>
          <w:szCs w:val="32"/>
          <w:highlight w:val="none"/>
        </w:rPr>
        <w:t>，提高资金效益</w:t>
      </w:r>
    </w:p>
    <w:p w14:paraId="495921D0">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紧抓预算执行动态</w:t>
      </w:r>
      <w:r>
        <w:rPr>
          <w:rFonts w:hint="eastAsia" w:ascii="仿宋_GB2312" w:hAnsi="仿宋_GB2312" w:cs="仿宋_GB2312"/>
          <w:color w:val="auto"/>
          <w:sz w:val="32"/>
          <w:szCs w:val="32"/>
          <w:highlight w:val="none"/>
          <w:lang w:val="en-US" w:eastAsia="zh-CN"/>
        </w:rPr>
        <w:t>管理</w:t>
      </w:r>
      <w:r>
        <w:rPr>
          <w:rFonts w:hint="eastAsia" w:ascii="仿宋_GB2312" w:hAnsi="仿宋_GB2312" w:cs="仿宋_GB2312"/>
          <w:color w:val="auto"/>
          <w:sz w:val="32"/>
          <w:szCs w:val="32"/>
          <w:highlight w:val="none"/>
        </w:rPr>
        <w:t>，提高资金使用效益。坚持以问题为导向，以财政部门的绩效</w:t>
      </w:r>
      <w:r>
        <w:rPr>
          <w:rFonts w:hint="eastAsia" w:ascii="仿宋_GB2312" w:hAnsi="仿宋_GB2312" w:cs="仿宋_GB2312"/>
          <w:color w:val="auto"/>
          <w:sz w:val="32"/>
          <w:szCs w:val="32"/>
          <w:highlight w:val="none"/>
          <w:lang w:val="en-US" w:eastAsia="zh-CN"/>
        </w:rPr>
        <w:t>管理</w:t>
      </w:r>
      <w:r>
        <w:rPr>
          <w:rFonts w:hint="eastAsia" w:ascii="仿宋_GB2312" w:hAnsi="仿宋_GB2312" w:cs="仿宋_GB2312"/>
          <w:color w:val="auto"/>
          <w:sz w:val="32"/>
          <w:szCs w:val="32"/>
          <w:highlight w:val="none"/>
        </w:rPr>
        <w:t>为契机，通过资料审核对资金执行进度及绩效目标实现程度开展审核，对绩效</w:t>
      </w:r>
      <w:r>
        <w:rPr>
          <w:rFonts w:hint="eastAsia" w:ascii="仿宋_GB2312" w:hAnsi="仿宋_GB2312" w:cs="仿宋_GB2312"/>
          <w:color w:val="auto"/>
          <w:sz w:val="32"/>
          <w:szCs w:val="32"/>
          <w:highlight w:val="none"/>
          <w:lang w:val="en-US" w:eastAsia="zh-CN"/>
        </w:rPr>
        <w:t>管理</w:t>
      </w:r>
      <w:r>
        <w:rPr>
          <w:rFonts w:hint="eastAsia" w:ascii="仿宋_GB2312" w:hAnsi="仿宋_GB2312" w:cs="仿宋_GB2312"/>
          <w:color w:val="auto"/>
          <w:sz w:val="32"/>
          <w:szCs w:val="32"/>
          <w:highlight w:val="none"/>
        </w:rPr>
        <w:t>中</w:t>
      </w:r>
      <w:bookmarkEnd w:id="18"/>
      <w:r>
        <w:rPr>
          <w:rFonts w:hint="eastAsia" w:ascii="仿宋_GB2312" w:hAnsi="仿宋_GB2312" w:cs="仿宋_GB2312"/>
          <w:color w:val="auto"/>
          <w:sz w:val="32"/>
          <w:szCs w:val="32"/>
          <w:highlight w:val="none"/>
        </w:rPr>
        <w:t>发现的问题及时整改，强化资金使用过程管理，有效地降低</w:t>
      </w:r>
      <w:r>
        <w:rPr>
          <w:rFonts w:hint="eastAsia" w:ascii="仿宋_GB2312" w:hAnsi="仿宋_GB2312" w:cs="仿宋_GB2312"/>
          <w:color w:val="auto"/>
          <w:sz w:val="32"/>
          <w:szCs w:val="32"/>
          <w:highlight w:val="none"/>
          <w:lang w:val="en-US" w:eastAsia="zh-CN"/>
        </w:rPr>
        <w:t>了</w:t>
      </w:r>
      <w:r>
        <w:rPr>
          <w:rFonts w:hint="eastAsia" w:ascii="仿宋_GB2312" w:hAnsi="仿宋_GB2312" w:cs="仿宋_GB2312"/>
          <w:color w:val="auto"/>
          <w:sz w:val="32"/>
          <w:szCs w:val="32"/>
          <w:highlight w:val="none"/>
        </w:rPr>
        <w:t>资金偏离政策目标的风险，提高了资金使用效益。</w:t>
      </w:r>
    </w:p>
    <w:p w14:paraId="32CA8038">
      <w:pPr>
        <w:pStyle w:val="21"/>
        <w:spacing w:line="600" w:lineRule="exact"/>
        <w:ind w:firstLine="643"/>
        <w:rPr>
          <w:rFonts w:ascii="仿宋_GB2312" w:hAnsi="仿宋_GB2312" w:cs="仿宋_GB2312"/>
          <w:b/>
          <w:bCs/>
          <w:color w:val="auto"/>
          <w:sz w:val="32"/>
          <w:szCs w:val="32"/>
          <w:highlight w:val="none"/>
        </w:rPr>
      </w:pPr>
      <w:bookmarkStart w:id="17" w:name="_Toc68364674"/>
      <w:r>
        <w:rPr>
          <w:rFonts w:ascii="仿宋_GB2312" w:hAnsi="仿宋_GB2312" w:cs="仿宋_GB2312"/>
          <w:b/>
          <w:bCs/>
          <w:color w:val="auto"/>
          <w:sz w:val="32"/>
          <w:szCs w:val="32"/>
          <w:highlight w:val="none"/>
        </w:rPr>
        <w:t>3</w:t>
      </w:r>
      <w:r>
        <w:rPr>
          <w:rFonts w:hint="eastAsia" w:ascii="仿宋_GB2312" w:hAnsi="仿宋_GB2312" w:cs="仿宋_GB2312"/>
          <w:b/>
          <w:bCs/>
          <w:color w:val="auto"/>
          <w:sz w:val="32"/>
          <w:szCs w:val="32"/>
          <w:highlight w:val="none"/>
        </w:rPr>
        <w:t>.强化绩效目标刚性约束，及时对项目进行跟踪问效</w:t>
      </w:r>
    </w:p>
    <w:p w14:paraId="119B2F02">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22D1DFA0">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（二）存在问题及原因分析</w:t>
      </w:r>
      <w:bookmarkEnd w:id="17"/>
    </w:p>
    <w:p w14:paraId="7B4786ED">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1.绩效预算认识不够充分，绩效理念有待进一步强化</w:t>
      </w:r>
    </w:p>
    <w:p w14:paraId="30188A84">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03E9AAAA">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2.绩效档案归档工作有待提高</w:t>
      </w:r>
    </w:p>
    <w:p w14:paraId="31437EE2">
      <w:pPr>
        <w:spacing w:line="600" w:lineRule="exact"/>
        <w:ind w:firstLine="640"/>
        <w:rPr>
          <w:rFonts w:ascii="仿宋_GB2312" w:hAnsi="仿宋_GB2312" w:cs="仿宋_GB2312"/>
          <w:color w:val="auto"/>
          <w:sz w:val="32"/>
          <w:highlight w:val="none"/>
        </w:rPr>
      </w:pPr>
      <w:r>
        <w:rPr>
          <w:rFonts w:hint="eastAsia" w:ascii="仿宋_GB2312" w:hAnsi="仿宋_GB2312" w:cs="仿宋_GB2312"/>
          <w:color w:val="auto"/>
          <w:kern w:val="0"/>
          <w:sz w:val="32"/>
          <w:szCs w:val="32"/>
          <w:highlight w:val="none"/>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highlight w:val="none"/>
        </w:rPr>
        <w:t>理与实际业务存在一定偏差，未发挥其综合价值。</w:t>
      </w:r>
    </w:p>
    <w:p w14:paraId="4D68C84E">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3.项目支出绩效评价存在局限，客观性有待加强</w:t>
      </w:r>
    </w:p>
    <w:p w14:paraId="2071C355">
      <w:pPr>
        <w:pStyle w:val="22"/>
        <w:spacing w:line="600" w:lineRule="exact"/>
        <w:ind w:firstLine="640"/>
        <w:rPr>
          <w:rFonts w:ascii="仿宋_GB2312" w:hAnsi="仿宋_GB2312" w:cs="仿宋_GB2312"/>
          <w:color w:val="auto"/>
          <w:kern w:val="0"/>
          <w:sz w:val="32"/>
          <w:szCs w:val="32"/>
          <w:highlight w:val="none"/>
        </w:rPr>
      </w:pPr>
      <w:r>
        <w:rPr>
          <w:rFonts w:hint="eastAsia" w:ascii="仿宋_GB2312" w:hAnsi="仿宋_GB2312" w:cs="仿宋_GB2312"/>
          <w:color w:val="auto"/>
          <w:kern w:val="0"/>
          <w:sz w:val="32"/>
          <w:szCs w:val="32"/>
          <w:highlight w:val="none"/>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2CA304B3">
      <w:pPr>
        <w:pStyle w:val="2"/>
        <w:spacing w:line="600" w:lineRule="exact"/>
        <w:ind w:firstLine="640"/>
        <w:rPr>
          <w:color w:val="auto"/>
          <w:szCs w:val="32"/>
          <w:highlight w:val="none"/>
        </w:rPr>
      </w:pPr>
      <w:r>
        <w:rPr>
          <w:rFonts w:hint="eastAsia"/>
          <w:color w:val="auto"/>
          <w:szCs w:val="32"/>
          <w:highlight w:val="none"/>
        </w:rPr>
        <w:t>七、</w:t>
      </w:r>
      <w:r>
        <w:rPr>
          <w:rFonts w:hint="eastAsia"/>
          <w:color w:val="auto"/>
          <w:szCs w:val="32"/>
          <w:highlight w:val="none"/>
          <w:lang w:eastAsia="zh-Hans"/>
        </w:rPr>
        <w:t>有关建议</w:t>
      </w:r>
    </w:p>
    <w:p w14:paraId="20ECC9D1">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1.加强培训，提高相关人员工作水平</w:t>
      </w:r>
    </w:p>
    <w:p w14:paraId="31E5EEE9">
      <w:pPr>
        <w:pStyle w:val="21"/>
        <w:spacing w:line="600" w:lineRule="exact"/>
        <w:ind w:firstLine="640"/>
        <w:rPr>
          <w:color w:val="auto"/>
          <w:sz w:val="32"/>
          <w:szCs w:val="32"/>
          <w:highlight w:val="none"/>
        </w:rPr>
      </w:pPr>
      <w:r>
        <w:rPr>
          <w:rFonts w:hint="eastAsia"/>
          <w:color w:val="auto"/>
          <w:sz w:val="32"/>
          <w:szCs w:val="32"/>
          <w:highlight w:val="none"/>
        </w:rPr>
        <w:t>采取多种培训形式对单位财务人员、业务科室人员进行集中培训，进一步树牢绩效观念，提高本单位工作人员的绩效管理能力和工作水平，为预算绩效管理相关工作的顺利开展提供保障。</w:t>
      </w:r>
    </w:p>
    <w:p w14:paraId="52A13B57">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2.扎实推进档案规范化建设，提升档案管理水平</w:t>
      </w:r>
    </w:p>
    <w:p w14:paraId="58330DB8">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025EB3CF">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3. 高度重视，加强领导</w:t>
      </w:r>
    </w:p>
    <w:p w14:paraId="5D5D1B9D">
      <w:pPr>
        <w:pStyle w:val="21"/>
        <w:spacing w:line="600" w:lineRule="exact"/>
        <w:ind w:firstLine="640"/>
        <w:rPr>
          <w:rFonts w:hint="eastAsia" w:ascii="仿宋_GB2312" w:hAnsi="仿宋_GB2312" w:cs="仿宋_GB2312"/>
          <w:color w:val="auto"/>
          <w:sz w:val="32"/>
          <w:szCs w:val="32"/>
          <w:highlight w:val="none"/>
        </w:rPr>
      </w:pPr>
      <w:r>
        <w:rPr>
          <w:rFonts w:hint="eastAsia" w:ascii="仿宋_GB2312"/>
          <w:color w:val="auto"/>
          <w:sz w:val="32"/>
          <w:szCs w:val="32"/>
          <w:highlight w:val="none"/>
        </w:rPr>
        <w:t>高度重视，加强领导，精心组织。项目</w:t>
      </w:r>
      <w:r>
        <w:rPr>
          <w:rFonts w:hint="eastAsia" w:ascii="仿宋_GB2312"/>
          <w:color w:val="auto"/>
          <w:sz w:val="32"/>
          <w:szCs w:val="32"/>
          <w:highlight w:val="none"/>
          <w:lang w:eastAsia="zh-CN"/>
        </w:rPr>
        <w:t>绩效评价领导小组对</w:t>
      </w:r>
      <w:r>
        <w:rPr>
          <w:rFonts w:hint="eastAsia" w:ascii="仿宋_GB2312"/>
          <w:color w:val="auto"/>
          <w:sz w:val="32"/>
          <w:szCs w:val="32"/>
          <w:highlight w:val="none"/>
        </w:rPr>
        <w:t>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highlight w:val="none"/>
        </w:rPr>
        <w:t>客观性和公正性。</w:t>
      </w:r>
    </w:p>
    <w:p w14:paraId="03614D76">
      <w:pPr>
        <w:pStyle w:val="21"/>
        <w:spacing w:line="600" w:lineRule="exact"/>
        <w:ind w:firstLine="643"/>
        <w:rPr>
          <w:rFonts w:hint="default" w:ascii="仿宋_GB2312"/>
          <w:b/>
          <w:bCs/>
          <w:color w:val="auto"/>
          <w:sz w:val="32"/>
          <w:szCs w:val="32"/>
          <w:highlight w:val="none"/>
        </w:rPr>
      </w:pPr>
      <w:r>
        <w:rPr>
          <w:rFonts w:hint="eastAsia" w:ascii="仿宋_GB2312"/>
          <w:b/>
          <w:bCs/>
          <w:color w:val="auto"/>
          <w:sz w:val="32"/>
          <w:szCs w:val="32"/>
          <w:highlight w:val="none"/>
          <w:lang w:val="en-US" w:eastAsia="zh-CN"/>
        </w:rPr>
        <w:t>4.</w:t>
      </w:r>
      <w:r>
        <w:rPr>
          <w:rFonts w:hint="default" w:ascii="仿宋_GB2312"/>
          <w:b/>
          <w:bCs/>
          <w:color w:val="auto"/>
          <w:sz w:val="32"/>
          <w:szCs w:val="32"/>
          <w:highlight w:val="none"/>
        </w:rPr>
        <w:t>加大宣传力度，强化绩效理念</w:t>
      </w:r>
    </w:p>
    <w:p w14:paraId="1111866E">
      <w:pPr>
        <w:pStyle w:val="21"/>
        <w:spacing w:line="600" w:lineRule="exact"/>
        <w:ind w:firstLine="640"/>
        <w:rPr>
          <w:rFonts w:hint="eastAsia" w:ascii="仿宋_GB2312"/>
          <w:color w:val="auto"/>
          <w:sz w:val="32"/>
          <w:szCs w:val="32"/>
          <w:highlight w:val="none"/>
        </w:rPr>
      </w:pPr>
      <w:r>
        <w:rPr>
          <w:rFonts w:hint="default" w:ascii="仿宋_GB2312"/>
          <w:color w:val="auto"/>
          <w:sz w:val="32"/>
          <w:szCs w:val="32"/>
          <w:highlight w:val="none"/>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7A860773">
      <w:pPr>
        <w:pStyle w:val="21"/>
        <w:numPr>
          <w:ilvl w:val="0"/>
          <w:numId w:val="7"/>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加强业务培训，提升专业能力</w:t>
      </w:r>
    </w:p>
    <w:p w14:paraId="10226022">
      <w:pPr>
        <w:pStyle w:val="21"/>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00813865">
      <w:pPr>
        <w:pStyle w:val="21"/>
        <w:numPr>
          <w:ilvl w:val="0"/>
          <w:numId w:val="7"/>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健全管理机制，促进深度融合</w:t>
      </w:r>
    </w:p>
    <w:p w14:paraId="26380A7E">
      <w:pPr>
        <w:pStyle w:val="21"/>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目前县级财政部门的预算股、资金管理股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4CE29152">
      <w:pPr>
        <w:pStyle w:val="2"/>
        <w:spacing w:line="600" w:lineRule="exact"/>
        <w:ind w:firstLine="640"/>
        <w:rPr>
          <w:color w:val="auto"/>
          <w:szCs w:val="32"/>
          <w:highlight w:val="none"/>
        </w:rPr>
      </w:pPr>
      <w:r>
        <w:rPr>
          <w:rFonts w:hint="eastAsia"/>
          <w:color w:val="auto"/>
          <w:szCs w:val="32"/>
          <w:highlight w:val="none"/>
        </w:rPr>
        <w:t>八、其他需要说明的问题</w:t>
      </w:r>
    </w:p>
    <w:p w14:paraId="076250B5">
      <w:pPr>
        <w:pStyle w:val="21"/>
        <w:spacing w:line="600" w:lineRule="exact"/>
        <w:ind w:firstLine="584"/>
        <w:rPr>
          <w:rFonts w:ascii="仿宋" w:hAnsi="仿宋" w:eastAsia="仿宋" w:cs="仿宋"/>
          <w:color w:val="auto"/>
          <w:sz w:val="30"/>
          <w:szCs w:val="30"/>
          <w:highlight w:val="none"/>
        </w:rPr>
      </w:pPr>
      <w:r>
        <w:rPr>
          <w:rFonts w:hint="eastAsia" w:ascii="仿宋" w:hAnsi="仿宋" w:eastAsia="仿宋" w:cs="仿宋"/>
          <w:color w:val="auto"/>
          <w:spacing w:val="-4"/>
          <w:sz w:val="30"/>
          <w:szCs w:val="30"/>
          <w:highlight w:val="none"/>
        </w:rPr>
        <w:t>无其他说明内容。</w:t>
      </w:r>
    </w:p>
    <w:p w14:paraId="3346D034">
      <w:pPr>
        <w:pStyle w:val="21"/>
        <w:spacing w:line="600" w:lineRule="exact"/>
        <w:ind w:firstLine="624"/>
        <w:rPr>
          <w:rFonts w:hint="eastAsia" w:ascii="仿宋_GB2312"/>
          <w:color w:val="auto"/>
          <w:sz w:val="32"/>
          <w:szCs w:val="32"/>
          <w:highlight w:val="none"/>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方正舒体"/>
    <w:panose1 w:val="02010601030101010101"/>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54DD6">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75534F47">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75534F47">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0A1A1">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95B67">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69CEE">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5D5C5">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BB0CD">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4YjkzNDc4ODgxYjUxYTExNjJhOTEwZTJkYThhMDU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69A088E"/>
    <w:rsid w:val="073F1F2E"/>
    <w:rsid w:val="08233696"/>
    <w:rsid w:val="08D1714F"/>
    <w:rsid w:val="0F8143FC"/>
    <w:rsid w:val="0FA57681"/>
    <w:rsid w:val="12F1313F"/>
    <w:rsid w:val="169603B5"/>
    <w:rsid w:val="1804554E"/>
    <w:rsid w:val="22F02621"/>
    <w:rsid w:val="232C0139"/>
    <w:rsid w:val="245E1E24"/>
    <w:rsid w:val="2600781F"/>
    <w:rsid w:val="2AEA4B61"/>
    <w:rsid w:val="2E483E7E"/>
    <w:rsid w:val="2FF22A22"/>
    <w:rsid w:val="338A1C5E"/>
    <w:rsid w:val="33944516"/>
    <w:rsid w:val="3A5A0149"/>
    <w:rsid w:val="3A8166F7"/>
    <w:rsid w:val="3B551C29"/>
    <w:rsid w:val="3BAB4D14"/>
    <w:rsid w:val="3C687FDC"/>
    <w:rsid w:val="3CA3103C"/>
    <w:rsid w:val="3E2D1506"/>
    <w:rsid w:val="3F5813C5"/>
    <w:rsid w:val="44BC3DB6"/>
    <w:rsid w:val="45FB5A1D"/>
    <w:rsid w:val="49A75425"/>
    <w:rsid w:val="49C128B7"/>
    <w:rsid w:val="4A915D4C"/>
    <w:rsid w:val="4D372C3B"/>
    <w:rsid w:val="52783FF0"/>
    <w:rsid w:val="54EA44D2"/>
    <w:rsid w:val="557D01FC"/>
    <w:rsid w:val="57A47002"/>
    <w:rsid w:val="5D7317A1"/>
    <w:rsid w:val="5EDF9208"/>
    <w:rsid w:val="5F8672E6"/>
    <w:rsid w:val="5FAFB075"/>
    <w:rsid w:val="62865B5C"/>
    <w:rsid w:val="64E04304"/>
    <w:rsid w:val="68291A1A"/>
    <w:rsid w:val="6874548F"/>
    <w:rsid w:val="691B1594"/>
    <w:rsid w:val="6B2A5D00"/>
    <w:rsid w:val="6F0D6C22"/>
    <w:rsid w:val="6FD35114"/>
    <w:rsid w:val="6FE70C15"/>
    <w:rsid w:val="6FF38B9B"/>
    <w:rsid w:val="73D9A77D"/>
    <w:rsid w:val="73F90A54"/>
    <w:rsid w:val="7657F55C"/>
    <w:rsid w:val="76D2301A"/>
    <w:rsid w:val="77861774"/>
    <w:rsid w:val="77978BBA"/>
    <w:rsid w:val="77FD56A3"/>
    <w:rsid w:val="786D3A99"/>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autoRedefine/>
    <w:qFormat/>
    <w:uiPriority w:val="0"/>
    <w:pPr>
      <w:keepNext/>
      <w:keepLines/>
      <w:ind w:firstLine="964"/>
      <w:outlineLvl w:val="0"/>
    </w:pPr>
    <w:rPr>
      <w:rFonts w:eastAsia="黑体"/>
      <w:kern w:val="44"/>
      <w:sz w:val="32"/>
      <w:szCs w:val="22"/>
    </w:rPr>
  </w:style>
  <w:style w:type="paragraph" w:styleId="3">
    <w:name w:val="heading 2"/>
    <w:basedOn w:val="1"/>
    <w:next w:val="1"/>
    <w:autoRedefine/>
    <w:unhideWhenUsed/>
    <w:qFormat/>
    <w:uiPriority w:val="0"/>
    <w:pPr>
      <w:keepNext/>
      <w:keepLines/>
      <w:ind w:firstLine="964"/>
      <w:outlineLvl w:val="1"/>
    </w:pPr>
    <w:rPr>
      <w:rFonts w:ascii="Arial" w:hAnsi="Arial" w:eastAsia="楷体"/>
      <w:b/>
      <w:sz w:val="32"/>
    </w:rPr>
  </w:style>
  <w:style w:type="paragraph" w:styleId="4">
    <w:name w:val="heading 3"/>
    <w:basedOn w:val="1"/>
    <w:next w:val="1"/>
    <w:autoRedefine/>
    <w:qFormat/>
    <w:uiPriority w:val="99"/>
    <w:pPr>
      <w:keepNext/>
      <w:keepLines/>
      <w:ind w:firstLine="883"/>
      <w:outlineLvl w:val="2"/>
    </w:pPr>
    <w:rPr>
      <w:rFonts w:ascii="仿宋_GB2312" w:hAnsi="仿宋_GB2312"/>
      <w:b/>
      <w:bCs/>
      <w:kern w:val="0"/>
      <w:szCs w:val="32"/>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autoRedefine/>
    <w:unhideWhenUsed/>
    <w:qFormat/>
    <w:uiPriority w:val="0"/>
    <w:pPr>
      <w:spacing w:before="240" w:after="240" w:line="360" w:lineRule="auto"/>
      <w:jc w:val="center"/>
    </w:pPr>
    <w:rPr>
      <w:b/>
      <w:sz w:val="44"/>
    </w:rPr>
  </w:style>
  <w:style w:type="paragraph" w:styleId="7">
    <w:name w:val="Balloon Text"/>
    <w:basedOn w:val="1"/>
    <w:link w:val="17"/>
    <w:autoRedefine/>
    <w:qFormat/>
    <w:uiPriority w:val="0"/>
    <w:pPr>
      <w:spacing w:line="240" w:lineRule="auto"/>
    </w:pPr>
    <w:rPr>
      <w:sz w:val="18"/>
      <w:szCs w:val="18"/>
    </w:rPr>
  </w:style>
  <w:style w:type="paragraph" w:styleId="8">
    <w:name w:val="footer"/>
    <w:basedOn w:val="1"/>
    <w:link w:val="20"/>
    <w:autoRedefine/>
    <w:qFormat/>
    <w:uiPriority w:val="99"/>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autoRedefine/>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autoRedefine/>
    <w:unhideWhenUsed/>
    <w:qFormat/>
    <w:uiPriority w:val="99"/>
    <w:pPr>
      <w:ind w:firstLine="420"/>
    </w:pPr>
  </w:style>
  <w:style w:type="paragraph" w:customStyle="1" w:styleId="19">
    <w:name w:val="标题2"/>
    <w:basedOn w:val="3"/>
    <w:autoRedefine/>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autoRedefine/>
    <w:qFormat/>
    <w:uiPriority w:val="99"/>
    <w:rPr>
      <w:rFonts w:eastAsia="仿宋_GB2312"/>
      <w:kern w:val="2"/>
      <w:sz w:val="18"/>
      <w:szCs w:val="24"/>
    </w:rPr>
  </w:style>
  <w:style w:type="paragraph" w:customStyle="1" w:styleId="21">
    <w:name w:val="闻政-正文段落文字"/>
    <w:basedOn w:val="1"/>
    <w:link w:val="26"/>
    <w:autoRedefine/>
    <w:qFormat/>
    <w:uiPriority w:val="3"/>
    <w:pPr>
      <w:spacing w:line="500" w:lineRule="exact"/>
      <w:ind w:firstLine="200"/>
    </w:pPr>
    <w:rPr>
      <w:kern w:val="0"/>
      <w:szCs w:val="28"/>
    </w:rPr>
  </w:style>
  <w:style w:type="paragraph" w:customStyle="1" w:styleId="22">
    <w:name w:val="_Style 1"/>
    <w:basedOn w:val="1"/>
    <w:autoRedefine/>
    <w:qFormat/>
    <w:uiPriority w:val="34"/>
    <w:pPr>
      <w:ind w:firstLine="420"/>
    </w:pPr>
  </w:style>
  <w:style w:type="paragraph" w:customStyle="1" w:styleId="23">
    <w:name w:val="闻政-正文二级标题"/>
    <w:basedOn w:val="3"/>
    <w:next w:val="21"/>
    <w:autoRedefine/>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autoRedefine/>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autoRedefine/>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autoRedefine/>
    <w:qFormat/>
    <w:uiPriority w:val="3"/>
    <w:rPr>
      <w:rFonts w:eastAsia="仿宋_GB2312"/>
      <w:sz w:val="28"/>
      <w:szCs w:val="28"/>
    </w:rPr>
  </w:style>
  <w:style w:type="paragraph" w:styleId="27">
    <w:name w:val="List Paragraph"/>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9590</Words>
  <Characters>10201</Characters>
  <Lines>62</Lines>
  <Paragraphs>17</Paragraphs>
  <TotalTime>103</TotalTime>
  <ScaleCrop>false</ScaleCrop>
  <LinksUpToDate>false</LinksUpToDate>
  <CharactersWithSpaces>10217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南山南</cp:lastModifiedBy>
  <cp:lastPrinted>2021-03-04T11:49:00Z</cp:lastPrinted>
  <dcterms:modified xsi:type="dcterms:W3CDTF">2024-11-18T02:27:31Z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3A4BC41699934F90B21450F214F5C33C_13</vt:lpwstr>
  </property>
</Properties>
</file>