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沙湾市西戈壁镇卫生院</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snapToGrid w:val="0"/>
        <w:spacing w:line="520" w:lineRule="exact"/>
        <w:ind w:firstLine="640" w:firstLineChars="200"/>
        <w:rPr>
          <w:rFonts w:hint="eastAsia" w:ascii="仿宋_GB2312" w:eastAsia="仿宋_GB2312"/>
          <w:color w:val="auto"/>
          <w:sz w:val="32"/>
          <w:szCs w:val="32"/>
          <w:highlight w:val="none"/>
        </w:rPr>
      </w:pPr>
      <w:r>
        <w:rPr>
          <w:rFonts w:hint="eastAsia" w:ascii="仿宋_GB2312" w:hAnsi="仿宋" w:eastAsia="仿宋_GB2312" w:cs="Times New Roman"/>
          <w:color w:val="auto"/>
          <w:sz w:val="32"/>
          <w:szCs w:val="32"/>
          <w:u w:val="none"/>
          <w:lang w:val="en-US" w:eastAsia="zh-CN"/>
        </w:rPr>
        <w:t>主要负责辖区内广大农牧民的基本医疗，生育服务，预防保健，新型农牧区医保医疗的服务管理，乡村统一管理，乡村医生的培训和村卫生室的管理，公共卫生监督协管，公共卫生事件的处理，恢复期病人的康复治疗与康复指导，健康教育等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snapToGrid w:val="0"/>
        <w:spacing w:line="520" w:lineRule="exact"/>
        <w:ind w:firstLine="640" w:firstLineChars="200"/>
        <w:rPr>
          <w:rFonts w:hint="eastAsia" w:ascii="仿宋_GB2312" w:hAnsi="仿宋" w:eastAsia="仿宋_GB2312" w:cs="Times New Roman"/>
          <w:color w:val="auto"/>
          <w:sz w:val="32"/>
          <w:szCs w:val="32"/>
          <w:u w:val="none"/>
          <w:lang w:val="en-US" w:eastAsia="zh-CN"/>
        </w:rPr>
      </w:pPr>
      <w:r>
        <w:rPr>
          <w:rFonts w:hint="eastAsia" w:ascii="仿宋_GB2312" w:hAnsi="仿宋" w:eastAsia="仿宋_GB2312" w:cs="Times New Roman"/>
          <w:color w:val="auto"/>
          <w:sz w:val="32"/>
          <w:szCs w:val="32"/>
          <w:u w:val="none"/>
          <w:lang w:val="en-US" w:eastAsia="zh-CN"/>
        </w:rPr>
        <w:t>沙湾市西戈壁镇卫生院2023年度，实有人数</w:t>
      </w:r>
      <w:r>
        <w:rPr>
          <w:rFonts w:hint="eastAsia" w:ascii="仿宋_GB2312" w:hAnsi="仿宋" w:eastAsia="仿宋_GB2312" w:cs="Times New Roman"/>
          <w:color w:val="auto"/>
          <w:sz w:val="32"/>
          <w:szCs w:val="32"/>
          <w:u w:val="none"/>
          <w:lang w:val="zh-CN" w:eastAsia="zh-CN"/>
        </w:rPr>
        <w:t>28</w:t>
      </w:r>
      <w:r>
        <w:rPr>
          <w:rFonts w:hint="eastAsia" w:ascii="仿宋_GB2312" w:hAnsi="仿宋" w:eastAsia="仿宋_GB2312" w:cs="Times New Roman"/>
          <w:color w:val="auto"/>
          <w:sz w:val="32"/>
          <w:szCs w:val="32"/>
          <w:u w:val="none"/>
          <w:lang w:val="en-US" w:eastAsia="zh-CN"/>
        </w:rPr>
        <w:t>人，其中：在职人员</w:t>
      </w:r>
      <w:r>
        <w:rPr>
          <w:rFonts w:hint="eastAsia" w:ascii="仿宋_GB2312" w:hAnsi="仿宋" w:eastAsia="仿宋_GB2312" w:cs="Times New Roman"/>
          <w:color w:val="auto"/>
          <w:sz w:val="32"/>
          <w:szCs w:val="32"/>
          <w:u w:val="none"/>
          <w:lang w:val="zh-CN" w:eastAsia="zh-CN"/>
        </w:rPr>
        <w:t>19</w:t>
      </w:r>
      <w:r>
        <w:rPr>
          <w:rFonts w:hint="eastAsia" w:ascii="仿宋_GB2312" w:hAnsi="仿宋" w:eastAsia="仿宋_GB2312" w:cs="Times New Roman"/>
          <w:color w:val="auto"/>
          <w:sz w:val="32"/>
          <w:szCs w:val="32"/>
          <w:u w:val="none"/>
          <w:lang w:val="en-US" w:eastAsia="zh-CN"/>
        </w:rPr>
        <w:t>人，离休人员</w:t>
      </w:r>
      <w:r>
        <w:rPr>
          <w:rFonts w:hint="eastAsia" w:ascii="仿宋_GB2312" w:hAnsi="仿宋" w:eastAsia="仿宋_GB2312" w:cs="Times New Roman"/>
          <w:color w:val="auto"/>
          <w:sz w:val="32"/>
          <w:szCs w:val="32"/>
          <w:u w:val="none"/>
          <w:lang w:val="zh-CN" w:eastAsia="zh-CN"/>
        </w:rPr>
        <w:t>0</w:t>
      </w:r>
      <w:r>
        <w:rPr>
          <w:rFonts w:hint="eastAsia" w:ascii="仿宋_GB2312" w:hAnsi="仿宋" w:eastAsia="仿宋_GB2312" w:cs="Times New Roman"/>
          <w:color w:val="auto"/>
          <w:sz w:val="32"/>
          <w:szCs w:val="32"/>
          <w:u w:val="none"/>
          <w:lang w:val="en-US" w:eastAsia="zh-CN"/>
        </w:rPr>
        <w:t>人，退休人员</w:t>
      </w:r>
      <w:r>
        <w:rPr>
          <w:rFonts w:hint="eastAsia" w:ascii="仿宋_GB2312" w:hAnsi="仿宋" w:eastAsia="仿宋_GB2312" w:cs="Times New Roman"/>
          <w:color w:val="auto"/>
          <w:sz w:val="32"/>
          <w:szCs w:val="32"/>
          <w:u w:val="none"/>
          <w:lang w:val="zh-CN" w:eastAsia="zh-CN"/>
        </w:rPr>
        <w:t>9</w:t>
      </w:r>
      <w:r>
        <w:rPr>
          <w:rFonts w:hint="eastAsia" w:ascii="仿宋_GB2312" w:hAnsi="仿宋" w:eastAsia="仿宋_GB2312" w:cs="Times New Roman"/>
          <w:color w:val="auto"/>
          <w:sz w:val="32"/>
          <w:szCs w:val="32"/>
          <w:u w:val="none"/>
          <w:lang w:val="en-US" w:eastAsia="zh-CN"/>
        </w:rPr>
        <w:t>人。</w:t>
      </w:r>
    </w:p>
    <w:p>
      <w:pPr>
        <w:snapToGrid w:val="0"/>
        <w:spacing w:line="520" w:lineRule="exact"/>
        <w:ind w:firstLine="640" w:firstLineChars="200"/>
        <w:rPr>
          <w:rFonts w:hint="eastAsia" w:ascii="仿宋_GB2312" w:hAnsi="仿宋" w:eastAsia="仿宋_GB2312" w:cs="Times New Roman"/>
          <w:color w:val="auto"/>
          <w:sz w:val="32"/>
          <w:szCs w:val="32"/>
          <w:u w:val="none"/>
          <w:lang w:val="en-US" w:eastAsia="zh-CN"/>
        </w:rPr>
      </w:pPr>
      <w:bookmarkStart w:id="6" w:name="_Toc3092"/>
      <w:bookmarkStart w:id="7" w:name="_Toc29374"/>
      <w:r>
        <w:rPr>
          <w:rFonts w:hint="eastAsia" w:ascii="仿宋_GB2312" w:hAnsi="仿宋" w:eastAsia="仿宋_GB2312" w:cs="Times New Roman"/>
          <w:color w:val="auto"/>
          <w:sz w:val="32"/>
          <w:szCs w:val="32"/>
          <w:u w:val="none"/>
          <w:lang w:val="en-US" w:eastAsia="zh-CN"/>
        </w:rPr>
        <w:t>单位无下属预算单位，下设10个处室，分别是：药房、治疗室、护理办、公共卫生办公室、化验室、防疫室、妇幼办公室、B超室、医保办公室、财务室。</w:t>
      </w:r>
    </w:p>
    <w:p>
      <w:pPr>
        <w:snapToGrid w:val="0"/>
        <w:spacing w:line="520" w:lineRule="exact"/>
        <w:ind w:firstLine="640" w:firstLineChars="200"/>
        <w:rPr>
          <w:rFonts w:hint="eastAsia" w:ascii="仿宋_GB2312" w:hAnsi="仿宋" w:eastAsia="仿宋_GB2312" w:cs="Times New Roman"/>
          <w:color w:val="auto"/>
          <w:sz w:val="32"/>
          <w:szCs w:val="32"/>
          <w:u w:val="none"/>
          <w:lang w:val="en-US" w:eastAsia="zh-CN"/>
        </w:rPr>
      </w:pPr>
    </w:p>
    <w:p>
      <w:pPr>
        <w:snapToGrid w:val="0"/>
        <w:spacing w:line="520" w:lineRule="exact"/>
        <w:ind w:firstLine="640" w:firstLineChars="200"/>
        <w:rPr>
          <w:rFonts w:hint="eastAsia" w:ascii="仿宋_GB2312" w:hAnsi="仿宋" w:eastAsia="仿宋_GB2312" w:cs="Times New Roman"/>
          <w:color w:val="auto"/>
          <w:sz w:val="32"/>
          <w:szCs w:val="32"/>
          <w:u w:val="none"/>
          <w:lang w:val="en-US" w:eastAsia="zh-CN"/>
        </w:rPr>
      </w:pPr>
    </w:p>
    <w:p>
      <w:pPr>
        <w:snapToGrid w:val="0"/>
        <w:spacing w:line="520" w:lineRule="exact"/>
        <w:ind w:firstLine="640" w:firstLineChars="200"/>
        <w:rPr>
          <w:rFonts w:hint="eastAsia" w:ascii="仿宋_GB2312" w:hAnsi="仿宋" w:eastAsia="仿宋_GB2312" w:cs="Times New Roman"/>
          <w:color w:val="auto"/>
          <w:sz w:val="32"/>
          <w:szCs w:val="32"/>
          <w:u w:val="none"/>
          <w:lang w:val="en-US" w:eastAsia="zh-CN"/>
        </w:rPr>
      </w:pPr>
    </w:p>
    <w:p>
      <w:pPr>
        <w:snapToGrid w:val="0"/>
        <w:spacing w:line="520" w:lineRule="exact"/>
        <w:ind w:firstLine="640" w:firstLineChars="200"/>
        <w:rPr>
          <w:rFonts w:hint="eastAsia" w:ascii="仿宋_GB2312" w:hAnsi="仿宋" w:eastAsia="仿宋_GB2312" w:cs="Times New Roman"/>
          <w:color w:val="auto"/>
          <w:sz w:val="32"/>
          <w:szCs w:val="32"/>
          <w:u w:val="none"/>
          <w:lang w:val="en-US" w:eastAsia="zh-CN"/>
        </w:rPr>
      </w:pPr>
    </w:p>
    <w:p>
      <w:pPr>
        <w:snapToGrid w:val="0"/>
        <w:spacing w:line="520" w:lineRule="exact"/>
        <w:ind w:firstLine="640" w:firstLineChars="200"/>
        <w:rPr>
          <w:rFonts w:hint="eastAsia" w:ascii="仿宋_GB2312" w:hAnsi="仿宋" w:eastAsia="仿宋_GB2312" w:cs="Times New Roman"/>
          <w:color w:val="auto"/>
          <w:sz w:val="32"/>
          <w:szCs w:val="32"/>
          <w:u w:val="none"/>
          <w:lang w:val="en-US" w:eastAsia="zh-CN"/>
        </w:rPr>
      </w:pPr>
    </w:p>
    <w:p>
      <w:pPr>
        <w:snapToGrid w:val="0"/>
        <w:spacing w:line="520" w:lineRule="exact"/>
        <w:ind w:firstLine="640" w:firstLineChars="200"/>
        <w:rPr>
          <w:rFonts w:hint="eastAsia" w:ascii="仿宋_GB2312" w:hAnsi="仿宋" w:eastAsia="仿宋_GB2312" w:cs="Times New Roman"/>
          <w:color w:val="auto"/>
          <w:sz w:val="32"/>
          <w:szCs w:val="32"/>
          <w:u w:val="none"/>
          <w:lang w:val="en-US" w:eastAsia="zh-CN"/>
        </w:rPr>
      </w:pPr>
    </w:p>
    <w:p>
      <w:pPr>
        <w:snapToGrid w:val="0"/>
        <w:spacing w:line="520" w:lineRule="exact"/>
        <w:ind w:firstLine="640" w:firstLineChars="200"/>
        <w:rPr>
          <w:rFonts w:hint="eastAsia" w:ascii="仿宋_GB2312" w:hAnsi="仿宋" w:eastAsia="仿宋_GB2312" w:cs="Times New Roman"/>
          <w:color w:val="auto"/>
          <w:sz w:val="32"/>
          <w:szCs w:val="32"/>
          <w:u w:val="none"/>
          <w:lang w:val="en-US" w:eastAsia="zh-CN"/>
        </w:rPr>
      </w:pPr>
    </w:p>
    <w:p>
      <w:pPr>
        <w:snapToGrid w:val="0"/>
        <w:spacing w:line="520" w:lineRule="exact"/>
        <w:ind w:firstLine="640" w:firstLineChars="200"/>
        <w:rPr>
          <w:rFonts w:hint="eastAsia" w:ascii="仿宋_GB2312" w:hAnsi="仿宋" w:eastAsia="仿宋_GB2312" w:cs="Times New Roman"/>
          <w:color w:val="auto"/>
          <w:sz w:val="32"/>
          <w:szCs w:val="32"/>
          <w:u w:val="none"/>
          <w:lang w:val="en-US" w:eastAsia="zh-CN"/>
        </w:rPr>
      </w:pPr>
    </w:p>
    <w:p>
      <w:pPr>
        <w:snapToGrid w:val="0"/>
        <w:spacing w:line="520" w:lineRule="exact"/>
        <w:ind w:firstLine="640" w:firstLineChars="200"/>
        <w:rPr>
          <w:rFonts w:hint="eastAsia" w:ascii="仿宋_GB2312" w:hAnsi="仿宋" w:eastAsia="仿宋_GB2312" w:cs="Times New Roman"/>
          <w:color w:val="auto"/>
          <w:sz w:val="32"/>
          <w:szCs w:val="32"/>
          <w:u w:val="none"/>
          <w:lang w:val="en-US" w:eastAsia="zh-CN"/>
        </w:rPr>
      </w:pPr>
    </w:p>
    <w:p>
      <w:pPr>
        <w:snapToGrid w:val="0"/>
        <w:spacing w:line="520" w:lineRule="exact"/>
        <w:ind w:firstLine="640" w:firstLineChars="200"/>
        <w:rPr>
          <w:rFonts w:hint="eastAsia" w:ascii="仿宋_GB2312" w:hAnsi="仿宋" w:eastAsia="仿宋_GB2312" w:cs="Times New Roman"/>
          <w:color w:val="auto"/>
          <w:sz w:val="32"/>
          <w:szCs w:val="32"/>
          <w:u w:val="none"/>
          <w:lang w:val="en-US" w:eastAsia="zh-CN"/>
        </w:rPr>
      </w:pPr>
    </w:p>
    <w:p>
      <w:pPr>
        <w:snapToGrid w:val="0"/>
        <w:spacing w:line="520" w:lineRule="exact"/>
        <w:ind w:firstLine="640" w:firstLineChars="200"/>
        <w:rPr>
          <w:rFonts w:hint="eastAsia" w:ascii="仿宋_GB2312" w:hAnsi="仿宋" w:eastAsia="仿宋_GB2312" w:cs="Times New Roman"/>
          <w:color w:val="auto"/>
          <w:sz w:val="32"/>
          <w:szCs w:val="32"/>
          <w:u w:val="none"/>
          <w:lang w:val="en-US" w:eastAsia="zh-CN"/>
        </w:rPr>
      </w:pPr>
    </w:p>
    <w:p>
      <w:pPr>
        <w:snapToGrid w:val="0"/>
        <w:spacing w:line="520" w:lineRule="exact"/>
        <w:ind w:firstLine="640" w:firstLineChars="200"/>
        <w:rPr>
          <w:rFonts w:hint="eastAsia" w:ascii="仿宋_GB2312" w:hAnsi="仿宋" w:eastAsia="仿宋_GB2312" w:cs="Times New Roman"/>
          <w:color w:val="auto"/>
          <w:sz w:val="32"/>
          <w:szCs w:val="32"/>
          <w:u w:val="none"/>
          <w:lang w:val="en-US" w:eastAsia="zh-CN"/>
        </w:rPr>
      </w:pPr>
    </w:p>
    <w:p>
      <w:pPr>
        <w:snapToGrid w:val="0"/>
        <w:spacing w:line="520" w:lineRule="exact"/>
        <w:ind w:firstLine="640" w:firstLineChars="200"/>
        <w:rPr>
          <w:rFonts w:hint="eastAsia" w:ascii="仿宋_GB2312" w:hAnsi="仿宋" w:eastAsia="仿宋_GB2312" w:cs="Times New Roman"/>
          <w:color w:val="auto"/>
          <w:sz w:val="32"/>
          <w:szCs w:val="32"/>
          <w:u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559.33万元，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559.33万元，使用非财政拨款结余0.00万元，年初结转和结余0.00万元。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559.33万元，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542.17万元，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0.00万元，年末结转和结余17.16万元。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增加141.35万元</w:t>
      </w:r>
      <w:r>
        <w:rPr>
          <w:rFonts w:hint="eastAsia" w:ascii="仿宋_GB2312" w:eastAsia="仿宋_GB2312"/>
          <w:color w:val="auto"/>
          <w:spacing w:val="0"/>
          <w:sz w:val="32"/>
          <w:szCs w:val="32"/>
          <w:highlight w:val="none"/>
          <w:lang w:eastAsia="zh-CN"/>
        </w:rPr>
        <w:t>，增长33.82%，主要原因是：（</w:t>
      </w:r>
      <w:r>
        <w:rPr>
          <w:rFonts w:hint="eastAsia" w:ascii="仿宋_GB2312" w:eastAsia="仿宋_GB2312"/>
          <w:color w:val="auto"/>
          <w:spacing w:val="0"/>
          <w:sz w:val="32"/>
          <w:szCs w:val="32"/>
          <w:highlight w:val="none"/>
          <w:lang w:val="en-US" w:eastAsia="zh-CN"/>
        </w:rPr>
        <w:t>1）2023年发生事业收入及调增工资，调增并补发了基础绩效；（2）发放了2018年下半年大绩效，使得人员工资社保支出大幅度提高</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559.33</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472.21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84.42%</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87.03</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15.56%</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0.09</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0.02%</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本年支出542.17万元，其中：基本支出375.73万元，占69.30%；项目支出166.43万元，占30.70%；上缴上级支出0.00万元，占0.00%；经营支出0.00万元，占0.00%；对附属单位补助支出0.00万元，占0.00%。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472.21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472.21</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472.21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472.21</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增加54.23万元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增长12.97%,</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1）2023年发生事业收入及调增工资，调增并补发了基础绩效；（2）发放了2018年下半年大绩效，使得人员工资社保支出大幅度提高</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322.34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472.21</w:t>
      </w:r>
      <w:r>
        <w:rPr>
          <w:rFonts w:hint="eastAsia" w:ascii="仿宋_GB2312" w:eastAsia="仿宋_GB2312"/>
          <w:color w:val="auto"/>
          <w:spacing w:val="0"/>
          <w:sz w:val="32"/>
          <w:szCs w:val="32"/>
          <w:highlight w:val="none"/>
          <w:lang w:eastAsia="zh-CN"/>
        </w:rPr>
        <w:t>万元，预决算差异率46.49%，主要原因是：</w:t>
      </w:r>
      <w:r>
        <w:rPr>
          <w:rFonts w:hint="eastAsia" w:ascii="仿宋_GB2312" w:eastAsia="仿宋_GB2312"/>
          <w:color w:val="auto"/>
          <w:spacing w:val="0"/>
          <w:sz w:val="32"/>
          <w:szCs w:val="32"/>
          <w:highlight w:val="none"/>
          <w:lang w:val="en-US" w:eastAsia="zh-CN"/>
        </w:rPr>
        <w:t>2023年发生事业收入及调增工资，调增并补发了基础绩效；发放了2018年下半年大绩效，使得人员工资社保支出大幅度提高</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2023年度一般公共预算财政拨款支出472.21万元，占本年支出合计的</w:t>
      </w:r>
      <w:r>
        <w:rPr>
          <w:rFonts w:hint="eastAsia" w:ascii="仿宋_GB2312" w:eastAsia="仿宋_GB2312"/>
          <w:color w:val="auto"/>
          <w:spacing w:val="0"/>
          <w:sz w:val="32"/>
          <w:szCs w:val="32"/>
          <w:highlight w:val="none"/>
          <w:lang w:val="zh-CN" w:eastAsia="zh-CN"/>
        </w:rPr>
        <w:t>87.10%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增加54.23万元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增长12.97%,</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2023年发生事业收入及调增工资，调增并补发了基础绩效；发放了2018年下半年大绩效，使得人员工资社保支出大幅度提高</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322.34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472.21</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46.49%</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2023年发生事业收入及调增工资，调增并补发了基础绩效；发放了2018年下半年大绩效，使得人员工资社保支出大幅度提高</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34.55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7.32%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417.01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88.31%</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20.65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4.37%</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1.卫生健康支出（类）行政事业单位医疗（款）事业单位医疗（项）:支出决算数为11.53万元，比上年决算减少2.83万元，下降19.71%，主要原因是：2023年度取消退休人员医疗保险</w:t>
      </w:r>
      <w:r>
        <w:rPr>
          <w:rFonts w:hint="eastAsia" w:ascii="仿宋_GB2312" w:eastAsia="仿宋_GB2312"/>
          <w:sz w:val="32"/>
          <w:szCs w:val="32"/>
          <w:highlight w:val="none"/>
          <w:lang w:val="en-US" w:eastAsia="zh-CN"/>
        </w:rPr>
        <w:t>单位医疗支出减少</w:t>
      </w:r>
      <w:r>
        <w:rPr>
          <w:rFonts w:hint="eastAsia" w:ascii="仿宋_GB2312" w:hAnsi="仿宋_GB2312" w:eastAsia="仿宋_GB2312" w:cs="仿宋_GB2312"/>
          <w:color w:val="auto"/>
          <w:kern w:val="2"/>
          <w:sz w:val="32"/>
          <w:szCs w:val="32"/>
          <w:highlight w:val="none"/>
          <w:lang w:val="zh-CN" w:eastAsia="zh-CN" w:bidi="ar-SA"/>
        </w:rPr>
        <w:t>。</w:t>
      </w:r>
    </w:p>
    <w:p>
      <w:pPr>
        <w:ind w:firstLine="640" w:firstLineChars="200"/>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2.卫生健康支出（类）基层医疗卫生机构（款）其他基层医疗卫生机构支出（项）:支出决算数为77.55万元，比上年决算增加50.97万元，增长191.76%，主要原因是：</w:t>
      </w:r>
      <w:r>
        <w:rPr>
          <w:rFonts w:hint="eastAsia" w:ascii="仿宋_GB2312" w:hAnsi="仿宋_GB2312" w:eastAsia="仿宋_GB2312" w:cs="仿宋_GB2312"/>
          <w:color w:val="auto"/>
          <w:sz w:val="32"/>
          <w:szCs w:val="32"/>
          <w:highlight w:val="none"/>
          <w:lang w:val="zh-CN"/>
        </w:rPr>
        <w:t>2023</w:t>
      </w:r>
      <w:r>
        <w:rPr>
          <w:rFonts w:hint="eastAsia" w:ascii="仿宋_GB2312" w:hAnsi="仿宋_GB2312" w:eastAsia="仿宋_GB2312" w:cs="仿宋_GB2312"/>
          <w:color w:val="auto"/>
          <w:sz w:val="32"/>
          <w:szCs w:val="32"/>
          <w:highlight w:val="none"/>
          <w:lang w:val="en-US" w:eastAsia="zh-CN"/>
        </w:rPr>
        <w:t>年其他基层医疗卫生机构支出</w:t>
      </w:r>
      <w:r>
        <w:rPr>
          <w:rFonts w:hint="eastAsia" w:ascii="仿宋_GB2312" w:hAnsi="仿宋_GB2312" w:eastAsia="仿宋_GB2312" w:cs="仿宋_GB2312"/>
          <w:color w:val="auto"/>
          <w:sz w:val="32"/>
          <w:szCs w:val="32"/>
          <w:highlight w:val="none"/>
          <w:lang w:val="zh-CN"/>
        </w:rPr>
        <w:t>包括自治区和市</w:t>
      </w:r>
      <w:r>
        <w:rPr>
          <w:rFonts w:hint="eastAsia" w:ascii="仿宋_GB2312" w:hAnsi="仿宋_GB2312" w:eastAsia="仿宋_GB2312" w:cs="仿宋_GB2312"/>
          <w:color w:val="auto"/>
          <w:sz w:val="32"/>
          <w:szCs w:val="32"/>
          <w:highlight w:val="none"/>
          <w:lang w:val="en-US" w:eastAsia="zh-CN"/>
        </w:rPr>
        <w:t>级</w:t>
      </w:r>
      <w:r>
        <w:rPr>
          <w:rFonts w:hint="eastAsia" w:ascii="仿宋_GB2312" w:hAnsi="仿宋_GB2312" w:eastAsia="仿宋_GB2312" w:cs="仿宋_GB2312"/>
          <w:color w:val="auto"/>
          <w:sz w:val="32"/>
          <w:szCs w:val="32"/>
          <w:highlight w:val="none"/>
          <w:lang w:val="zh-CN"/>
        </w:rPr>
        <w:t>配套</w:t>
      </w:r>
      <w:r>
        <w:rPr>
          <w:rFonts w:hint="eastAsia" w:ascii="仿宋_GB2312" w:hAnsi="仿宋_GB2312" w:eastAsia="仿宋_GB2312" w:cs="仿宋_GB2312"/>
          <w:color w:val="auto"/>
          <w:sz w:val="32"/>
          <w:szCs w:val="32"/>
          <w:highlight w:val="none"/>
          <w:lang w:val="en-US" w:eastAsia="zh-CN"/>
        </w:rPr>
        <w:t>村医</w:t>
      </w:r>
      <w:r>
        <w:rPr>
          <w:rFonts w:hint="eastAsia" w:ascii="仿宋_GB2312" w:hAnsi="仿宋_GB2312" w:eastAsia="仿宋_GB2312" w:cs="仿宋_GB2312"/>
          <w:color w:val="auto"/>
          <w:sz w:val="32"/>
          <w:szCs w:val="32"/>
          <w:highlight w:val="none"/>
          <w:lang w:val="zh-CN"/>
        </w:rPr>
        <w:t>补助资金，</w:t>
      </w:r>
      <w:r>
        <w:rPr>
          <w:rFonts w:hint="eastAsia" w:ascii="仿宋_GB2312" w:hAnsi="仿宋_GB2312" w:eastAsia="仿宋_GB2312" w:cs="仿宋_GB2312"/>
          <w:color w:val="auto"/>
          <w:sz w:val="32"/>
          <w:szCs w:val="32"/>
          <w:highlight w:val="none"/>
          <w:lang w:val="en-US" w:eastAsia="zh-CN"/>
        </w:rPr>
        <w:t>2022年村医</w:t>
      </w:r>
      <w:r>
        <w:rPr>
          <w:rFonts w:hint="eastAsia" w:ascii="仿宋_GB2312" w:hAnsi="仿宋_GB2312" w:eastAsia="仿宋_GB2312" w:cs="仿宋_GB2312"/>
          <w:color w:val="auto"/>
          <w:sz w:val="32"/>
          <w:szCs w:val="32"/>
          <w:highlight w:val="none"/>
          <w:lang w:val="zh-CN"/>
        </w:rPr>
        <w:t>自治区和市</w:t>
      </w:r>
      <w:r>
        <w:rPr>
          <w:rFonts w:hint="eastAsia" w:ascii="仿宋_GB2312" w:hAnsi="仿宋_GB2312" w:eastAsia="仿宋_GB2312" w:cs="仿宋_GB2312"/>
          <w:color w:val="auto"/>
          <w:sz w:val="32"/>
          <w:szCs w:val="32"/>
          <w:highlight w:val="none"/>
          <w:lang w:val="en-US" w:eastAsia="zh-CN"/>
        </w:rPr>
        <w:t>级</w:t>
      </w:r>
      <w:r>
        <w:rPr>
          <w:rFonts w:hint="eastAsia" w:ascii="仿宋_GB2312" w:hAnsi="仿宋_GB2312" w:eastAsia="仿宋_GB2312" w:cs="仿宋_GB2312"/>
          <w:color w:val="auto"/>
          <w:sz w:val="32"/>
          <w:szCs w:val="32"/>
          <w:highlight w:val="none"/>
          <w:lang w:val="zh-CN"/>
        </w:rPr>
        <w:t>配套资金补助资金</w:t>
      </w:r>
      <w:r>
        <w:rPr>
          <w:rFonts w:hint="eastAsia" w:ascii="仿宋_GB2312" w:hAnsi="仿宋_GB2312" w:eastAsia="仿宋_GB2312" w:cs="仿宋_GB2312"/>
          <w:color w:val="auto"/>
          <w:sz w:val="32"/>
          <w:szCs w:val="32"/>
          <w:highlight w:val="none"/>
          <w:lang w:val="en-US" w:eastAsia="zh-CN"/>
        </w:rPr>
        <w:t>不在此科目核算</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3.卫生健康支出（类）公共卫生（款）其他公共卫生支出（项）:支出决算数为33.11万元，比上年决算增加9.12万元，增长38.02%，主要原因是：</w:t>
      </w:r>
      <w:r>
        <w:rPr>
          <w:rFonts w:hint="eastAsia" w:ascii="仿宋_GB2312" w:hAnsi="仿宋_GB2312" w:eastAsia="仿宋_GB2312" w:cs="仿宋_GB2312"/>
          <w:sz w:val="32"/>
          <w:szCs w:val="32"/>
          <w:highlight w:val="none"/>
          <w:lang w:val="en-US" w:eastAsia="zh-CN"/>
        </w:rPr>
        <w:t>2023年体检人数较上年增加，相应的体检专项资金增加，支出增加</w:t>
      </w:r>
      <w:r>
        <w:rPr>
          <w:rFonts w:hint="eastAsia" w:ascii="仿宋_GB2312" w:hAnsi="仿宋_GB2312" w:eastAsia="仿宋_GB2312" w:cs="仿宋_GB2312"/>
          <w:color w:val="auto"/>
          <w:kern w:val="2"/>
          <w:sz w:val="32"/>
          <w:szCs w:val="32"/>
          <w:highlight w:val="none"/>
          <w:lang w:val="zh-CN" w:eastAsia="zh-CN" w:bidi="ar-SA"/>
        </w:rPr>
        <w:t>。</w:t>
      </w:r>
    </w:p>
    <w:p>
      <w:pPr>
        <w:ind w:firstLine="640" w:firstLineChars="200"/>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4.卫生健康支出（类）基层医疗卫生机构（款）乡镇卫生院（项）:支出决算数为239.05万元，比上年决算减少0.72万元，下降0.30%，主要原因是：</w:t>
      </w:r>
      <w:r>
        <w:rPr>
          <w:rFonts w:hint="eastAsia" w:ascii="仿宋_GB2312" w:hAnsi="仿宋_GB2312" w:eastAsia="仿宋_GB2312" w:cs="仿宋_GB2312"/>
          <w:sz w:val="32"/>
          <w:szCs w:val="32"/>
          <w:lang w:val="en-US" w:eastAsia="zh-CN"/>
        </w:rPr>
        <w:t>2023年1人调出，支出</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5.住房保障支出（类）住房改革支出（款）住房公积金（项）:支出决算数为20.65万元，比上年决算增加0.10万元，增长0.49%，主要原因是：</w:t>
      </w:r>
      <w:r>
        <w:rPr>
          <w:rFonts w:hint="eastAsia" w:ascii="仿宋_GB2312" w:eastAsia="仿宋_GB2312"/>
          <w:sz w:val="32"/>
          <w:szCs w:val="32"/>
        </w:rPr>
        <w:t>2023年调增工资，</w:t>
      </w:r>
      <w:r>
        <w:rPr>
          <w:rFonts w:hint="eastAsia" w:ascii="仿宋_GB2312" w:eastAsia="仿宋_GB2312"/>
          <w:sz w:val="32"/>
          <w:szCs w:val="32"/>
          <w:lang w:val="en-US" w:eastAsia="zh-CN"/>
        </w:rPr>
        <w:t>公积金基础调增</w:t>
      </w:r>
      <w:r>
        <w:rPr>
          <w:rFonts w:hint="eastAsia" w:ascii="仿宋_GB2312" w:eastAsia="仿宋_GB2312"/>
          <w:sz w:val="32"/>
          <w:szCs w:val="32"/>
        </w:rPr>
        <w:t>，</w:t>
      </w:r>
      <w:r>
        <w:rPr>
          <w:rFonts w:hint="eastAsia" w:ascii="仿宋_GB2312" w:eastAsia="仿宋_GB2312"/>
          <w:sz w:val="32"/>
          <w:szCs w:val="32"/>
          <w:lang w:eastAsia="zh-CN"/>
        </w:rPr>
        <w:t>相应的住房公积金增加</w:t>
      </w:r>
      <w:r>
        <w:rPr>
          <w:rFonts w:hint="eastAsia" w:ascii="仿宋_GB2312" w:hAnsi="仿宋_GB2312" w:eastAsia="仿宋_GB2312" w:cs="仿宋_GB2312"/>
          <w:color w:val="auto"/>
          <w:kern w:val="2"/>
          <w:sz w:val="32"/>
          <w:szCs w:val="32"/>
          <w:highlight w:val="none"/>
          <w:lang w:val="zh-CN" w:eastAsia="zh-CN" w:bidi="ar-SA"/>
        </w:rPr>
        <w:t>。</w:t>
      </w:r>
    </w:p>
    <w:p>
      <w:pPr>
        <w:ind w:firstLine="640" w:firstLineChars="200"/>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6.社会保障和就业支出（类）行政事业单位养老支出（款）事业单位离退休（项）:支出决算数为4.66万元，比上年决算增加1.69万元，增长56.90%，主要原因是：</w:t>
      </w:r>
      <w:r>
        <w:rPr>
          <w:rFonts w:hint="eastAsia" w:ascii="仿宋_GB2312" w:eastAsia="仿宋_GB2312"/>
          <w:sz w:val="32"/>
          <w:szCs w:val="32"/>
        </w:rPr>
        <w:t>2023年调增工资</w:t>
      </w:r>
      <w:r>
        <w:rPr>
          <w:rFonts w:hint="eastAsia" w:ascii="仿宋_GB2312" w:eastAsia="仿宋_GB2312"/>
          <w:sz w:val="32"/>
          <w:szCs w:val="32"/>
          <w:lang w:eastAsia="zh-CN"/>
        </w:rPr>
        <w:t>，</w:t>
      </w:r>
      <w:r>
        <w:rPr>
          <w:rFonts w:hint="eastAsia" w:ascii="仿宋_GB2312" w:eastAsia="仿宋_GB2312"/>
          <w:sz w:val="32"/>
          <w:szCs w:val="32"/>
          <w:lang w:val="en-US" w:eastAsia="zh-CN"/>
        </w:rPr>
        <w:t>补发退休绩效奖</w:t>
      </w:r>
      <w:r>
        <w:rPr>
          <w:rFonts w:hint="eastAsia" w:ascii="仿宋_GB2312" w:eastAsia="仿宋_GB2312"/>
          <w:sz w:val="32"/>
          <w:szCs w:val="32"/>
        </w:rPr>
        <w:t>，</w:t>
      </w:r>
      <w:r>
        <w:rPr>
          <w:rFonts w:hint="eastAsia" w:ascii="仿宋_GB2312" w:eastAsia="仿宋_GB2312"/>
          <w:sz w:val="32"/>
          <w:szCs w:val="32"/>
          <w:lang w:eastAsia="zh-CN"/>
        </w:rPr>
        <w:t>相应的离退休增加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yellow"/>
          <w:lang w:val="zh-CN" w:eastAsia="zh-CN" w:bidi="ar-SA"/>
        </w:rPr>
      </w:pPr>
      <w:r>
        <w:rPr>
          <w:rFonts w:hint="eastAsia" w:ascii="仿宋_GB2312" w:hAnsi="仿宋_GB2312" w:eastAsia="仿宋_GB2312" w:cs="仿宋_GB2312"/>
          <w:color w:val="auto"/>
          <w:kern w:val="2"/>
          <w:sz w:val="32"/>
          <w:szCs w:val="32"/>
          <w:highlight w:val="none"/>
          <w:lang w:val="en-US" w:eastAsia="zh-CN" w:bidi="ar-SA"/>
        </w:rPr>
        <w:t>7.卫生健康支出（类）公共卫生（款）基本公共卫生服务（项）:支出决算数为55.77万元，比上年决算增加8.18万元，增长17.19%，主要原因是：</w:t>
      </w:r>
      <w:r>
        <w:rPr>
          <w:rFonts w:hint="eastAsia" w:ascii="仿宋_GB2312" w:eastAsia="仿宋_GB2312"/>
          <w:sz w:val="32"/>
          <w:szCs w:val="32"/>
          <w:highlight w:val="none"/>
          <w:lang w:val="en-US" w:eastAsia="zh-CN"/>
        </w:rPr>
        <w:t>2023年基本公共卫生服务项目人均补助标准提高，村医基本公共卫生服务补助支出增加。</w:t>
      </w:r>
    </w:p>
    <w:p>
      <w:pPr>
        <w:ind w:firstLine="640" w:firstLineChars="200"/>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8.社会保障和就业支出（类）行政事业单位养老支出（款）机关事业单位职业年金缴费支出（项）:支出决算数为4.32万元，比上年决算减少4.96万元，下降53.45%，主要原因是：</w:t>
      </w:r>
      <w:r>
        <w:rPr>
          <w:rFonts w:hint="eastAsia" w:ascii="仿宋_GB2312" w:eastAsia="仿宋_GB2312"/>
          <w:sz w:val="32"/>
          <w:szCs w:val="32"/>
          <w:lang w:val="en-US" w:eastAsia="zh-CN"/>
        </w:rPr>
        <w:t>2022年单位缴纳了在职转退休两人的职业年金，</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w:t>
      </w:r>
      <w:r>
        <w:rPr>
          <w:rFonts w:hint="eastAsia" w:ascii="仿宋_GB2312" w:eastAsia="仿宋_GB2312"/>
          <w:sz w:val="32"/>
          <w:szCs w:val="32"/>
          <w:lang w:val="en-US" w:eastAsia="zh-CN"/>
        </w:rPr>
        <w:t>单位缴纳在职死亡一人的职业年金，所以2023年较2022年减少了。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9.社会保障和就业支出（类）行政事业单位养老支出（款）机关事业单位基本养老保险缴费支出（项）:支出决算数为25.57万元，比上年决算增加3.13万元，增长13.95%，主要原因是：</w:t>
      </w:r>
      <w:r>
        <w:rPr>
          <w:rFonts w:hint="eastAsia" w:ascii="仿宋_GB2312" w:eastAsia="仿宋_GB2312"/>
          <w:sz w:val="32"/>
          <w:szCs w:val="32"/>
        </w:rPr>
        <w:t>2023年调增工资，调增并补发了基础绩效，</w:t>
      </w:r>
      <w:r>
        <w:rPr>
          <w:rFonts w:hint="eastAsia" w:ascii="仿宋_GB2312" w:eastAsia="仿宋_GB2312"/>
          <w:sz w:val="32"/>
          <w:szCs w:val="32"/>
          <w:lang w:eastAsia="zh-CN"/>
        </w:rPr>
        <w:t>相应的养老基数增加</w:t>
      </w:r>
      <w:r>
        <w:rPr>
          <w:rFonts w:hint="eastAsia" w:ascii="仿宋_GB2312" w:hAnsi="仿宋_GB2312" w:eastAsia="仿宋_GB2312" w:cs="仿宋_GB2312"/>
          <w:sz w:val="32"/>
          <w:szCs w:val="32"/>
          <w:lang w:val="zh-CN"/>
        </w:rPr>
        <w:t>。</w:t>
      </w:r>
      <w:r>
        <w:rPr>
          <w:rFonts w:hint="eastAsia" w:ascii="仿宋_GB2312" w:hAnsi="仿宋_GB2312" w:eastAsia="仿宋_GB2312" w:cs="仿宋_GB2312"/>
          <w:color w:val="auto"/>
          <w:kern w:val="2"/>
          <w:sz w:val="32"/>
          <w:szCs w:val="32"/>
          <w:highlight w:val="none"/>
          <w:lang w:val="zh-CN" w:eastAsia="zh-CN" w:bidi="ar-SA"/>
        </w:rPr>
        <w:t>。</w:t>
      </w:r>
    </w:p>
    <w:p>
      <w:pPr>
        <w:ind w:firstLine="640" w:firstLineChars="200"/>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10.卫生健康支出（类）公立医院（款）其他公立医院支出（项）:支出决算数为0.00万元，比上年决算减少10.45万元，下降100%，主要原因是：</w:t>
      </w:r>
      <w:r>
        <w:rPr>
          <w:rFonts w:hint="eastAsia" w:ascii="仿宋_GB2312" w:hAnsi="仿宋_GB2312" w:eastAsia="仿宋_GB2312" w:cs="仿宋_GB2312"/>
          <w:sz w:val="32"/>
          <w:szCs w:val="32"/>
          <w:lang w:val="en-US" w:eastAsia="zh-CN"/>
        </w:rPr>
        <w:t>2022年新</w:t>
      </w:r>
      <w:r>
        <w:rPr>
          <w:rFonts w:hint="eastAsia" w:ascii="仿宋_GB2312" w:hAnsi="仿宋_GB2312" w:eastAsia="仿宋_GB2312" w:cs="仿宋_GB2312"/>
          <w:sz w:val="32"/>
          <w:szCs w:val="32"/>
          <w:highlight w:val="none"/>
          <w:lang w:val="en-US" w:eastAsia="zh-CN"/>
        </w:rPr>
        <w:t>增</w:t>
      </w:r>
      <w:r>
        <w:rPr>
          <w:rFonts w:hint="eastAsia" w:ascii="仿宋_GB2312" w:hAnsi="仿宋_GB2312" w:eastAsia="仿宋_GB2312" w:cs="仿宋_GB2312"/>
          <w:sz w:val="32"/>
          <w:szCs w:val="32"/>
          <w:highlight w:val="none"/>
        </w:rPr>
        <w:t>公立医院</w:t>
      </w:r>
      <w:r>
        <w:rPr>
          <w:rFonts w:hint="eastAsia" w:ascii="仿宋_GB2312" w:hAnsi="仿宋_GB2312" w:eastAsia="仿宋_GB2312" w:cs="仿宋_GB2312"/>
          <w:sz w:val="32"/>
          <w:szCs w:val="32"/>
          <w:highlight w:val="none"/>
          <w:lang w:val="en-US" w:eastAsia="zh-CN"/>
        </w:rPr>
        <w:t>中医馆项目支出，2023年无此项目支出</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305.78</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305.01</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基本工资、津贴补贴、奖金、绩效工资、机关事业单位基本养老保险缴费、职业年金缴费、职工基本医疗保险缴费、其他社会保障缴费、住房公积金、退休费、生活补助。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0.77</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工会经费。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我单位无此项支出</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我单位无此项支出</w:t>
      </w:r>
      <w:r>
        <w:rPr>
          <w:rFonts w:hint="eastAsia" w:ascii="仿宋_GB2312" w:eastAsia="仿宋_GB2312"/>
          <w:color w:val="auto"/>
          <w:sz w:val="32"/>
          <w:szCs w:val="32"/>
          <w:highlight w:val="none"/>
          <w:lang w:val="zh-CN" w:eastAsia="zh-CN"/>
        </w:rPr>
        <w:t>；公务用车购置及运行维护费支出0.00万元，占0.00%，比上年增加0.00万元，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我单位无此项支出</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我单位无此项支出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highlight w:val="none"/>
        </w:rPr>
        <w:t>我单位无因公出国（境）费支出</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highlight w:val="none"/>
        </w:rPr>
        <w:t>单位无公务用车运行维护费开支</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sz w:val="32"/>
          <w:szCs w:val="32"/>
          <w:lang w:val="zh-CN"/>
        </w:rPr>
        <w:t>我单位固定资产</w:t>
      </w:r>
      <w:r>
        <w:rPr>
          <w:rFonts w:hint="eastAsia" w:ascii="仿宋_GB2312" w:eastAsia="仿宋_GB2312"/>
          <w:sz w:val="32"/>
          <w:szCs w:val="32"/>
          <w:lang w:val="en-US" w:eastAsia="zh-CN"/>
        </w:rPr>
        <w:t>1</w:t>
      </w:r>
      <w:r>
        <w:rPr>
          <w:rFonts w:hint="eastAsia" w:ascii="仿宋_GB2312" w:eastAsia="仿宋_GB2312"/>
          <w:sz w:val="32"/>
          <w:szCs w:val="32"/>
          <w:lang w:val="zh-CN"/>
        </w:rPr>
        <w:t>辆救护车为特种车辆，不属于公务用车</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highlight w:val="none"/>
        </w:rPr>
        <w:t>单位无公务接待费</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我单位未安排财政拨款“三公”经费支出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highlight w:val="none"/>
          <w:lang w:eastAsia="zh-CN"/>
        </w:rPr>
        <w:t>我单位未安排因公出国（境）费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我单位未安排公务用车购置费</w:t>
      </w:r>
      <w:r>
        <w:rPr>
          <w:rFonts w:hint="eastAsia" w:ascii="仿宋_GB2312" w:eastAsia="仿宋_GB2312"/>
          <w:sz w:val="32"/>
          <w:szCs w:val="32"/>
          <w:highlight w:val="none"/>
          <w:lang w:eastAsia="zh-CN"/>
        </w:rPr>
        <w:t>，</w:t>
      </w:r>
      <w:r>
        <w:rPr>
          <w:rFonts w:hint="eastAsia" w:ascii="仿宋_GB2312" w:hAnsi="宋体" w:eastAsia="仿宋_GB2312" w:cs="宋体"/>
          <w:kern w:val="0"/>
          <w:sz w:val="32"/>
          <w:szCs w:val="32"/>
          <w:highlight w:val="none"/>
        </w:rPr>
        <w:t>预决算无差异</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hAnsi="宋体" w:eastAsia="仿宋_GB2312" w:cs="宋体"/>
          <w:kern w:val="0"/>
          <w:sz w:val="32"/>
          <w:szCs w:val="32"/>
          <w:highlight w:val="none"/>
        </w:rPr>
        <w:t>我单位未安排公务用车运行费，预决算无差异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我单位未安排公务接待费，预决算无差异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bookmarkStart w:id="24" w:name="_Toc26704"/>
      <w:bookmarkStart w:id="25" w:name="_Toc227"/>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沙湾市西戈壁镇卫生院（事业单位）公用经费支出0.77万元，</w:t>
      </w:r>
      <w:r>
        <w:rPr>
          <w:rFonts w:hint="eastAsia" w:ascii="仿宋_GB2312" w:hAnsi="仿宋_GB2312" w:eastAsia="仿宋_GB2312" w:cs="仿宋_GB2312"/>
          <w:color w:val="auto"/>
          <w:sz w:val="32"/>
          <w:szCs w:val="32"/>
          <w:highlight w:val="none"/>
          <w:lang w:val="zh-CN" w:eastAsia="zh-CN"/>
        </w:rPr>
        <w:t>比上年增加0.77万元，增长100.00%，主要原因是：</w:t>
      </w:r>
      <w:r>
        <w:rPr>
          <w:rFonts w:hint="eastAsia" w:ascii="仿宋_GB2312" w:hAnsi="仿宋_GB2312" w:eastAsia="仿宋_GB2312" w:cs="仿宋_GB2312"/>
          <w:color w:val="auto"/>
          <w:sz w:val="32"/>
          <w:szCs w:val="32"/>
          <w:highlight w:val="none"/>
          <w:lang w:val="en-US" w:eastAsia="zh-CN"/>
        </w:rPr>
        <w:t>2023年拨付0.77万元为工会经费，2022年未拨付此项费用</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35.05万元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其中：政府采购货物支出3.19万元、政府采购工程支出10.00万元、政府采购服务支出21.86万元。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授予中小企业合同金额35.05万元，占政府采购支出总额的100.00%，其中：授予小微企业合同金额35.05万元，占政府采购支出总额的100.00%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0"/>
          <w:highlight w:val="none"/>
          <w:lang w:val="zh-CN" w:eastAsia="zh-CN"/>
        </w:rPr>
      </w:pPr>
      <w:bookmarkStart w:id="26" w:name="_Toc4591"/>
      <w:bookmarkStart w:id="27" w:name="_Toc8391"/>
      <w:r>
        <w:rPr>
          <w:rFonts w:hint="eastAsia" w:ascii="仿宋_GB2312" w:hAnsi="仿宋_GB2312" w:eastAsia="仿宋_GB2312" w:cs="仿宋_GB2312"/>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475.61</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屋2,888.00平方米，价值348.49万元。车辆1辆，价值7.00万元，其中：副部（省）级及以上领导用车0辆、主要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用车0辆、机要通信用车0辆、应急保障用车0辆、执法执勤用车0辆、特种专业技术用车1辆、离退休干部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用车0辆、其他用车0辆，其他用车主要是：</w:t>
      </w:r>
      <w:r>
        <w:rPr>
          <w:rFonts w:hint="eastAsia" w:ascii="仿宋_GB2312" w:eastAsia="仿宋_GB2312"/>
          <w:sz w:val="32"/>
          <w:szCs w:val="32"/>
          <w:highlight w:val="none"/>
          <w:lang w:eastAsia="zh-CN"/>
        </w:rPr>
        <w:t>无其他用车</w:t>
      </w:r>
      <w:r>
        <w:rPr>
          <w:rFonts w:hint="eastAsia" w:ascii="仿宋_GB2312" w:hAnsi="仿宋_GB2312" w:eastAsia="仿宋_GB2312" w:cs="仿宋_GB2312"/>
          <w:color w:val="auto"/>
          <w:sz w:val="32"/>
          <w:szCs w:val="32"/>
          <w:highlight w:val="none"/>
          <w:lang w:val="zh-CN" w:eastAsia="zh-CN"/>
        </w:rPr>
        <w:t>；单价100万元（含）以上设备（不含车辆）0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ind w:firstLine="640" w:firstLineChars="200"/>
        <w:jc w:val="left"/>
        <w:rPr>
          <w:rFonts w:hint="eastAsia" w:ascii="仿宋_GB2312" w:eastAsia="仿宋_GB2312"/>
          <w:color w:val="auto"/>
          <w:sz w:val="32"/>
          <w:szCs w:val="32"/>
          <w:highlight w:val="yellow"/>
          <w:lang w:val="zh-CN"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w:t>
      </w:r>
      <w:bookmarkStart w:id="48" w:name="_GoBack"/>
      <w:bookmarkEnd w:id="48"/>
      <w:r>
        <w:rPr>
          <w:rFonts w:hint="eastAsia" w:ascii="仿宋_GB2312" w:eastAsia="仿宋_GB2312"/>
          <w:color w:val="auto"/>
          <w:sz w:val="32"/>
          <w:szCs w:val="32"/>
          <w:highlight w:val="none"/>
          <w:lang w:val="en-US" w:eastAsia="zh-CN"/>
        </w:rPr>
        <w:t>487.51</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实际执行总额472.21</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7</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全年预算数166.43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全年执行数166.43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zh-CN" w:eastAsia="zh-CN"/>
        </w:rPr>
        <w:t>本单位sm项目</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val="zh-CN" w:eastAsia="zh-CN"/>
        </w:rPr>
        <w:t>个，全年预算数</w:t>
      </w:r>
      <w:r>
        <w:rPr>
          <w:rFonts w:hint="eastAsia" w:ascii="仿宋_GB2312" w:eastAsia="仿宋_GB2312"/>
          <w:color w:val="auto"/>
          <w:sz w:val="32"/>
          <w:szCs w:val="32"/>
          <w:highlight w:val="none"/>
          <w:lang w:val="en-US" w:eastAsia="zh-CN"/>
        </w:rPr>
        <w:t>49.5</w:t>
      </w:r>
      <w:r>
        <w:rPr>
          <w:rFonts w:hint="eastAsia" w:ascii="仿宋_GB2312" w:eastAsia="仿宋_GB2312"/>
          <w:color w:val="auto"/>
          <w:sz w:val="32"/>
          <w:szCs w:val="32"/>
          <w:highlight w:val="none"/>
          <w:lang w:val="zh-CN" w:eastAsia="zh-CN"/>
        </w:rPr>
        <w:t>万元，全年执行数</w:t>
      </w:r>
      <w:r>
        <w:rPr>
          <w:rFonts w:hint="eastAsia" w:ascii="仿宋_GB2312" w:eastAsia="仿宋_GB2312"/>
          <w:color w:val="auto"/>
          <w:sz w:val="32"/>
          <w:szCs w:val="32"/>
          <w:highlight w:val="none"/>
          <w:lang w:val="en-US" w:eastAsia="zh-CN"/>
        </w:rPr>
        <w:t>49.5</w:t>
      </w:r>
      <w:r>
        <w:rPr>
          <w:rFonts w:hint="eastAsia" w:ascii="仿宋_GB2312" w:eastAsia="仿宋_GB2312"/>
          <w:color w:val="auto"/>
          <w:sz w:val="32"/>
          <w:szCs w:val="32"/>
          <w:highlight w:val="none"/>
          <w:lang w:val="zh-CN" w:eastAsia="zh-CN"/>
        </w:rPr>
        <w:t>万元，不予以公开。</w:t>
      </w:r>
    </w:p>
    <w:p>
      <w:pPr>
        <w:ind w:firstLine="640" w:firstLineChars="200"/>
        <w:jc w:val="left"/>
        <w:rPr>
          <w:rFonts w:ascii="仿宋_GB2312" w:eastAsia="仿宋_GB2312"/>
          <w:sz w:val="32"/>
          <w:szCs w:val="32"/>
        </w:rPr>
      </w:pPr>
      <w:r>
        <w:rPr>
          <w:rFonts w:hint="eastAsia" w:ascii="仿宋_GB2312" w:eastAsia="仿宋_GB2312"/>
          <w:color w:val="auto"/>
          <w:sz w:val="32"/>
          <w:szCs w:val="32"/>
          <w:highlight w:val="none"/>
          <w:lang w:eastAsia="zh-CN"/>
        </w:rPr>
        <w:t>预算绩效管理取得的成效：</w:t>
      </w:r>
      <w:r>
        <w:rPr>
          <w:rFonts w:hint="eastAsia" w:ascii="仿宋_GB2312" w:eastAsia="仿宋_GB2312"/>
          <w:sz w:val="32"/>
          <w:szCs w:val="32"/>
          <w:highlight w:val="none"/>
          <w:lang w:eastAsia="zh-CN"/>
        </w:rPr>
        <w:t>一是根据年度绩效目标，从提升工作绩效入手，分解和细化绩效目标，明确项目绩效目标分管领导、责任科室及责任人；二是根据工作实际，加强绩效指标运行监控，制定措施办法，推进工作目标落实</w:t>
      </w:r>
      <w:r>
        <w:rPr>
          <w:rFonts w:hint="eastAsia" w:ascii="仿宋_GB2312" w:eastAsia="仿宋_GB2312"/>
          <w:color w:val="auto"/>
          <w:sz w:val="32"/>
          <w:szCs w:val="32"/>
          <w:highlight w:val="none"/>
          <w:lang w:eastAsia="zh-CN"/>
        </w:rPr>
        <w:t>。发现的问题及原因：</w:t>
      </w:r>
      <w:r>
        <w:rPr>
          <w:rFonts w:hint="eastAsia" w:ascii="仿宋_GB2312" w:eastAsia="仿宋_GB2312"/>
          <w:sz w:val="32"/>
          <w:szCs w:val="32"/>
          <w:highlight w:val="none"/>
          <w:lang w:eastAsia="zh-CN"/>
        </w:rPr>
        <w:t>一是对绩效目标的设定不够细化和准确，部分项目设置的绩效指标与项目实际脱节，导致监控时无法达到预期目标值,预期指标值不够精准，希望给予专业指导；二是绩效填报工作主要是财务人员负责，项目实施部门未积极参与项目绩效管理工作中来，导致交接不到位，部分项目未及时进行调整。</w:t>
      </w:r>
      <w:r>
        <w:rPr>
          <w:rFonts w:hint="eastAsia" w:ascii="仿宋_GB2312" w:eastAsia="仿宋_GB2312"/>
          <w:color w:val="auto"/>
          <w:sz w:val="32"/>
          <w:szCs w:val="32"/>
          <w:highlight w:val="none"/>
          <w:lang w:eastAsia="zh-CN"/>
        </w:rPr>
        <w:t>。下一步改进措施：</w:t>
      </w:r>
      <w:r>
        <w:rPr>
          <w:rFonts w:hint="eastAsia" w:ascii="仿宋_GB2312" w:eastAsia="仿宋_GB2312"/>
          <w:sz w:val="32"/>
          <w:szCs w:val="32"/>
          <w:highlight w:val="none"/>
          <w:lang w:eastAsia="zh-CN"/>
        </w:rPr>
        <w:t>一是加强各科室及时对接项目实施，明确分工，协调专人负责该项工作；二是通过对每笔资金的精细化管理来保障资金使用的合规、合法性，并据此分析各类资金支出产生的效益，使本单位的绩效监控工作上一个新台阶。</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仿宋_GB2312" w:eastAsia="仿宋_GB2312"/>
          <w:color w:val="auto"/>
          <w:sz w:val="32"/>
          <w:szCs w:val="32"/>
          <w:highlight w:val="none"/>
          <w:lang w:val="zh-CN" w:eastAsia="zh-CN"/>
        </w:rPr>
        <w:t>本单位sm项目</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val="zh-CN" w:eastAsia="zh-CN"/>
        </w:rPr>
        <w:t>个，全年预算数</w:t>
      </w:r>
      <w:r>
        <w:rPr>
          <w:rFonts w:hint="eastAsia" w:ascii="仿宋_GB2312" w:eastAsia="仿宋_GB2312"/>
          <w:color w:val="auto"/>
          <w:sz w:val="32"/>
          <w:szCs w:val="32"/>
          <w:highlight w:val="none"/>
          <w:lang w:val="en-US" w:eastAsia="zh-CN"/>
        </w:rPr>
        <w:t>49.5</w:t>
      </w:r>
      <w:r>
        <w:rPr>
          <w:rFonts w:hint="eastAsia" w:ascii="仿宋_GB2312" w:eastAsia="仿宋_GB2312"/>
          <w:color w:val="auto"/>
          <w:sz w:val="32"/>
          <w:szCs w:val="32"/>
          <w:highlight w:val="none"/>
          <w:lang w:val="zh-CN" w:eastAsia="zh-CN"/>
        </w:rPr>
        <w:t>万元，全年执数</w:t>
      </w:r>
      <w:r>
        <w:rPr>
          <w:rFonts w:hint="eastAsia" w:ascii="仿宋_GB2312" w:eastAsia="仿宋_GB2312"/>
          <w:color w:val="auto"/>
          <w:sz w:val="32"/>
          <w:szCs w:val="32"/>
          <w:highlight w:val="none"/>
          <w:lang w:val="en-US" w:eastAsia="zh-CN"/>
        </w:rPr>
        <w:t>49.5</w:t>
      </w:r>
      <w:r>
        <w:rPr>
          <w:rFonts w:hint="eastAsia" w:ascii="仿宋_GB2312" w:eastAsia="仿宋_GB2312"/>
          <w:color w:val="auto"/>
          <w:sz w:val="32"/>
          <w:szCs w:val="32"/>
          <w:highlight w:val="none"/>
          <w:lang w:val="zh-CN" w:eastAsia="zh-CN"/>
        </w:rPr>
        <w:t>万元，不予以公开绩效自评表。</w:t>
      </w:r>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I1Yzk0Yzc5NjA0ZTBiY2YzYWFhZjM4ZDA2ZjFkNGQifQ=="/>
    <w:docVar w:name="KSO_WPS_MARK_KEY" w:val="41ee2a61-2d54-4f93-83be-afdb9a40d732"/>
  </w:docVars>
  <w:rsids>
    <w:rsidRoot w:val="00000000"/>
    <w:rsid w:val="00213C59"/>
    <w:rsid w:val="003210CE"/>
    <w:rsid w:val="00B70D59"/>
    <w:rsid w:val="00F52A8D"/>
    <w:rsid w:val="019404F8"/>
    <w:rsid w:val="01C30B6B"/>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792773"/>
    <w:rsid w:val="06FD75CA"/>
    <w:rsid w:val="07093795"/>
    <w:rsid w:val="07804730"/>
    <w:rsid w:val="079052BE"/>
    <w:rsid w:val="08145C21"/>
    <w:rsid w:val="08422688"/>
    <w:rsid w:val="085854ED"/>
    <w:rsid w:val="0879188F"/>
    <w:rsid w:val="08A0354D"/>
    <w:rsid w:val="08CD4C49"/>
    <w:rsid w:val="09114954"/>
    <w:rsid w:val="09571779"/>
    <w:rsid w:val="095A5B83"/>
    <w:rsid w:val="096466E3"/>
    <w:rsid w:val="0968304D"/>
    <w:rsid w:val="09AF3D17"/>
    <w:rsid w:val="0A7809B7"/>
    <w:rsid w:val="0A7B4867"/>
    <w:rsid w:val="0A840954"/>
    <w:rsid w:val="0A9928ED"/>
    <w:rsid w:val="0B0D08CD"/>
    <w:rsid w:val="0B61769D"/>
    <w:rsid w:val="0B6622F4"/>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F1113DA"/>
    <w:rsid w:val="0F78534A"/>
    <w:rsid w:val="0F89358A"/>
    <w:rsid w:val="0F8C6D51"/>
    <w:rsid w:val="0FB42938"/>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332C87"/>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3F37CF"/>
    <w:rsid w:val="1FA15E62"/>
    <w:rsid w:val="1FED69B6"/>
    <w:rsid w:val="2064678E"/>
    <w:rsid w:val="20DC1AB9"/>
    <w:rsid w:val="20DD6197"/>
    <w:rsid w:val="212631E0"/>
    <w:rsid w:val="2138666F"/>
    <w:rsid w:val="21742080"/>
    <w:rsid w:val="21A53757"/>
    <w:rsid w:val="21D36F68"/>
    <w:rsid w:val="21F879E1"/>
    <w:rsid w:val="221236C6"/>
    <w:rsid w:val="22D7662C"/>
    <w:rsid w:val="23326B7F"/>
    <w:rsid w:val="2380045B"/>
    <w:rsid w:val="23BC04D2"/>
    <w:rsid w:val="23EF1892"/>
    <w:rsid w:val="2483647E"/>
    <w:rsid w:val="24A32D55"/>
    <w:rsid w:val="24CE6D9A"/>
    <w:rsid w:val="25292727"/>
    <w:rsid w:val="252E5CA9"/>
    <w:rsid w:val="256F7692"/>
    <w:rsid w:val="25752FF0"/>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F5378F"/>
    <w:rsid w:val="2BB94DBF"/>
    <w:rsid w:val="2BF37410"/>
    <w:rsid w:val="2C6F314E"/>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234780"/>
    <w:rsid w:val="30862F5F"/>
    <w:rsid w:val="30A4775A"/>
    <w:rsid w:val="314029C9"/>
    <w:rsid w:val="31C63837"/>
    <w:rsid w:val="31C82E39"/>
    <w:rsid w:val="32601BAD"/>
    <w:rsid w:val="329F6389"/>
    <w:rsid w:val="3389023A"/>
    <w:rsid w:val="33CB74FA"/>
    <w:rsid w:val="343642F2"/>
    <w:rsid w:val="343F3010"/>
    <w:rsid w:val="345D0A00"/>
    <w:rsid w:val="34713BFD"/>
    <w:rsid w:val="34C13589"/>
    <w:rsid w:val="353369E3"/>
    <w:rsid w:val="35B21E0B"/>
    <w:rsid w:val="35E00D72"/>
    <w:rsid w:val="36965B9D"/>
    <w:rsid w:val="36C549FD"/>
    <w:rsid w:val="37A755DD"/>
    <w:rsid w:val="37F33BFE"/>
    <w:rsid w:val="37F94FA0"/>
    <w:rsid w:val="37F951B4"/>
    <w:rsid w:val="380D3381"/>
    <w:rsid w:val="38115B1F"/>
    <w:rsid w:val="385E3AC3"/>
    <w:rsid w:val="387D6B9E"/>
    <w:rsid w:val="38B75FF0"/>
    <w:rsid w:val="38D45016"/>
    <w:rsid w:val="38D90432"/>
    <w:rsid w:val="3914510A"/>
    <w:rsid w:val="3926770B"/>
    <w:rsid w:val="3982065B"/>
    <w:rsid w:val="398D3668"/>
    <w:rsid w:val="39C47136"/>
    <w:rsid w:val="39DA0497"/>
    <w:rsid w:val="3A893816"/>
    <w:rsid w:val="3A893B6D"/>
    <w:rsid w:val="3AD1763A"/>
    <w:rsid w:val="3B196883"/>
    <w:rsid w:val="3B6716E3"/>
    <w:rsid w:val="3B6C6B2D"/>
    <w:rsid w:val="3C242659"/>
    <w:rsid w:val="3C96719C"/>
    <w:rsid w:val="3CA72BE8"/>
    <w:rsid w:val="3CDC1E1E"/>
    <w:rsid w:val="3CF37F8C"/>
    <w:rsid w:val="3D137554"/>
    <w:rsid w:val="3D5275AC"/>
    <w:rsid w:val="3DC12B0D"/>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10D7B"/>
    <w:rsid w:val="434E6957"/>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7445515"/>
    <w:rsid w:val="474B4782"/>
    <w:rsid w:val="47D90D14"/>
    <w:rsid w:val="47DE1152"/>
    <w:rsid w:val="48387FB0"/>
    <w:rsid w:val="483A6114"/>
    <w:rsid w:val="484F7CA1"/>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200F7A"/>
    <w:rsid w:val="4C3C6600"/>
    <w:rsid w:val="4CEE3180"/>
    <w:rsid w:val="4D0F4AF6"/>
    <w:rsid w:val="4DCF4821"/>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3C450E"/>
    <w:rsid w:val="515344BD"/>
    <w:rsid w:val="518D0ED5"/>
    <w:rsid w:val="525C687F"/>
    <w:rsid w:val="52A3740A"/>
    <w:rsid w:val="52F647F7"/>
    <w:rsid w:val="52F92565"/>
    <w:rsid w:val="53AE735E"/>
    <w:rsid w:val="53D03877"/>
    <w:rsid w:val="542F73CA"/>
    <w:rsid w:val="5430786D"/>
    <w:rsid w:val="545A1D2A"/>
    <w:rsid w:val="54932332"/>
    <w:rsid w:val="54C811C0"/>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80B40"/>
    <w:rsid w:val="5AFC6609"/>
    <w:rsid w:val="5B050E05"/>
    <w:rsid w:val="5B113480"/>
    <w:rsid w:val="5BD456CE"/>
    <w:rsid w:val="5C0D1F49"/>
    <w:rsid w:val="5CBB0CE2"/>
    <w:rsid w:val="5CC17177"/>
    <w:rsid w:val="5CF306BC"/>
    <w:rsid w:val="5D3F3D64"/>
    <w:rsid w:val="5D833043"/>
    <w:rsid w:val="5DD92690"/>
    <w:rsid w:val="5DDB1CFD"/>
    <w:rsid w:val="5E7E6D93"/>
    <w:rsid w:val="5E82459B"/>
    <w:rsid w:val="5ED44800"/>
    <w:rsid w:val="5F350BDE"/>
    <w:rsid w:val="5F61632C"/>
    <w:rsid w:val="5FA17648"/>
    <w:rsid w:val="5FE705CB"/>
    <w:rsid w:val="6007714E"/>
    <w:rsid w:val="603D5080"/>
    <w:rsid w:val="606842D0"/>
    <w:rsid w:val="60D0261B"/>
    <w:rsid w:val="618E3791"/>
    <w:rsid w:val="61947DCA"/>
    <w:rsid w:val="61A46A97"/>
    <w:rsid w:val="61D1382F"/>
    <w:rsid w:val="61F114A2"/>
    <w:rsid w:val="622B0ABA"/>
    <w:rsid w:val="62512BB4"/>
    <w:rsid w:val="625D7D1A"/>
    <w:rsid w:val="62660469"/>
    <w:rsid w:val="62DD7D21"/>
    <w:rsid w:val="637D586B"/>
    <w:rsid w:val="63A5560B"/>
    <w:rsid w:val="63E9091F"/>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566FE9"/>
    <w:rsid w:val="69846A0E"/>
    <w:rsid w:val="69AA1366"/>
    <w:rsid w:val="69AD798C"/>
    <w:rsid w:val="69D005C0"/>
    <w:rsid w:val="69D80B96"/>
    <w:rsid w:val="69F47AD7"/>
    <w:rsid w:val="6A2C39D4"/>
    <w:rsid w:val="6B68175F"/>
    <w:rsid w:val="6BFD799F"/>
    <w:rsid w:val="6C4A2E5A"/>
    <w:rsid w:val="6C8138D0"/>
    <w:rsid w:val="6CEF0725"/>
    <w:rsid w:val="6D4B2604"/>
    <w:rsid w:val="6D77358F"/>
    <w:rsid w:val="6D8030E4"/>
    <w:rsid w:val="6E0E35C4"/>
    <w:rsid w:val="6E0F7A08"/>
    <w:rsid w:val="6E3947F5"/>
    <w:rsid w:val="6E6733A0"/>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DA6992"/>
    <w:rsid w:val="727B234E"/>
    <w:rsid w:val="728A58B0"/>
    <w:rsid w:val="72D068C7"/>
    <w:rsid w:val="72E42ED8"/>
    <w:rsid w:val="72FC34C3"/>
    <w:rsid w:val="735F4CB9"/>
    <w:rsid w:val="73674C62"/>
    <w:rsid w:val="73845865"/>
    <w:rsid w:val="739B6D9E"/>
    <w:rsid w:val="73BC1D76"/>
    <w:rsid w:val="73FB6630"/>
    <w:rsid w:val="74114A8D"/>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7D1522"/>
    <w:rsid w:val="79D57D57"/>
    <w:rsid w:val="79F00650"/>
    <w:rsid w:val="7A6242BF"/>
    <w:rsid w:val="7A794513"/>
    <w:rsid w:val="7A9B3811"/>
    <w:rsid w:val="7AB467DA"/>
    <w:rsid w:val="7AB9318D"/>
    <w:rsid w:val="7AE952D2"/>
    <w:rsid w:val="7B9F26AF"/>
    <w:rsid w:val="7BB607FE"/>
    <w:rsid w:val="7C7248A0"/>
    <w:rsid w:val="7C976D69"/>
    <w:rsid w:val="7CCB2BB7"/>
    <w:rsid w:val="7CD752DA"/>
    <w:rsid w:val="7CDE40AB"/>
    <w:rsid w:val="7CF057E2"/>
    <w:rsid w:val="7D1548B5"/>
    <w:rsid w:val="7DF84014"/>
    <w:rsid w:val="7E207949"/>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5699</Words>
  <Characters>6445</Characters>
  <Lines>0</Lines>
  <Paragraphs>0</Paragraphs>
  <TotalTime>4</TotalTime>
  <ScaleCrop>false</ScaleCrop>
  <LinksUpToDate>false</LinksUpToDate>
  <CharactersWithSpaces>6456</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2025-04-10T08:46:07Z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ies>
</file>