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D8E9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13551E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7A2640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w:t>
      </w:r>
      <w:bookmarkStart w:id="49" w:name="_GoBack"/>
      <w:r>
        <w:rPr>
          <w:rFonts w:hint="eastAsia" w:ascii="方正小标宋_GBK" w:hAnsi="宋体" w:eastAsia="方正小标宋_GBK"/>
          <w:color w:val="auto"/>
          <w:sz w:val="44"/>
          <w:szCs w:val="44"/>
          <w:highlight w:val="none"/>
          <w:lang w:val="en-US" w:eastAsia="zh-CN"/>
        </w:rPr>
        <w:t>良种场卫生院</w:t>
      </w:r>
      <w:bookmarkEnd w:id="49"/>
    </w:p>
    <w:p w14:paraId="424B4BA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9DD824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D755B4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F2BBE9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8F6D4B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19A5E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68FC8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6A48C6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BE0D8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D0C68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C7101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BF884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1FC13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46388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2FB14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C53D7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F00EFB6">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3348A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2FC2A0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77801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C44B66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C9981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B6695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0D22F7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E50457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E579C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C3026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F91A8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A5754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8D24A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12EF6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FEFE5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0A104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08B98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D997E5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BA11623">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16159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67648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8C0AB1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1.承担本乡镇农村居民健康档案规范建档指导、管理及服务;</w:t>
      </w:r>
    </w:p>
    <w:p w14:paraId="33BF4C03">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2.普及卫生保健常识,在重点人群和重点场所开展健康教育,帮助居民形成有利于维护和增进健康的行为方式;指导开展爱国卫生工作;</w:t>
      </w:r>
    </w:p>
    <w:p w14:paraId="4E2FC61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3.提供并组织实施本乡镇预防接种服务,落实国家免疫规划;</w:t>
      </w:r>
    </w:p>
    <w:p w14:paraId="4D9FD0C9">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4.及时发现、登记并报告本乡镇内发现的传染病病例和疑似病例参与现场疫情处理;</w:t>
      </w:r>
    </w:p>
    <w:p w14:paraId="04DD28F8">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5开展新生儿访视及儿童保健系统管理,进行体格检查和生长发育监测及评价,开展健康指导;</w:t>
      </w:r>
    </w:p>
    <w:p w14:paraId="03D3C39B">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开展孕产妇保健系统管理和产后访视,进行一般体格检查及孕期营养、心理等健康指导;</w:t>
      </w:r>
    </w:p>
    <w:p w14:paraId="3A4EB23D">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7.对本乡镇65岁及以上老年人进行登记管理,进行健康危险因素调查和一般体格检查,开展健康指导;</w:t>
      </w:r>
    </w:p>
    <w:p w14:paraId="272F9A8D">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8.对高血压、糖尿病等慢性病高危人群进行指导,对确诊高血压糖尿病等慢性病病例进行登记管理、定期随访和健康指导;</w:t>
      </w:r>
    </w:p>
    <w:p w14:paraId="0C6DAD40">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9.对本乡镇重性精神疾病患者进行登记管理、治疗随访和康复指导;</w:t>
      </w:r>
    </w:p>
    <w:p w14:paraId="071223C8">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10.负责本乡镇内突发公共卫生事件的报告并协助处理;</w:t>
      </w:r>
    </w:p>
    <w:p w14:paraId="46007397">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1l.做好卫生行政部门规定的其他公共卫生服务;</w:t>
      </w:r>
    </w:p>
    <w:p w14:paraId="21E93CD8">
      <w:pPr>
        <w:keepNext w:val="0"/>
        <w:keepLines w:val="0"/>
        <w:pageBreakBefore w:val="0"/>
        <w:widowControl w:val="0"/>
        <w:numPr>
          <w:ilvl w:val="0"/>
          <w:numId w:val="1"/>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使用农村适宜医疗技术和中医药技术,正确处理常见病、多发病,对疑难重症进行恰当的处理并转诊。承担乡村现场应急救护、转诊服务和康复服务;</w:t>
      </w:r>
    </w:p>
    <w:p w14:paraId="37E7D0FE">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能完成外科的止血、缝合、包扎、骨折固定等处置;</w:t>
      </w:r>
    </w:p>
    <w:p w14:paraId="01F2110A">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健全消毒、隔离制度,遵守无菌操作规程,加强医疗质量管理。做好医疗废物处理和污水、污物无害化处理;</w:t>
      </w:r>
    </w:p>
    <w:p w14:paraId="0BF24089">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执行国家基本药物制度药品集中采购、零差率销售等政策,为实施一体化管理的村卫生室统一代购药品;</w:t>
      </w:r>
    </w:p>
    <w:p w14:paraId="4ACAC0AF">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提供政府卫生行政部门批准的其他适宜的医疗服务;</w:t>
      </w:r>
    </w:p>
    <w:p w14:paraId="174996AB">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对本乡镇内传染病防治、学校卫生、食品卫生、饮水卫生、职业卫生,以及村级预防保健工作进行指导、培训、考核与监督;</w:t>
      </w:r>
    </w:p>
    <w:p w14:paraId="4FF32A1F">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严格执行医疗保险政策规定,履行定点医疗机构职责,做好有关的政策宣传、监督及服务工作;</w:t>
      </w:r>
    </w:p>
    <w:p w14:paraId="0257E8F2">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深入推进乡村卫生服务一体化管理,对村卫生室实行以行政、服务一体化管理,对村卫生室实行以行政、人员、业务、药品、财产为基本内容的“五统一”规范管理;负责村卫生室的技术指导和乡村医生培训等工作;</w:t>
      </w:r>
    </w:p>
    <w:p w14:paraId="739B78AA">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w:t>
      </w:r>
      <w:r>
        <w:rPr>
          <w:rFonts w:hint="eastAsia" w:ascii="仿宋_GB2312" w:eastAsia="仿宋_GB2312"/>
          <w:sz w:val="32"/>
          <w:szCs w:val="32"/>
          <w:highlight w:val="none"/>
        </w:rPr>
        <w:t>在本乡镇政府和卫健委领导下,依据当地社会经济发展规划,协助制定和实施本乡镇的初级卫生规划;</w:t>
      </w:r>
    </w:p>
    <w:p w14:paraId="06616D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highlight w:val="none"/>
        </w:rPr>
      </w:pP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配合有关部门动员组织群众开展爱国卫生活动,逐步改善本乡镇卫生状况。</w:t>
      </w:r>
    </w:p>
    <w:p w14:paraId="371162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97D0F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沙湾市良种场卫生院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582C0BD8">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3092"/>
      <w:bookmarkStart w:id="7" w:name="_Toc29374"/>
      <w:r>
        <w:rPr>
          <w:rFonts w:hint="eastAsia" w:ascii="仿宋_GB2312" w:hAnsi="黑体" w:eastAsia="仿宋_GB2312" w:cs="宋体"/>
          <w:bCs/>
          <w:color w:val="auto"/>
          <w:kern w:val="0"/>
          <w:sz w:val="32"/>
          <w:szCs w:val="32"/>
          <w:highlight w:val="none"/>
          <w:lang w:eastAsia="zh-CN"/>
        </w:rPr>
        <w:t>该单位无</w:t>
      </w:r>
      <w:r>
        <w:rPr>
          <w:rFonts w:hint="eastAsia" w:ascii="仿宋_GB2312" w:hAnsi="黑体" w:eastAsia="仿宋_GB2312" w:cs="宋体"/>
          <w:bCs/>
          <w:color w:val="auto"/>
          <w:kern w:val="0"/>
          <w:sz w:val="32"/>
          <w:szCs w:val="32"/>
          <w:highlight w:val="none"/>
        </w:rPr>
        <w:t>下属预算单位，</w:t>
      </w:r>
      <w:r>
        <w:rPr>
          <w:rFonts w:hint="eastAsia" w:ascii="仿宋_GB2312" w:eastAsia="仿宋_GB2312"/>
          <w:sz w:val="32"/>
          <w:szCs w:val="32"/>
          <w:highlight w:val="none"/>
          <w:lang w:eastAsia="zh-CN"/>
        </w:rPr>
        <w:t>下设</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个处室，分别是：药房、医生办公室、护士办公室。</w:t>
      </w:r>
    </w:p>
    <w:p w14:paraId="34513C67">
      <w:pP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br w:type="page"/>
      </w:r>
    </w:p>
    <w:p w14:paraId="66FF35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B17B0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D7F95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83.54万元，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83.54万元，使用非财政拨款结余0.00万元，年初结转和结余0.00万元。</w:t>
      </w:r>
    </w:p>
    <w:p w14:paraId="0BC119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83.54万元，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83.54万元，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5A0511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减少25.72万元</w:t>
      </w:r>
      <w:r>
        <w:rPr>
          <w:rFonts w:hint="eastAsia" w:ascii="仿宋_GB2312" w:eastAsia="仿宋_GB2312"/>
          <w:color w:val="auto"/>
          <w:spacing w:val="0"/>
          <w:sz w:val="32"/>
          <w:szCs w:val="32"/>
          <w:highlight w:val="none"/>
          <w:lang w:eastAsia="zh-CN"/>
        </w:rPr>
        <w:t>，下降23.54%，主要原因是：2023年</w:t>
      </w:r>
      <w:r>
        <w:rPr>
          <w:rFonts w:hint="eastAsia" w:ascii="仿宋_GB2312" w:eastAsia="仿宋_GB2312"/>
          <w:color w:val="auto"/>
          <w:spacing w:val="0"/>
          <w:sz w:val="32"/>
          <w:szCs w:val="32"/>
          <w:highlight w:val="none"/>
          <w:lang w:val="en-US" w:eastAsia="zh-CN"/>
        </w:rPr>
        <w:t>未安排基本公共卫生服务项目、基本药物补助项目、村医基本补助项目资金</w:t>
      </w:r>
      <w:r>
        <w:rPr>
          <w:rFonts w:hint="eastAsia" w:ascii="仿宋_GB2312" w:eastAsia="仿宋_GB2312"/>
          <w:color w:val="auto"/>
          <w:spacing w:val="0"/>
          <w:sz w:val="32"/>
          <w:szCs w:val="32"/>
          <w:highlight w:val="none"/>
          <w:lang w:eastAsia="zh-CN"/>
        </w:rPr>
        <w:t>。</w:t>
      </w:r>
    </w:p>
    <w:p w14:paraId="60F381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4C588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83.54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83.54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1A02B4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776356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本年支出83.54万元，其中：基本支出83.54万元，占100.00%；项目支出0.00万元，占0.00%；上缴上级支出0.00万元，占0.00%；经营支出0.00万元，占0.00%；对附属单位补助支出0.00万元，占0.00%。</w:t>
      </w:r>
    </w:p>
    <w:p w14:paraId="1FA4D6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BFE40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w:t>
      </w:r>
    </w:p>
    <w:p w14:paraId="267B2F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减少25.72万元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下降23.54%,</w:t>
      </w:r>
      <w:r>
        <w:rPr>
          <w:rFonts w:hint="eastAsia" w:ascii="仿宋_GB2312" w:eastAsia="仿宋_GB2312"/>
          <w:color w:val="auto"/>
          <w:spacing w:val="0"/>
          <w:sz w:val="32"/>
          <w:szCs w:val="32"/>
          <w:highlight w:val="none"/>
          <w:lang w:eastAsia="zh-CN"/>
        </w:rPr>
        <w:t>主要原因是：2023年</w:t>
      </w:r>
      <w:r>
        <w:rPr>
          <w:rFonts w:hint="eastAsia" w:ascii="仿宋_GB2312" w:eastAsia="仿宋_GB2312"/>
          <w:color w:val="auto"/>
          <w:spacing w:val="0"/>
          <w:sz w:val="32"/>
          <w:szCs w:val="32"/>
          <w:highlight w:val="none"/>
          <w:lang w:val="en-US" w:eastAsia="zh-CN"/>
        </w:rPr>
        <w:t>未安排基本公共卫生服务项目、基本药物补助项目、村医基本补助项目资金</w:t>
      </w:r>
      <w:r>
        <w:rPr>
          <w:rFonts w:hint="eastAsia" w:ascii="仿宋_GB2312" w:eastAsia="仿宋_GB2312"/>
          <w:color w:val="auto"/>
          <w:spacing w:val="0"/>
          <w:sz w:val="32"/>
          <w:szCs w:val="32"/>
          <w:highlight w:val="none"/>
          <w:lang w:eastAsia="zh-CN"/>
        </w:rPr>
        <w:t>。</w:t>
      </w:r>
    </w:p>
    <w:p w14:paraId="6DE9A8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70.43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万元，预决算差异率18.61%，主要原因是：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eastAsia="zh-CN"/>
        </w:rPr>
        <w:t>。</w:t>
      </w:r>
    </w:p>
    <w:p w14:paraId="3E3F94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7E7E1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E5581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2023年度一般公共预算财政拨款支出83.54万元，占本年支出合计的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减少25.72万元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下降23.54%,</w:t>
      </w:r>
      <w:r>
        <w:rPr>
          <w:rFonts w:hint="eastAsia" w:ascii="仿宋_GB2312" w:eastAsia="仿宋_GB2312"/>
          <w:color w:val="auto"/>
          <w:spacing w:val="0"/>
          <w:sz w:val="32"/>
          <w:szCs w:val="32"/>
          <w:highlight w:val="none"/>
          <w:lang w:eastAsia="zh-CN"/>
        </w:rPr>
        <w:t>主要原因是：2023年</w:t>
      </w:r>
      <w:r>
        <w:rPr>
          <w:rFonts w:hint="eastAsia" w:ascii="仿宋_GB2312" w:eastAsia="仿宋_GB2312"/>
          <w:color w:val="auto"/>
          <w:spacing w:val="0"/>
          <w:sz w:val="32"/>
          <w:szCs w:val="32"/>
          <w:highlight w:val="none"/>
          <w:lang w:val="en-US" w:eastAsia="zh-CN"/>
        </w:rPr>
        <w:t>未安排基本公共卫生服务项目、基本药物补助项目、村医基本补助项目资金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70.43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83.54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18.61%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p>
    <w:p w14:paraId="229148D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48C83A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8.55%</w:t>
      </w:r>
      <w:r>
        <w:rPr>
          <w:rFonts w:hint="default" w:ascii="仿宋_GB2312" w:hAnsi="Times New Roman" w:eastAsia="仿宋_GB2312" w:cs="Times New Roman"/>
          <w:color w:val="auto"/>
          <w:spacing w:val="0"/>
          <w:kern w:val="2"/>
          <w:sz w:val="32"/>
          <w:szCs w:val="32"/>
          <w:highlight w:val="none"/>
          <w:lang w:val="zh-CN" w:eastAsia="zh-CN" w:bidi="ar-SA"/>
        </w:rPr>
        <w:t>；</w:t>
      </w:r>
    </w:p>
    <w:p w14:paraId="29CB3CF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70.54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84.44%</w:t>
      </w:r>
      <w:r>
        <w:rPr>
          <w:rFonts w:hint="default" w:ascii="仿宋_GB2312" w:hAnsi="Times New Roman" w:eastAsia="仿宋_GB2312" w:cs="Times New Roman"/>
          <w:color w:val="auto"/>
          <w:spacing w:val="0"/>
          <w:kern w:val="2"/>
          <w:sz w:val="32"/>
          <w:szCs w:val="32"/>
          <w:highlight w:val="none"/>
          <w:lang w:val="zh-CN" w:eastAsia="zh-CN" w:bidi="ar-SA"/>
        </w:rPr>
        <w:t>；</w:t>
      </w:r>
    </w:p>
    <w:p w14:paraId="1DFF566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7.01%</w:t>
      </w:r>
      <w:r>
        <w:rPr>
          <w:rFonts w:hint="default" w:ascii="仿宋_GB2312" w:hAnsi="Times New Roman" w:eastAsia="仿宋_GB2312" w:cs="Times New Roman"/>
          <w:color w:val="auto"/>
          <w:spacing w:val="0"/>
          <w:kern w:val="2"/>
          <w:sz w:val="32"/>
          <w:szCs w:val="32"/>
          <w:highlight w:val="none"/>
          <w:lang w:val="zh-CN" w:eastAsia="zh-CN" w:bidi="ar-SA"/>
        </w:rPr>
        <w:t>；</w:t>
      </w:r>
    </w:p>
    <w:p w14:paraId="6C9FA1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AE4DB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1.卫生健康支出（类）行政事业单位医疗（款）事业单位医疗（项）:支出决算数为3.00万元，比上年决算减少0.66万元，下降18.03%，主要原因是：2023年在职人员减少2人</w:t>
      </w:r>
      <w:r>
        <w:rPr>
          <w:rFonts w:hint="eastAsia" w:ascii="仿宋_GB2312" w:eastAsia="仿宋_GB2312"/>
          <w:sz w:val="32"/>
          <w:szCs w:val="32"/>
          <w:highlight w:val="none"/>
          <w:lang w:val="en-US" w:eastAsia="zh-CN"/>
        </w:rPr>
        <w:t>，事业单位医疗支出减少</w:t>
      </w:r>
      <w:r>
        <w:rPr>
          <w:rFonts w:hint="eastAsia" w:ascii="仿宋_GB2312" w:hAnsi="仿宋_GB2312" w:eastAsia="仿宋_GB2312" w:cs="仿宋_GB2312"/>
          <w:color w:val="auto"/>
          <w:kern w:val="2"/>
          <w:sz w:val="32"/>
          <w:szCs w:val="32"/>
          <w:highlight w:val="none"/>
          <w:lang w:val="zh-CN" w:eastAsia="zh-CN" w:bidi="ar-SA"/>
        </w:rPr>
        <w:t>。</w:t>
      </w:r>
    </w:p>
    <w:p w14:paraId="7264F4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2.卫生健康支出（类）基层医疗卫生机构（款）乡镇卫生院（项）:支出决算数为67.54万元，比上年决算减少7.23万元，下降9.67%，主要原因是：2023年在职人员减少2人</w:t>
      </w:r>
      <w:r>
        <w:rPr>
          <w:rFonts w:hint="eastAsia" w:ascii="仿宋_GB2312" w:eastAsia="仿宋_GB2312"/>
          <w:sz w:val="32"/>
          <w:szCs w:val="32"/>
          <w:highlight w:val="none"/>
          <w:lang w:val="en-US" w:eastAsia="zh-CN"/>
        </w:rPr>
        <w:t>，支出减少</w:t>
      </w:r>
      <w:r>
        <w:rPr>
          <w:rFonts w:hint="eastAsia" w:ascii="仿宋_GB2312" w:hAnsi="仿宋_GB2312" w:eastAsia="仿宋_GB2312" w:cs="仿宋_GB2312"/>
          <w:color w:val="auto"/>
          <w:kern w:val="2"/>
          <w:sz w:val="32"/>
          <w:szCs w:val="32"/>
          <w:highlight w:val="none"/>
          <w:lang w:val="zh-CN" w:eastAsia="zh-CN" w:bidi="ar-SA"/>
        </w:rPr>
        <w:t>。</w:t>
      </w:r>
    </w:p>
    <w:p w14:paraId="70A2A9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3.住房保障支出（类）住房改革支出（款）住房公积金（项）:支出决算数为5.86万元，比上年决算减少0.95万元，下降13.95%，主要原因是：2023年在职人员减少2人</w:t>
      </w:r>
      <w:r>
        <w:rPr>
          <w:rFonts w:hint="eastAsia" w:ascii="仿宋_GB2312" w:eastAsia="仿宋_GB2312"/>
          <w:sz w:val="32"/>
          <w:szCs w:val="32"/>
          <w:highlight w:val="none"/>
          <w:lang w:val="en-US" w:eastAsia="zh-CN"/>
        </w:rPr>
        <w:t>，住房公积金支出减少</w:t>
      </w:r>
      <w:r>
        <w:rPr>
          <w:rFonts w:hint="eastAsia" w:ascii="仿宋_GB2312" w:hAnsi="仿宋_GB2312" w:eastAsia="仿宋_GB2312" w:cs="仿宋_GB2312"/>
          <w:color w:val="auto"/>
          <w:kern w:val="2"/>
          <w:sz w:val="32"/>
          <w:szCs w:val="32"/>
          <w:highlight w:val="none"/>
          <w:lang w:val="zh-CN" w:eastAsia="zh-CN" w:bidi="ar-SA"/>
        </w:rPr>
        <w:t>。</w:t>
      </w:r>
    </w:p>
    <w:p w14:paraId="008F11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4.社会保障和就业支出（类）行政事业单位养老支出（款）机关事业单位基本养老保险缴费支出（项）:支出决算数为7.14万元，比上年决算减少0.22万元，下降2.99%，主要原因是：2023年在职人员减少2人</w:t>
      </w:r>
      <w:r>
        <w:rPr>
          <w:rFonts w:hint="eastAsia" w:ascii="仿宋_GB2312" w:eastAsia="仿宋_GB2312"/>
          <w:sz w:val="32"/>
          <w:szCs w:val="32"/>
          <w:highlight w:val="none"/>
          <w:lang w:val="en-US" w:eastAsia="zh-CN"/>
        </w:rPr>
        <w:t>，</w:t>
      </w:r>
      <w:r>
        <w:rPr>
          <w:rFonts w:hint="eastAsia" w:ascii="仿宋_GB2312" w:hAnsi="仿宋_GB2312" w:eastAsia="仿宋_GB2312" w:cs="仿宋_GB2312"/>
          <w:color w:val="auto"/>
          <w:kern w:val="2"/>
          <w:sz w:val="32"/>
          <w:szCs w:val="32"/>
          <w:highlight w:val="none"/>
          <w:lang w:val="en-US" w:eastAsia="zh-CN" w:bidi="ar-SA"/>
        </w:rPr>
        <w:t>事业单位基本养老</w:t>
      </w:r>
      <w:r>
        <w:rPr>
          <w:rFonts w:hint="eastAsia" w:ascii="仿宋_GB2312" w:eastAsia="仿宋_GB2312"/>
          <w:sz w:val="32"/>
          <w:szCs w:val="32"/>
          <w:highlight w:val="none"/>
          <w:lang w:val="en-US" w:eastAsia="zh-CN"/>
        </w:rPr>
        <w:t>支出减少</w:t>
      </w:r>
      <w:r>
        <w:rPr>
          <w:rFonts w:hint="eastAsia" w:ascii="仿宋_GB2312" w:hAnsi="仿宋_GB2312" w:eastAsia="仿宋_GB2312" w:cs="仿宋_GB2312"/>
          <w:color w:val="auto"/>
          <w:kern w:val="2"/>
          <w:sz w:val="32"/>
          <w:szCs w:val="32"/>
          <w:highlight w:val="none"/>
          <w:lang w:val="zh-CN" w:eastAsia="zh-CN" w:bidi="ar-SA"/>
        </w:rPr>
        <w:t>。</w:t>
      </w:r>
    </w:p>
    <w:p w14:paraId="484667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5.卫生健康支出（类）基层医疗卫生机构（款）其他基层医疗卫生机构支出（项）:支出决算数为0.00万元，比上年决算减少2.32万元，下降100%，主要原因是：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未安排乡村医基本补助和基本药物补助项目资金</w:t>
      </w:r>
      <w:r>
        <w:rPr>
          <w:rFonts w:hint="eastAsia" w:ascii="仿宋_GB2312" w:hAnsi="仿宋_GB2312" w:eastAsia="仿宋_GB2312" w:cs="仿宋_GB2312"/>
          <w:color w:val="auto"/>
          <w:kern w:val="2"/>
          <w:sz w:val="32"/>
          <w:szCs w:val="32"/>
          <w:highlight w:val="none"/>
          <w:lang w:val="zh-CN" w:eastAsia="zh-CN" w:bidi="ar-SA"/>
        </w:rPr>
        <w:t>。</w:t>
      </w:r>
    </w:p>
    <w:p w14:paraId="42A849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6.卫生健康支出（类）公共卫生（款）其他公共卫生支出（项）:支出决算数为0.00万元，比上年决算减少4.38万元，下降100%，主要原因是：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未安排健康体检项目补助资金</w:t>
      </w:r>
      <w:r>
        <w:rPr>
          <w:rFonts w:hint="eastAsia" w:ascii="仿宋_GB2312" w:hAnsi="仿宋_GB2312" w:eastAsia="仿宋_GB2312" w:cs="仿宋_GB2312"/>
          <w:color w:val="auto"/>
          <w:kern w:val="2"/>
          <w:sz w:val="32"/>
          <w:szCs w:val="32"/>
          <w:highlight w:val="none"/>
          <w:lang w:val="zh-CN" w:eastAsia="zh-CN" w:bidi="ar-SA"/>
        </w:rPr>
        <w:t>。</w:t>
      </w:r>
    </w:p>
    <w:p w14:paraId="5C0379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7.卫生健康支出（类）公共卫生（款）基本公共卫生服务（项）:支出决算数为0.00万元，比上年决算减少9.97万元，下降100%，主要原因是：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未安排基本公共卫生服务补助项目资金</w:t>
      </w:r>
      <w:r>
        <w:rPr>
          <w:rFonts w:hint="eastAsia" w:ascii="仿宋_GB2312" w:hAnsi="仿宋_GB2312" w:eastAsia="仿宋_GB2312" w:cs="仿宋_GB2312"/>
          <w:color w:val="auto"/>
          <w:kern w:val="2"/>
          <w:sz w:val="32"/>
          <w:szCs w:val="32"/>
          <w:highlight w:val="none"/>
          <w:lang w:val="zh-CN" w:eastAsia="zh-CN" w:bidi="ar-SA"/>
        </w:rPr>
        <w:t>。</w:t>
      </w:r>
    </w:p>
    <w:p w14:paraId="6D009F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4CC9EA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83.54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83.34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w:t>
      </w:r>
    </w:p>
    <w:p w14:paraId="6873C0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14:paraId="4DB78C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6F8AF8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14:paraId="28D8119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CB43C8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177215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原因是：固定资产车辆</w:t>
      </w:r>
      <w:r>
        <w:rPr>
          <w:rFonts w:hint="eastAsia" w:ascii="仿宋_GB2312" w:eastAsia="仿宋_GB2312"/>
          <w:color w:val="auto"/>
          <w:sz w:val="32"/>
          <w:szCs w:val="32"/>
          <w:highlight w:val="none"/>
          <w:lang w:val="en-US" w:eastAsia="zh-CN"/>
        </w:rPr>
        <w:t>1辆救护车</w:t>
      </w:r>
      <w:r>
        <w:rPr>
          <w:rFonts w:hint="eastAsia" w:ascii="仿宋_GB2312" w:eastAsia="仿宋_GB2312"/>
          <w:color w:val="auto"/>
          <w:sz w:val="32"/>
          <w:szCs w:val="32"/>
          <w:highlight w:val="none"/>
          <w:lang w:val="zh-CN" w:eastAsia="zh-CN"/>
        </w:rPr>
        <w:t>。</w:t>
      </w:r>
    </w:p>
    <w:p w14:paraId="471683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zh-CN" w:eastAsia="zh-CN"/>
        </w:rPr>
        <w:t>单位全年安排的国内公务接待0批次，0人次。</w:t>
      </w:r>
    </w:p>
    <w:p w14:paraId="6955272F">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p>
    <w:p w14:paraId="270EED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p>
    <w:p w14:paraId="64BDB0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648BE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C30F9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bookmarkEnd w:id="18"/>
    <w:bookmarkEnd w:id="19"/>
    <w:p w14:paraId="39406C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A887D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61A07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沙湾市良种场卫生院（事业单位）公用经费支出0.20万元，</w:t>
      </w:r>
      <w:r>
        <w:rPr>
          <w:rFonts w:hint="eastAsia" w:ascii="仿宋_GB2312" w:hAnsi="仿宋_GB2312" w:eastAsia="仿宋_GB2312" w:cs="仿宋_GB2312"/>
          <w:color w:val="auto"/>
          <w:sz w:val="32"/>
          <w:szCs w:val="32"/>
          <w:highlight w:val="none"/>
          <w:lang w:val="zh-CN" w:eastAsia="zh-CN"/>
        </w:rPr>
        <w:t>比上年增加0.20万元，增长100.00%，主要原因是：</w:t>
      </w:r>
      <w:r>
        <w:rPr>
          <w:rFonts w:hint="eastAsia" w:ascii="仿宋_GB2312" w:hAnsi="仿宋_GB2312" w:eastAsia="仿宋_GB2312" w:cs="仿宋_GB2312"/>
          <w:color w:val="auto"/>
          <w:sz w:val="32"/>
          <w:szCs w:val="32"/>
          <w:highlight w:val="none"/>
          <w:lang w:val="en-US" w:eastAsia="zh-CN"/>
        </w:rPr>
        <w:t>2023年支付工会经费0.73万元，2022年未安排</w:t>
      </w:r>
      <w:r>
        <w:rPr>
          <w:rFonts w:hint="eastAsia" w:ascii="仿宋_GB2312" w:hAnsi="仿宋_GB2312" w:eastAsia="仿宋_GB2312" w:cs="仿宋_GB2312"/>
          <w:color w:val="auto"/>
          <w:sz w:val="32"/>
          <w:szCs w:val="32"/>
          <w:highlight w:val="none"/>
          <w:lang w:val="zh-CN" w:eastAsia="zh-CN"/>
        </w:rPr>
        <w:t>。</w:t>
      </w:r>
    </w:p>
    <w:p w14:paraId="0242FC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BC945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2FA539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47C753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5EDBED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136.20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屋420.00平方米，价值76.38万元。车辆1辆，价值15.51万元，其中：副部（省）级及以上领导用车0辆、主要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本单位无其他用车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04DE6A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B3A600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bookmarkStart w:id="30" w:name="_Toc3250"/>
      <w:bookmarkStart w:id="31" w:name="_Toc24143"/>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预算总额83.54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实际执行总额83.54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14:paraId="419E966A">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预算绩效管理取得的成效：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w:t>
      </w:r>
    </w:p>
    <w:p w14:paraId="2745A222">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w:t>
      </w:r>
    </w:p>
    <w:p w14:paraId="5358796B">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下一步改进措施：一是提高对预算绩效管理的认识，充分理解财政绩效评价指标体系，加强预算的约束力；二是强化全过程预算绩效管理理念，突出绩效指标的重要性和综合性。</w:t>
      </w:r>
    </w:p>
    <w:p w14:paraId="17FA906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2BC5EE8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DDF57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bookmarkStart w:id="32" w:name="OLE_LINK1"/>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bookmarkEnd w:id="32"/>
    </w:p>
    <w:p w14:paraId="601269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D765E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D5585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67F2A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69CEA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2DF17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F7012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8EFCE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FE9A61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6541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4D3BC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05D1B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35DEB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C904E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88D4C2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7ED10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1B362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6062"/>
      <w:bookmarkStart w:id="34" w:name="_Toc2183"/>
      <w:r>
        <w:rPr>
          <w:rFonts w:hint="eastAsia" w:ascii="黑体" w:hAnsi="黑体" w:eastAsia="仿宋_GB2312" w:cs="宋体"/>
          <w:bCs/>
          <w:color w:val="auto"/>
          <w:kern w:val="0"/>
          <w:sz w:val="32"/>
          <w:szCs w:val="32"/>
          <w:highlight w:val="none"/>
        </w:rPr>
        <w:t>一、《收入支出决算总表》</w:t>
      </w:r>
      <w:bookmarkEnd w:id="33"/>
      <w:bookmarkEnd w:id="34"/>
    </w:p>
    <w:p w14:paraId="4ECC35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14:paraId="46C3F5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1304"/>
      <w:bookmarkStart w:id="38" w:name="_Toc32434"/>
      <w:r>
        <w:rPr>
          <w:rFonts w:hint="eastAsia" w:ascii="黑体" w:hAnsi="黑体" w:eastAsia="仿宋_GB2312" w:cs="宋体"/>
          <w:bCs/>
          <w:color w:val="auto"/>
          <w:kern w:val="0"/>
          <w:sz w:val="32"/>
          <w:szCs w:val="32"/>
          <w:highlight w:val="none"/>
        </w:rPr>
        <w:t>三、《支出决算表》</w:t>
      </w:r>
      <w:bookmarkEnd w:id="37"/>
      <w:bookmarkEnd w:id="38"/>
    </w:p>
    <w:p w14:paraId="7CBD22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14:paraId="675DF0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869"/>
      <w:bookmarkStart w:id="42" w:name="_Toc10347"/>
      <w:r>
        <w:rPr>
          <w:rFonts w:hint="eastAsia" w:ascii="黑体" w:hAnsi="黑体" w:eastAsia="仿宋_GB2312" w:cs="宋体"/>
          <w:bCs/>
          <w:color w:val="auto"/>
          <w:kern w:val="0"/>
          <w:sz w:val="32"/>
          <w:szCs w:val="32"/>
          <w:highlight w:val="none"/>
        </w:rPr>
        <w:t>五、《一般公共预算财政拨款支出决算表》</w:t>
      </w:r>
      <w:bookmarkEnd w:id="41"/>
      <w:bookmarkEnd w:id="42"/>
    </w:p>
    <w:p w14:paraId="3738B0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5626"/>
      <w:bookmarkStart w:id="44" w:name="_Toc8884"/>
      <w:r>
        <w:rPr>
          <w:rFonts w:hint="eastAsia" w:ascii="黑体" w:hAnsi="黑体" w:eastAsia="仿宋_GB2312" w:cs="宋体"/>
          <w:bCs/>
          <w:color w:val="auto"/>
          <w:kern w:val="0"/>
          <w:sz w:val="32"/>
          <w:szCs w:val="32"/>
          <w:highlight w:val="none"/>
        </w:rPr>
        <w:t>六、《一般公共预算财政拨款基本支出决算表》</w:t>
      </w:r>
      <w:bookmarkEnd w:id="43"/>
      <w:bookmarkEnd w:id="44"/>
    </w:p>
    <w:p w14:paraId="058C2E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14:paraId="4EAD3A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7643"/>
      <w:bookmarkStart w:id="48" w:name="_Toc545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14:paraId="60C2A5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D52C4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8FA19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93EB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8640D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B8640D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2ABACEC1"/>
    <w:multiLevelType w:val="singleLevel"/>
    <w:tmpl w:val="2ABACEC1"/>
    <w:lvl w:ilvl="0" w:tentative="0">
      <w:start w:val="1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1116E8"/>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1577D2"/>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1712E8"/>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4D0887"/>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5A1447"/>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8C753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8A4D76"/>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3A0EAE"/>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21360B"/>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8047C2"/>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5936</Words>
  <Characters>6561</Characters>
  <Lines>0</Lines>
  <Paragraphs>0</Paragraphs>
  <TotalTime>2</TotalTime>
  <ScaleCrop>false</ScaleCrop>
  <LinksUpToDate>false</LinksUpToDate>
  <CharactersWithSpaces>6572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2025-03-28T07:13:21Z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