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E2DC0">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2924165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7D5F571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沙湾市老沙湾镇卫生院</w:t>
      </w:r>
    </w:p>
    <w:p w14:paraId="00277FD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E370E9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1691E672">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FBA776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6801AB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0E4D2E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07E09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EA33DF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1F3A54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9CEAF4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9748A6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03688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4E0185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9601A4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903E16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C9A1F6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F489D1E">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444406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767603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A4DE07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1DC099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E62B6B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40D19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08D50F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9ABD54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4A028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8E3FC0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37773F3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5A408E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0F9C6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4026C0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B0977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E5674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1543BD0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B751C8B">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734FF12E">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63F68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92164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32B4AD44">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rPr>
        <w:t>主要负责辖区内广大农牧民的基本医疗、预防保健、基本公共卫生服务、城乡居民基本医疗保险的服务管理、乡村同步管理、乡村医生的培训和村卫生室的管理、公共卫生监督协管、公共卫生事件的处理、恢复期病人的康复治疗与康复指导等工作。</w:t>
      </w:r>
    </w:p>
    <w:p w14:paraId="5ED9B5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4B388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沙湾市老沙湾镇卫生院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p>
    <w:p w14:paraId="41FF2F65">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hAnsi="黑体" w:eastAsia="仿宋_GB2312" w:cs="宋体"/>
          <w:bCs/>
          <w:color w:val="auto"/>
          <w:kern w:val="0"/>
          <w:sz w:val="32"/>
          <w:szCs w:val="32"/>
          <w:highlight w:val="none"/>
        </w:rPr>
        <w:t>单位无下属预算单位，</w:t>
      </w:r>
      <w:r>
        <w:rPr>
          <w:rFonts w:hint="eastAsia" w:ascii="仿宋_GB2312" w:eastAsia="仿宋_GB2312"/>
          <w:sz w:val="32"/>
          <w:szCs w:val="32"/>
          <w:highlight w:val="none"/>
          <w:lang w:eastAsia="zh-CN"/>
        </w:rPr>
        <w:t>下设10个处室，分别是：公共卫生科、检验科室、功能科室、门诊、住院、护理</w:t>
      </w:r>
      <w:r>
        <w:rPr>
          <w:rFonts w:hint="eastAsia" w:ascii="仿宋_GB2312" w:eastAsia="仿宋_GB2312"/>
          <w:sz w:val="32"/>
          <w:szCs w:val="32"/>
          <w:highlight w:val="none"/>
          <w:lang w:val="en-US" w:eastAsia="zh-CN"/>
        </w:rPr>
        <w:t>科</w:t>
      </w:r>
      <w:r>
        <w:rPr>
          <w:rFonts w:hint="eastAsia" w:ascii="仿宋_GB2312" w:eastAsia="仿宋_GB2312"/>
          <w:sz w:val="32"/>
          <w:szCs w:val="32"/>
          <w:highlight w:val="none"/>
          <w:lang w:eastAsia="zh-CN"/>
        </w:rPr>
        <w:t>、中医理疗科、财务室、防疫室、妇幼保健室。</w:t>
      </w:r>
    </w:p>
    <w:p w14:paraId="65F9D3DF">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10A1C8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0B9C4E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05E0E7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571.29万元，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571.29万元，使用非财政拨款结余0.00万元，年初结转和结余0.00万元。</w:t>
      </w:r>
    </w:p>
    <w:p w14:paraId="15D0AD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571.29万元，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556.45万元，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0.00万元，年末结转和结余14.84万元。</w:t>
      </w:r>
    </w:p>
    <w:p w14:paraId="1B725F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增加107.11万元</w:t>
      </w:r>
      <w:r>
        <w:rPr>
          <w:rFonts w:hint="eastAsia" w:ascii="仿宋_GB2312" w:eastAsia="仿宋_GB2312"/>
          <w:color w:val="auto"/>
          <w:spacing w:val="0"/>
          <w:sz w:val="32"/>
          <w:szCs w:val="32"/>
          <w:highlight w:val="none"/>
          <w:lang w:eastAsia="zh-CN"/>
        </w:rPr>
        <w:t>，增长23.08%，主要原因是：</w:t>
      </w:r>
      <w:r>
        <w:rPr>
          <w:rFonts w:hint="eastAsia" w:ascii="仿宋_GB2312" w:eastAsia="仿宋_GB2312"/>
          <w:color w:val="auto"/>
          <w:spacing w:val="0"/>
          <w:sz w:val="32"/>
          <w:szCs w:val="32"/>
          <w:highlight w:val="none"/>
          <w:lang w:val="en-US" w:eastAsia="zh-CN"/>
        </w:rPr>
        <w:t>一是2023年人员工资调资；二是</w:t>
      </w:r>
      <w:r>
        <w:rPr>
          <w:rFonts w:hint="eastAsia" w:ascii="仿宋_GB2312" w:eastAsia="仿宋_GB2312"/>
          <w:sz w:val="32"/>
          <w:szCs w:val="32"/>
          <w:highlight w:val="none"/>
          <w:lang w:val="en-US" w:eastAsia="zh-CN"/>
        </w:rPr>
        <w:t>2023年发放2018年及2020年绩效工资，相应的人员经费增加</w:t>
      </w:r>
      <w:r>
        <w:rPr>
          <w:rFonts w:hint="eastAsia" w:ascii="仿宋_GB2312" w:eastAsia="仿宋_GB2312"/>
          <w:color w:val="auto"/>
          <w:spacing w:val="0"/>
          <w:sz w:val="32"/>
          <w:szCs w:val="32"/>
          <w:highlight w:val="none"/>
          <w:lang w:val="en-US" w:eastAsia="zh-CN"/>
        </w:rPr>
        <w:t>；三是2023年单位门诊及住院收入增加</w:t>
      </w:r>
      <w:r>
        <w:rPr>
          <w:rFonts w:hint="eastAsia" w:ascii="仿宋_GB2312" w:eastAsia="仿宋_GB2312"/>
          <w:color w:val="auto"/>
          <w:spacing w:val="0"/>
          <w:sz w:val="32"/>
          <w:szCs w:val="32"/>
          <w:highlight w:val="none"/>
          <w:lang w:eastAsia="zh-CN"/>
        </w:rPr>
        <w:t>。</w:t>
      </w:r>
    </w:p>
    <w:p w14:paraId="4BE8C1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1C4CE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571.29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472.39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82.69%</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98.83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17.30%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w:t>
      </w:r>
    </w:p>
    <w:p w14:paraId="03D4EF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240133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本年支出556.45万元，其中：基本支出433.78万元，占77.95%；项目支出122.67万元，占22.05%；上缴上级支出0.00万元，占0.00%；经营支出0.00万元，占0.00%；对附属单位补助支出0.00万元，占0.00%。</w:t>
      </w:r>
    </w:p>
    <w:p w14:paraId="4DBD4C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E8DDB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472.39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472.39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472.39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472.39</w:t>
      </w:r>
      <w:r>
        <w:rPr>
          <w:rFonts w:hint="eastAsia" w:ascii="仿宋_GB2312" w:eastAsia="仿宋_GB2312"/>
          <w:color w:val="auto"/>
          <w:spacing w:val="0"/>
          <w:sz w:val="32"/>
          <w:szCs w:val="32"/>
          <w:highlight w:val="none"/>
          <w:lang w:eastAsia="zh-CN"/>
        </w:rPr>
        <w:t>万元。</w:t>
      </w:r>
    </w:p>
    <w:p w14:paraId="2460C9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增加8.21万元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增长1.77%,</w:t>
      </w:r>
      <w:r>
        <w:rPr>
          <w:rFonts w:hint="eastAsia" w:ascii="仿宋_GB2312" w:eastAsia="仿宋_GB2312"/>
          <w:color w:val="auto"/>
          <w:spacing w:val="0"/>
          <w:sz w:val="32"/>
          <w:szCs w:val="32"/>
          <w:highlight w:val="none"/>
          <w:lang w:eastAsia="zh-CN"/>
        </w:rPr>
        <w:t>主要原因是：一是</w:t>
      </w:r>
      <w:r>
        <w:rPr>
          <w:rFonts w:hint="eastAsia" w:ascii="仿宋_GB2312" w:eastAsia="仿宋_GB2312"/>
          <w:sz w:val="32"/>
          <w:szCs w:val="32"/>
          <w:highlight w:val="none"/>
          <w:lang w:val="en-US" w:eastAsia="zh-CN"/>
        </w:rPr>
        <w:t>2023年人员工资调资；二是2023年发放2018年及2020年绩效工资，相应的人员经费增加。</w:t>
      </w:r>
    </w:p>
    <w:p w14:paraId="2BD160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sz w:val="32"/>
          <w:szCs w:val="32"/>
          <w:highlight w:val="none"/>
          <w:lang w:val="en-US" w:eastAsia="zh-CN"/>
        </w:rPr>
        <w:t xml:space="preserve"> </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332.94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472.39</w:t>
      </w:r>
      <w:r>
        <w:rPr>
          <w:rFonts w:hint="eastAsia" w:ascii="仿宋_GB2312" w:eastAsia="仿宋_GB2312"/>
          <w:color w:val="auto"/>
          <w:spacing w:val="0"/>
          <w:sz w:val="32"/>
          <w:szCs w:val="32"/>
          <w:highlight w:val="none"/>
          <w:lang w:eastAsia="zh-CN"/>
        </w:rPr>
        <w:t>万元，预决算差异率41.88%，主要原因是：一是</w:t>
      </w:r>
      <w:r>
        <w:rPr>
          <w:rFonts w:hint="eastAsia" w:ascii="仿宋_GB2312" w:eastAsia="仿宋_GB2312"/>
          <w:sz w:val="32"/>
          <w:szCs w:val="32"/>
          <w:highlight w:val="none"/>
          <w:lang w:val="en-US" w:eastAsia="zh-CN"/>
        </w:rPr>
        <w:t>2023年人员工资调资；二是2023年发放2018年及2020年绩效工资，相应的人员经费增加；</w:t>
      </w:r>
      <w:r>
        <w:rPr>
          <w:rFonts w:hint="eastAsia" w:ascii="仿宋_GB2312" w:eastAsia="仿宋_GB2312"/>
          <w:color w:val="auto"/>
          <w:spacing w:val="0"/>
          <w:sz w:val="32"/>
          <w:szCs w:val="32"/>
          <w:highlight w:val="none"/>
          <w:lang w:val="en-US" w:eastAsia="zh-CN"/>
        </w:rPr>
        <w:t>三是上级拨付专项资金年中追加基本公共卫生服务补助资金、基本药物制度补助资金。</w:t>
      </w:r>
    </w:p>
    <w:p w14:paraId="58666C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0E1ABA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36F7B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2023年度一般公共预算财政拨款支出472.39万元，占本年支出合计的</w:t>
      </w:r>
      <w:r>
        <w:rPr>
          <w:rFonts w:hint="eastAsia" w:ascii="仿宋_GB2312" w:eastAsia="仿宋_GB2312"/>
          <w:color w:val="auto"/>
          <w:spacing w:val="0"/>
          <w:sz w:val="32"/>
          <w:szCs w:val="32"/>
          <w:highlight w:val="none"/>
          <w:lang w:val="zh-CN" w:eastAsia="zh-CN"/>
        </w:rPr>
        <w:t>84.89%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增加8.21万元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增长1.77%,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2023年人员工资增资</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332.94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472.39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41.88%</w:t>
      </w:r>
      <w:r>
        <w:rPr>
          <w:rFonts w:hint="eastAsia" w:ascii="仿宋_GB2312" w:eastAsia="仿宋_GB2312"/>
          <w:color w:val="auto"/>
          <w:spacing w:val="0"/>
          <w:sz w:val="32"/>
          <w:szCs w:val="32"/>
          <w:highlight w:val="none"/>
          <w:lang w:eastAsia="zh-CN"/>
        </w:rPr>
        <w:t>，主要原因是：一是</w:t>
      </w:r>
      <w:r>
        <w:rPr>
          <w:rFonts w:hint="eastAsia" w:ascii="仿宋_GB2312" w:eastAsia="仿宋_GB2312"/>
          <w:sz w:val="32"/>
          <w:szCs w:val="32"/>
          <w:highlight w:val="none"/>
          <w:lang w:val="en-US" w:eastAsia="zh-CN"/>
        </w:rPr>
        <w:t>2023年发放2018年及2020年绩效工资，相应的人员经费增加</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二是上级拨付专项资金年中追加基本公共卫生服务补助资金、基本药物制度补助资金。</w:t>
      </w:r>
    </w:p>
    <w:p w14:paraId="15C17A3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3DD471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43.83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9.28%；</w:t>
      </w:r>
    </w:p>
    <w:p w14:paraId="12F31DD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403.73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85.47%</w:t>
      </w:r>
      <w:r>
        <w:rPr>
          <w:rFonts w:hint="default" w:ascii="仿宋_GB2312" w:hAnsi="Times New Roman" w:eastAsia="仿宋_GB2312" w:cs="Times New Roman"/>
          <w:color w:val="auto"/>
          <w:spacing w:val="0"/>
          <w:kern w:val="2"/>
          <w:sz w:val="32"/>
          <w:szCs w:val="32"/>
          <w:highlight w:val="none"/>
          <w:lang w:val="zh-CN" w:eastAsia="zh-CN" w:bidi="ar-SA"/>
        </w:rPr>
        <w:t>；</w:t>
      </w:r>
    </w:p>
    <w:p w14:paraId="518DC57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3.住房保障支出（类）</w:t>
      </w:r>
      <w:r>
        <w:rPr>
          <w:rFonts w:hint="eastAsia" w:ascii="仿宋_GB2312" w:hAnsi="Times New Roman" w:eastAsia="仿宋_GB2312" w:cs="Times New Roman"/>
          <w:color w:val="auto"/>
          <w:spacing w:val="0"/>
          <w:kern w:val="2"/>
          <w:sz w:val="32"/>
          <w:szCs w:val="32"/>
          <w:highlight w:val="none"/>
          <w:lang w:val="zh-CN" w:eastAsia="zh-CN" w:bidi="ar-SA"/>
        </w:rPr>
        <w:t>24.83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5.2</w:t>
      </w:r>
      <w:r>
        <w:rPr>
          <w:rFonts w:hint="eastAsia" w:ascii="仿宋_GB2312" w:eastAsia="仿宋_GB2312" w:cs="Times New Roman"/>
          <w:color w:val="auto"/>
          <w:spacing w:val="0"/>
          <w:kern w:val="2"/>
          <w:sz w:val="32"/>
          <w:szCs w:val="32"/>
          <w:highlight w:val="none"/>
          <w:lang w:val="en-US" w:eastAsia="zh-CN" w:bidi="ar-SA"/>
        </w:rPr>
        <w:t>5</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14:paraId="2C2677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5A43A3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1.卫生健康支出（类）行政事业单位医疗（款）事业单位医疗（项）:支出决算数为13.70万元，比上年决算减少4.03万元，下降22.73%，主要原因是：一是2023年一名在职人员转退休；二是2023年两名在职人员调出</w:t>
      </w:r>
      <w:r>
        <w:rPr>
          <w:rFonts w:hint="eastAsia" w:ascii="仿宋_GB2312" w:eastAsia="仿宋_GB2312"/>
          <w:sz w:val="32"/>
          <w:szCs w:val="32"/>
          <w:highlight w:val="none"/>
          <w:lang w:val="en-US" w:eastAsia="zh-CN"/>
        </w:rPr>
        <w:t>，事业单位医疗支出减少</w:t>
      </w:r>
      <w:r>
        <w:rPr>
          <w:rFonts w:hint="eastAsia" w:ascii="仿宋_GB2312" w:hAnsi="仿宋_GB2312" w:eastAsia="仿宋_GB2312" w:cs="仿宋_GB2312"/>
          <w:color w:val="auto"/>
          <w:kern w:val="2"/>
          <w:sz w:val="32"/>
          <w:szCs w:val="32"/>
          <w:highlight w:val="none"/>
          <w:lang w:val="zh-CN" w:eastAsia="zh-CN" w:bidi="ar-SA"/>
        </w:rPr>
        <w:t>。</w:t>
      </w:r>
    </w:p>
    <w:p w14:paraId="362883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2.卫生健康支出（类）基层医疗卫生机构（款）其他基层医疗卫生机构支出（项）:支出决算数为36.34万元，比上年决算增加4.22万元，增长13.14%，主要原因是：2023年</w:t>
      </w:r>
      <w:r>
        <w:rPr>
          <w:rFonts w:hint="eastAsia" w:ascii="仿宋_GB2312" w:hAnsi="仿宋_GB2312" w:eastAsia="仿宋_GB2312" w:cs="仿宋_GB2312"/>
          <w:color w:val="auto"/>
          <w:kern w:val="2"/>
          <w:sz w:val="32"/>
          <w:szCs w:val="32"/>
          <w:highlight w:val="none"/>
          <w:lang w:val="zh-CN" w:eastAsia="zh-CN" w:bidi="ar-SA"/>
        </w:rPr>
        <w:t>支付</w:t>
      </w:r>
      <w:r>
        <w:rPr>
          <w:rFonts w:hint="eastAsia" w:ascii="仿宋_GB2312" w:hAnsi="仿宋_GB2312" w:eastAsia="仿宋_GB2312" w:cs="仿宋_GB2312"/>
          <w:color w:val="auto"/>
          <w:kern w:val="2"/>
          <w:sz w:val="32"/>
          <w:szCs w:val="32"/>
          <w:highlight w:val="none"/>
          <w:lang w:val="en-US" w:eastAsia="zh-CN" w:bidi="ar-SA"/>
        </w:rPr>
        <w:t>2017年标准化建设工程款比上年增加</w:t>
      </w:r>
      <w:r>
        <w:rPr>
          <w:rFonts w:hint="eastAsia" w:ascii="仿宋_GB2312" w:hAnsi="仿宋_GB2312" w:eastAsia="仿宋_GB2312" w:cs="仿宋_GB2312"/>
          <w:color w:val="auto"/>
          <w:kern w:val="2"/>
          <w:sz w:val="32"/>
          <w:szCs w:val="32"/>
          <w:highlight w:val="none"/>
          <w:lang w:val="zh-CN" w:eastAsia="zh-CN" w:bidi="ar-SA"/>
        </w:rPr>
        <w:t>。</w:t>
      </w:r>
    </w:p>
    <w:p w14:paraId="122979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3.卫生健康支出（类）公共卫生（款）其他公共卫生支出（项）:支出决算数为22.97万元，比上年决算减少9.18万元，下降28.55%，主要原因是：2023年其他公共卫生支出资金结转下年使用</w:t>
      </w:r>
      <w:r>
        <w:rPr>
          <w:rFonts w:hint="eastAsia" w:ascii="仿宋_GB2312" w:hAnsi="仿宋_GB2312" w:eastAsia="仿宋_GB2312" w:cs="仿宋_GB2312"/>
          <w:color w:val="auto"/>
          <w:kern w:val="2"/>
          <w:sz w:val="32"/>
          <w:szCs w:val="32"/>
          <w:highlight w:val="none"/>
          <w:lang w:val="zh-CN" w:eastAsia="zh-CN" w:bidi="ar-SA"/>
        </w:rPr>
        <w:t>。</w:t>
      </w:r>
    </w:p>
    <w:p w14:paraId="250A49FB">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4.卫生健康支出（类）基层医疗卫生机构（款）乡镇卫生院（项）:支出决算数</w:t>
      </w:r>
      <w:bookmarkStart w:id="48" w:name="_GoBack"/>
      <w:bookmarkEnd w:id="48"/>
      <w:r>
        <w:rPr>
          <w:rFonts w:hint="eastAsia" w:ascii="仿宋_GB2312" w:hAnsi="仿宋_GB2312" w:eastAsia="仿宋_GB2312" w:cs="仿宋_GB2312"/>
          <w:color w:val="auto"/>
          <w:kern w:val="2"/>
          <w:sz w:val="32"/>
          <w:szCs w:val="32"/>
          <w:highlight w:val="none"/>
          <w:lang w:val="en-US" w:eastAsia="zh-CN" w:bidi="ar-SA"/>
        </w:rPr>
        <w:t>为267.36万元，比上年决算增加4.53万元，增长1.72%，主要原因是：</w:t>
      </w:r>
      <w:r>
        <w:rPr>
          <w:rFonts w:hint="eastAsia" w:ascii="仿宋_GB2312" w:eastAsia="仿宋_GB2312"/>
          <w:sz w:val="32"/>
          <w:szCs w:val="32"/>
          <w:highlight w:val="none"/>
          <w:lang w:val="en-US" w:eastAsia="zh-CN"/>
        </w:rPr>
        <w:t>一是2023年人员工资调资；二是2023年发放2018年及2020年绩效工资，相应的人员经费增加。</w:t>
      </w:r>
    </w:p>
    <w:p w14:paraId="4D061FBD">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5.住房保障支出（类）住房改革支出（款）住房公积金（项）:支出决算数为24.83万元，比上年决算增加2.16万元，增长9.53%，主要原因是：2023</w:t>
      </w:r>
      <w:r>
        <w:rPr>
          <w:rFonts w:hint="eastAsia" w:ascii="仿宋_GB2312" w:eastAsia="仿宋_GB2312"/>
          <w:sz w:val="32"/>
          <w:szCs w:val="32"/>
          <w:highlight w:val="none"/>
          <w:lang w:val="en-US" w:eastAsia="zh-CN"/>
        </w:rPr>
        <w:t>年调增工资，缴费基数增加，单位住房公积金缴费支出增加。</w:t>
      </w:r>
    </w:p>
    <w:p w14:paraId="5CB1FF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事业单位离退休（项）:支出决算数为7.16万元，比上年决算减少5.61万元，下降43.93%，主要原因是：2022年发放一名离休人员1-5月离休费5.77万元、基础绩效0.35万元，因这名离休人员于2022年4月去世，2023年仅补发了这名离休人员的基础绩效及艰苦边远津贴0.61万元。</w:t>
      </w:r>
    </w:p>
    <w:p w14:paraId="34B0B6F1">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7.卫生健康支出（类）公共卫生（款）基本公共卫生服务（项）:支出决算数为63.36万元，比上年决算增加4.25万元，增长7.19%，主要原因是：</w:t>
      </w:r>
      <w:r>
        <w:rPr>
          <w:rFonts w:hint="eastAsia" w:ascii="仿宋_GB2312" w:eastAsia="仿宋_GB2312"/>
          <w:sz w:val="32"/>
          <w:szCs w:val="32"/>
          <w:highlight w:val="none"/>
          <w:lang w:val="en-US" w:eastAsia="zh-CN"/>
        </w:rPr>
        <w:t>2023年基本公共卫生服务项目人均补助标准提高，村医基本公共卫生服务补助支出增加。</w:t>
      </w:r>
    </w:p>
    <w:p w14:paraId="34A29E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5.06万元，比上年决算增加5.06万元，增长100%，主要原因是：2023年一名在职人员转退休，机关事业单位职业年金缴费支出增加。</w:t>
      </w:r>
    </w:p>
    <w:p w14:paraId="03A7F9A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9.社会保障和就业支出（类）行政事业单位养老支出（款）机关事业单位基本养老保险缴费支出（项）:支出决算数为31.62万元，比上年决算增加6.95万元，增长28.17%，主要原因是：2023年</w:t>
      </w:r>
      <w:r>
        <w:rPr>
          <w:rFonts w:hint="eastAsia" w:ascii="仿宋_GB2312" w:eastAsia="仿宋_GB2312"/>
          <w:sz w:val="32"/>
          <w:szCs w:val="32"/>
          <w:highlight w:val="none"/>
          <w:lang w:val="en-US" w:eastAsia="zh-CN"/>
        </w:rPr>
        <w:t>调增工资，缴费基数增加，单位基本养老保险缴费支出增加。</w:t>
      </w:r>
    </w:p>
    <w:p w14:paraId="4930945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10.卫生健康支出（类）公立医院（款）其他公立医院支出（项）:支出决算数为0.00万元，比上年决算减少0.13万元，下降100%，主要原因是：2023年减少乡镇村卫生室办公经费-医共体远程信息服务费。</w:t>
      </w:r>
    </w:p>
    <w:p w14:paraId="6D6DCB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092290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349.72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348.92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基本工资、津贴补贴、奖金、绩效工资、机关事业单位基本养老保险缴费、职业年金缴费、职工基本医疗保险缴费、其他社会保障缴费、住房公积金、离休费、退休费。</w:t>
      </w:r>
    </w:p>
    <w:p w14:paraId="451D609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0.80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r>
        <w:rPr>
          <w:rFonts w:hint="eastAsia" w:ascii="仿宋_GB2312" w:eastAsia="仿宋_GB2312"/>
          <w:color w:val="auto"/>
          <w:sz w:val="32"/>
          <w:szCs w:val="32"/>
          <w:highlight w:val="none"/>
          <w:lang w:eastAsia="zh-CN"/>
        </w:rPr>
        <w:t>。</w:t>
      </w:r>
    </w:p>
    <w:p w14:paraId="4BBC0A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D2750D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w:t>
      </w:r>
      <w:r>
        <w:rPr>
          <w:rFonts w:hint="eastAsia" w:ascii="仿宋_GB2312" w:eastAsia="仿宋_GB2312"/>
          <w:color w:val="auto"/>
          <w:sz w:val="32"/>
          <w:szCs w:val="32"/>
          <w:highlight w:val="none"/>
          <w:lang w:val="zh-CN" w:eastAsia="zh-CN"/>
        </w:rPr>
        <w:t>“三公”</w:t>
      </w:r>
      <w:r>
        <w:rPr>
          <w:rFonts w:hint="eastAsia" w:ascii="仿宋_GB2312" w:eastAsia="仿宋_GB2312"/>
          <w:sz w:val="32"/>
          <w:szCs w:val="32"/>
          <w:highlight w:val="none"/>
        </w:rPr>
        <w:t>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r>
        <w:rPr>
          <w:rFonts w:hint="eastAsia" w:ascii="仿宋_GB2312" w:eastAsia="仿宋_GB2312"/>
          <w:color w:val="auto"/>
          <w:sz w:val="32"/>
          <w:szCs w:val="32"/>
          <w:highlight w:val="none"/>
          <w:lang w:val="zh-CN" w:eastAsia="zh-CN"/>
        </w:rPr>
        <w:t>。</w:t>
      </w:r>
    </w:p>
    <w:p w14:paraId="6154B01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221137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14:paraId="1F77A4C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固定资产车辆</w:t>
      </w:r>
      <w:r>
        <w:rPr>
          <w:rFonts w:hint="eastAsia" w:ascii="仿宋_GB2312" w:eastAsia="仿宋_GB2312"/>
          <w:color w:val="auto"/>
          <w:sz w:val="32"/>
          <w:szCs w:val="32"/>
          <w:highlight w:val="none"/>
          <w:lang w:val="zh-CN" w:eastAsia="zh-CN"/>
        </w:rPr>
        <w:t>1辆为救护车，属于特种专业技术用车。</w:t>
      </w:r>
    </w:p>
    <w:p w14:paraId="4BB4E8E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sz w:val="32"/>
          <w:szCs w:val="32"/>
          <w:highlight w:val="none"/>
          <w:lang w:eastAsia="zh-CN"/>
        </w:rPr>
        <w:t>开支</w:t>
      </w:r>
      <w:r>
        <w:rPr>
          <w:rFonts w:hint="eastAsia" w:ascii="仿宋_GB2312" w:eastAsia="仿宋_GB2312"/>
          <w:color w:val="auto"/>
          <w:sz w:val="32"/>
          <w:szCs w:val="32"/>
          <w:highlight w:val="none"/>
          <w:lang w:val="zh-CN" w:eastAsia="zh-CN"/>
        </w:rPr>
        <w:t>。单位全年安排的国内公务接待0批次，0人次。</w:t>
      </w:r>
    </w:p>
    <w:p w14:paraId="3589C02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我单位未安排财政拨款“三公”经费支出，预决算无差异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r>
        <w:rPr>
          <w:rFonts w:hint="eastAsia" w:ascii="仿宋_GB2312" w:eastAsia="仿宋_GB2312"/>
          <w:color w:val="auto"/>
          <w:sz w:val="32"/>
          <w:szCs w:val="32"/>
          <w:highlight w:val="none"/>
          <w:lang w:val="zh-CN" w:eastAsia="zh-CN"/>
        </w:rPr>
        <w:t>。</w:t>
      </w:r>
    </w:p>
    <w:p w14:paraId="621249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2F9B81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30846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C1D1F0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1CE5ED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C0EA5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2C100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沙湾市老沙湾镇卫生院（事业单位）公用经费支出0.80万元，</w:t>
      </w:r>
      <w:r>
        <w:rPr>
          <w:rFonts w:hint="eastAsia" w:ascii="仿宋_GB2312" w:hAnsi="仿宋_GB2312" w:eastAsia="仿宋_GB2312" w:cs="仿宋_GB2312"/>
          <w:color w:val="auto"/>
          <w:sz w:val="32"/>
          <w:szCs w:val="32"/>
          <w:highlight w:val="none"/>
          <w:lang w:val="zh-CN" w:eastAsia="zh-CN"/>
        </w:rPr>
        <w:t>比上年增加0.80万元，增长100.00%，主要原因是：</w:t>
      </w:r>
      <w:r>
        <w:rPr>
          <w:rFonts w:hint="eastAsia" w:ascii="仿宋_GB2312" w:hAnsi="仿宋_GB2312" w:eastAsia="仿宋_GB2312" w:cs="仿宋_GB2312"/>
          <w:color w:val="auto"/>
          <w:sz w:val="32"/>
          <w:szCs w:val="32"/>
          <w:highlight w:val="none"/>
          <w:lang w:val="en-US" w:eastAsia="zh-CN"/>
        </w:rPr>
        <w:t>2023年支付工会经费0.8万元，2022年未拨付此费用</w:t>
      </w:r>
      <w:r>
        <w:rPr>
          <w:rFonts w:hint="eastAsia" w:ascii="仿宋_GB2312" w:hAnsi="仿宋_GB2312" w:eastAsia="仿宋_GB2312" w:cs="仿宋_GB2312"/>
          <w:color w:val="auto"/>
          <w:sz w:val="32"/>
          <w:szCs w:val="32"/>
          <w:highlight w:val="none"/>
          <w:lang w:val="zh-CN" w:eastAsia="zh-CN"/>
        </w:rPr>
        <w:t>。</w:t>
      </w:r>
    </w:p>
    <w:p w14:paraId="0503BE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59FCD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36.66万元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其中：政府采购货物支出20.85万元、政府采购工程支出0.00万元、政府采购服务支出15.81万元。</w:t>
      </w:r>
    </w:p>
    <w:p w14:paraId="5DEBCF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授予中小企业合同金额36.66万元，占政府采购支出总额的100.00%，其中：授予小微企业合同金额33.83万元，占政府采购支出总额的92.28%</w:t>
      </w:r>
      <w:r>
        <w:rPr>
          <w:rFonts w:hint="eastAsia" w:ascii="仿宋_GB2312" w:hAnsi="仿宋_GB2312" w:eastAsia="仿宋_GB2312" w:cs="仿宋_GB2312"/>
          <w:color w:val="auto"/>
          <w:sz w:val="32"/>
          <w:szCs w:val="32"/>
          <w:highlight w:val="none"/>
          <w:lang w:val="en-US" w:eastAsia="zh-CN"/>
        </w:rPr>
        <w:t>。</w:t>
      </w:r>
    </w:p>
    <w:p w14:paraId="2F15F3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val="zh-CN" w:eastAsia="zh-CN"/>
        </w:rPr>
      </w:pPr>
      <w:bookmarkStart w:id="26" w:name="_Toc8391"/>
      <w:bookmarkStart w:id="27" w:name="_Toc4591"/>
      <w:r>
        <w:rPr>
          <w:rFonts w:hint="eastAsia" w:ascii="黑体" w:hAnsi="黑体" w:eastAsia="黑体"/>
          <w:color w:val="auto"/>
          <w:sz w:val="32"/>
          <w:szCs w:val="32"/>
          <w:highlight w:val="none"/>
          <w:lang w:val="zh-CN" w:eastAsia="zh-CN"/>
        </w:rPr>
        <w:t>（三）国有资产占用情况说明</w:t>
      </w:r>
      <w:bookmarkEnd w:id="26"/>
      <w:bookmarkEnd w:id="27"/>
    </w:p>
    <w:p w14:paraId="3B44E1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534.86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屋4,183.50平方米，价值342.84万元。车辆1辆，价值7.00万元，其中：副部（省）级及以上领导用车0辆、主要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sz w:val="32"/>
          <w:szCs w:val="32"/>
          <w:highlight w:val="none"/>
          <w:lang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14:paraId="51796B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EC26679">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预算总额485.28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实际执行总额472.39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全年预算数135.56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全年执行数122.67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14:paraId="57E809EF">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对照部门整体支出与项目资金绩效目标，对预算执行过程中的资金使用和管理等情况进行分析，及时掌握绩效目标的完成情况、实施进程；二是根据年中整体绩效完成情况，对照年初设定目标，查找单位整体绩效执行过程中存在的问题，并分析存在问题的原因，及时采取了有效的纠偏措施。</w:t>
      </w:r>
    </w:p>
    <w:p w14:paraId="663D41A8">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highlight w:val="none"/>
          <w:lang w:eastAsia="zh-CN"/>
        </w:rPr>
        <w:t>一是在部门整体绩效评价工作中，由于单位绩效管理意识还没有完全树立起来，在绩效目标设定时未进行充分的调研和论证，有的项目绩效目标的设定和产出的数量指标、质量指标缺乏对应性，关联性和可操作性不强；二是目标设定不够合理，部分项目效益指标缺乏相对应的数量、质量资料，以致无法衡量项目效果，影响绩效评价。</w:t>
      </w:r>
    </w:p>
    <w:p w14:paraId="65FC1D20">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color w:val="auto"/>
          <w:sz w:val="32"/>
          <w:szCs w:val="32"/>
          <w:highlight w:val="none"/>
          <w:lang w:eastAsia="zh-CN"/>
        </w:rPr>
        <w:t>下一步改进措施：</w:t>
      </w:r>
      <w:r>
        <w:rPr>
          <w:rFonts w:hint="eastAsia" w:ascii="仿宋_GB2312" w:eastAsia="仿宋_GB2312"/>
          <w:sz w:val="32"/>
          <w:szCs w:val="32"/>
          <w:highlight w:val="none"/>
          <w:lang w:eastAsia="zh-CN"/>
        </w:rPr>
        <w:t>一是提高对预算绩效管理的认识，充分理解财政绩效评价指标体系，加强预算的约束力；二是强化全过程预算绩效管理理念，突出绩效指标的重要性和综合性。</w:t>
      </w:r>
    </w:p>
    <w:p w14:paraId="5CBFB2C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45DDC0F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7EA75E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7D955B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2C9BDE9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589BAC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0AB87D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342C72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839504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366CB0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D40A63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4CF2FA8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1BF9C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1BB0FE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658088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954A8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B68B4A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5CDE838">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79313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0DE59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5A16F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39AF8B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08CEDD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5AC488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ACC52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94FCD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263611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7A7A32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AB54E9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5B851C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0A25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6D440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56D440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1Y2I5NWM3ZmZjZTZjODE2OGY1NzAwZDM1ZGUxODE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D1333D"/>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0F738A7"/>
    <w:rsid w:val="112E58D0"/>
    <w:rsid w:val="11731CAC"/>
    <w:rsid w:val="119500A0"/>
    <w:rsid w:val="119E07DB"/>
    <w:rsid w:val="11C0733B"/>
    <w:rsid w:val="11D50D17"/>
    <w:rsid w:val="120E0809"/>
    <w:rsid w:val="121A493F"/>
    <w:rsid w:val="127F665A"/>
    <w:rsid w:val="12F7068C"/>
    <w:rsid w:val="12FB3F33"/>
    <w:rsid w:val="14207DC0"/>
    <w:rsid w:val="14B932DA"/>
    <w:rsid w:val="150A66AF"/>
    <w:rsid w:val="154C1139"/>
    <w:rsid w:val="158C5B77"/>
    <w:rsid w:val="15C83D11"/>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807BBC"/>
    <w:rsid w:val="190648B0"/>
    <w:rsid w:val="19071D6C"/>
    <w:rsid w:val="19D26CD4"/>
    <w:rsid w:val="19D3572B"/>
    <w:rsid w:val="19E60D19"/>
    <w:rsid w:val="1A3E3450"/>
    <w:rsid w:val="1AB64BE3"/>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EEC5992"/>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0708B8"/>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5E4F1D"/>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877708"/>
    <w:rsid w:val="36965B9D"/>
    <w:rsid w:val="36C549FD"/>
    <w:rsid w:val="37192745"/>
    <w:rsid w:val="37A755DD"/>
    <w:rsid w:val="37F33BFE"/>
    <w:rsid w:val="37F94FA0"/>
    <w:rsid w:val="37FE2704"/>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7E3C92"/>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B87FBA"/>
    <w:rsid w:val="3FDC3674"/>
    <w:rsid w:val="3FED7F8A"/>
    <w:rsid w:val="40094AEF"/>
    <w:rsid w:val="401728C2"/>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1E45AD"/>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C85747"/>
    <w:rsid w:val="50D16158"/>
    <w:rsid w:val="50DB5F45"/>
    <w:rsid w:val="51025EB1"/>
    <w:rsid w:val="51141503"/>
    <w:rsid w:val="513C450E"/>
    <w:rsid w:val="518D0ED5"/>
    <w:rsid w:val="525C687F"/>
    <w:rsid w:val="52A3740A"/>
    <w:rsid w:val="52F647F7"/>
    <w:rsid w:val="52F92565"/>
    <w:rsid w:val="53AE735E"/>
    <w:rsid w:val="53B00DBB"/>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1788"/>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DFA57C3"/>
    <w:rsid w:val="5E7E6D93"/>
    <w:rsid w:val="5E82459B"/>
    <w:rsid w:val="5ED44800"/>
    <w:rsid w:val="5F350BDE"/>
    <w:rsid w:val="5F61632C"/>
    <w:rsid w:val="5FA17648"/>
    <w:rsid w:val="5FE705CB"/>
    <w:rsid w:val="6007714E"/>
    <w:rsid w:val="600878D2"/>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3C3AD3"/>
    <w:rsid w:val="69846A0E"/>
    <w:rsid w:val="69AA1366"/>
    <w:rsid w:val="69AD798C"/>
    <w:rsid w:val="69D005C0"/>
    <w:rsid w:val="69D80B96"/>
    <w:rsid w:val="69F47AD7"/>
    <w:rsid w:val="6A2C39D4"/>
    <w:rsid w:val="6B68175F"/>
    <w:rsid w:val="6BFD799F"/>
    <w:rsid w:val="6C4A2E5A"/>
    <w:rsid w:val="6C5F1FB2"/>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D6896"/>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40986"/>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5703</Words>
  <Characters>6445</Characters>
  <Lines>0</Lines>
  <Paragraphs>0</Paragraphs>
  <TotalTime>48</TotalTime>
  <ScaleCrop>false</ScaleCrop>
  <LinksUpToDate>false</LinksUpToDate>
  <CharactersWithSpaces>6457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梦在天边外</cp:lastModifiedBy>
  <dcterms:modified xsi:type="dcterms:W3CDTF">2024-11-18T04:18:39Z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66A6C0FE4D0144858B4CF1DED0D156B9_13</vt:lpwstr>
  </property>
</Properties>
</file>