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EDDB7">
      <w:pPr>
        <w:spacing w:line="240" w:lineRule="atLeast"/>
        <w:ind w:firstLine="960"/>
        <w:jc w:val="center"/>
        <w:rPr>
          <w:rFonts w:ascii="方正小标宋简体" w:hAnsi="黑体" w:eastAsia="方正小标宋简体" w:cs="黑体"/>
          <w:bCs/>
          <w:color w:val="auto"/>
          <w:sz w:val="48"/>
          <w:szCs w:val="48"/>
          <w:highlight w:val="none"/>
        </w:rPr>
      </w:pPr>
    </w:p>
    <w:p w14:paraId="53D13715">
      <w:pPr>
        <w:spacing w:line="240" w:lineRule="atLeast"/>
        <w:ind w:firstLine="960"/>
        <w:jc w:val="center"/>
        <w:rPr>
          <w:rFonts w:ascii="方正小标宋简体" w:hAnsi="黑体" w:eastAsia="方正小标宋简体" w:cs="黑体"/>
          <w:bCs/>
          <w:color w:val="auto"/>
          <w:sz w:val="48"/>
          <w:szCs w:val="48"/>
          <w:highlight w:val="none"/>
        </w:rPr>
      </w:pPr>
    </w:p>
    <w:p w14:paraId="1A6EF203">
      <w:pPr>
        <w:spacing w:line="240" w:lineRule="atLeast"/>
        <w:ind w:firstLine="960"/>
        <w:jc w:val="center"/>
        <w:rPr>
          <w:rFonts w:ascii="方正小标宋简体" w:hAnsi="黑体" w:eastAsia="方正小标宋简体" w:cs="黑体"/>
          <w:bCs/>
          <w:color w:val="auto"/>
          <w:sz w:val="48"/>
          <w:szCs w:val="48"/>
          <w:highlight w:val="none"/>
        </w:rPr>
      </w:pPr>
    </w:p>
    <w:p w14:paraId="6D77F836">
      <w:pPr>
        <w:spacing w:line="240" w:lineRule="atLeast"/>
        <w:ind w:firstLine="0" w:firstLineChars="0"/>
        <w:jc w:val="center"/>
        <w:rPr>
          <w:rFonts w:hint="eastAsia"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lang w:val="en-US" w:eastAsia="zh-CN"/>
        </w:rPr>
        <w:t>沙湾市老沙湾镇卫生院2023年中央及自治区基本公共卫生服务</w:t>
      </w:r>
      <w:r>
        <w:rPr>
          <w:rFonts w:hint="eastAsia" w:ascii="方正小标宋简体" w:hAnsi="黑体" w:eastAsia="方正小标宋简体" w:cs="黑体"/>
          <w:bCs/>
          <w:color w:val="auto"/>
          <w:sz w:val="48"/>
          <w:szCs w:val="48"/>
          <w:highlight w:val="none"/>
        </w:rPr>
        <w:t>项目支出</w:t>
      </w:r>
    </w:p>
    <w:p w14:paraId="2CB5F46A">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rPr>
        <w:t>绩效评价报告</w:t>
      </w:r>
    </w:p>
    <w:p w14:paraId="182AF524">
      <w:pPr>
        <w:spacing w:line="240" w:lineRule="atLeast"/>
        <w:ind w:firstLine="960"/>
        <w:jc w:val="center"/>
        <w:rPr>
          <w:rFonts w:ascii="方正小标宋简体" w:hAnsi="黑体" w:eastAsia="方正小标宋简体" w:cs="黑体"/>
          <w:bCs/>
          <w:color w:val="auto"/>
          <w:sz w:val="48"/>
          <w:szCs w:val="48"/>
          <w:highlight w:val="none"/>
        </w:rPr>
      </w:pPr>
    </w:p>
    <w:p w14:paraId="5241422F">
      <w:pPr>
        <w:spacing w:line="240" w:lineRule="atLeast"/>
        <w:ind w:firstLine="960"/>
        <w:jc w:val="center"/>
        <w:rPr>
          <w:rFonts w:ascii="方正小标宋简体" w:hAnsi="黑体" w:eastAsia="方正小标宋简体" w:cs="黑体"/>
          <w:bCs/>
          <w:color w:val="auto"/>
          <w:sz w:val="48"/>
          <w:szCs w:val="48"/>
          <w:highlight w:val="none"/>
        </w:rPr>
      </w:pPr>
    </w:p>
    <w:p w14:paraId="1F8FE4C8">
      <w:pPr>
        <w:spacing w:line="240" w:lineRule="atLeast"/>
        <w:ind w:firstLine="960"/>
        <w:jc w:val="center"/>
        <w:rPr>
          <w:rFonts w:ascii="方正小标宋简体" w:hAnsi="黑体" w:eastAsia="方正小标宋简体" w:cs="黑体"/>
          <w:bCs/>
          <w:color w:val="auto"/>
          <w:sz w:val="48"/>
          <w:szCs w:val="48"/>
          <w:highlight w:val="none"/>
        </w:rPr>
      </w:pPr>
    </w:p>
    <w:p w14:paraId="2967F6BE">
      <w:pPr>
        <w:spacing w:line="240" w:lineRule="atLeast"/>
        <w:ind w:firstLine="960"/>
        <w:jc w:val="center"/>
        <w:rPr>
          <w:rFonts w:ascii="方正小标宋简体" w:hAnsi="黑体" w:eastAsia="方正小标宋简体" w:cs="黑体"/>
          <w:bCs/>
          <w:color w:val="auto"/>
          <w:sz w:val="48"/>
          <w:szCs w:val="48"/>
          <w:highlight w:val="none"/>
        </w:rPr>
      </w:pPr>
    </w:p>
    <w:p w14:paraId="3E3F1D6E">
      <w:pPr>
        <w:spacing w:line="240" w:lineRule="atLeast"/>
        <w:ind w:firstLine="960"/>
        <w:jc w:val="center"/>
        <w:rPr>
          <w:rFonts w:ascii="方正小标宋简体" w:hAnsi="黑体" w:eastAsia="方正小标宋简体" w:cs="黑体"/>
          <w:bCs/>
          <w:color w:val="auto"/>
          <w:sz w:val="48"/>
          <w:szCs w:val="48"/>
          <w:highlight w:val="none"/>
        </w:rPr>
      </w:pPr>
    </w:p>
    <w:p w14:paraId="44D9ED5A">
      <w:pPr>
        <w:spacing w:line="240" w:lineRule="atLeast"/>
        <w:ind w:left="0" w:leftChars="0" w:firstLine="0" w:firstLineChars="0"/>
        <w:jc w:val="both"/>
        <w:rPr>
          <w:rFonts w:ascii="方正小标宋简体" w:hAnsi="黑体" w:eastAsia="方正小标宋简体" w:cs="黑体"/>
          <w:bCs/>
          <w:color w:val="auto"/>
          <w:sz w:val="48"/>
          <w:szCs w:val="48"/>
          <w:highlight w:val="none"/>
        </w:rPr>
      </w:pPr>
    </w:p>
    <w:p w14:paraId="05F0306F">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项目名称：</w:t>
      </w:r>
      <w:r>
        <w:rPr>
          <w:rFonts w:hint="eastAsia" w:ascii="黑体" w:hAnsi="黑体" w:eastAsia="黑体" w:cs="宋体"/>
          <w:color w:val="auto"/>
          <w:sz w:val="30"/>
          <w:szCs w:val="30"/>
          <w:highlight w:val="none"/>
          <w:lang w:val="en-US" w:eastAsia="zh-CN"/>
        </w:rPr>
        <w:t>2023年中央及自治区基本公共卫生服务</w:t>
      </w:r>
      <w:r>
        <w:rPr>
          <w:rFonts w:hint="eastAsia" w:ascii="黑体" w:hAnsi="黑体" w:eastAsia="黑体" w:cs="宋体"/>
          <w:color w:val="auto"/>
          <w:sz w:val="30"/>
          <w:szCs w:val="30"/>
          <w:highlight w:val="none"/>
        </w:rPr>
        <w:t>项目</w:t>
      </w:r>
    </w:p>
    <w:p w14:paraId="1BA3D635">
      <w:pPr>
        <w:ind w:firstLine="1200" w:firstLineChars="400"/>
        <w:rPr>
          <w:rFonts w:hint="eastAsia" w:ascii="方正小标宋简体" w:hAnsi="黑体" w:eastAsia="方正小标宋简体" w:cs="黑体"/>
          <w:bCs/>
          <w:color w:val="auto"/>
          <w:sz w:val="48"/>
          <w:szCs w:val="48"/>
          <w:highlight w:val="none"/>
          <w:lang w:val="en-US" w:eastAsia="zh-CN"/>
        </w:rPr>
      </w:pPr>
      <w:r>
        <w:rPr>
          <w:rFonts w:ascii="黑体" w:hAnsi="黑体" w:eastAsia="黑体" w:cs="宋体"/>
          <w:color w:val="auto"/>
          <w:sz w:val="30"/>
          <w:szCs w:val="30"/>
          <w:highlight w:val="none"/>
        </w:rPr>
        <w:t>项目单位：</w:t>
      </w:r>
      <w:r>
        <w:rPr>
          <w:rFonts w:hint="eastAsia" w:ascii="黑体" w:hAnsi="黑体" w:eastAsia="黑体" w:cs="宋体"/>
          <w:color w:val="auto"/>
          <w:sz w:val="30"/>
          <w:szCs w:val="30"/>
          <w:highlight w:val="none"/>
          <w:lang w:val="en-US" w:eastAsia="zh-CN"/>
        </w:rPr>
        <w:t>沙湾市老沙湾镇卫生院</w:t>
      </w:r>
    </w:p>
    <w:p w14:paraId="0EBA7621">
      <w:pPr>
        <w:ind w:firstLine="1200" w:firstLineChars="400"/>
        <w:rPr>
          <w:rFonts w:hint="eastAsia" w:ascii="黑体" w:hAnsi="黑体" w:eastAsia="黑体" w:cs="仿宋_GB2312"/>
          <w:color w:val="auto"/>
          <w:sz w:val="30"/>
          <w:szCs w:val="30"/>
          <w:highlight w:val="none"/>
          <w:lang w:val="en-US" w:eastAsia="zh-CN"/>
        </w:rPr>
      </w:pPr>
      <w:r>
        <w:rPr>
          <w:rFonts w:ascii="黑体" w:hAnsi="黑体" w:eastAsia="黑体" w:cs="宋体"/>
          <w:color w:val="auto"/>
          <w:sz w:val="30"/>
          <w:szCs w:val="30"/>
          <w:highlight w:val="none"/>
        </w:rPr>
        <w:t>主管部门：</w:t>
      </w:r>
      <w:r>
        <w:rPr>
          <w:rFonts w:hint="eastAsia" w:ascii="黑体" w:hAnsi="黑体" w:eastAsia="黑体" w:cs="仿宋_GB2312"/>
          <w:color w:val="auto"/>
          <w:sz w:val="30"/>
          <w:szCs w:val="30"/>
          <w:highlight w:val="none"/>
          <w:lang w:val="en-US" w:eastAsia="zh-CN"/>
        </w:rPr>
        <w:t>沙湾市卫生健康委员会</w:t>
      </w:r>
    </w:p>
    <w:p w14:paraId="2167859A">
      <w:pPr>
        <w:ind w:firstLine="1200" w:firstLineChars="400"/>
        <w:rPr>
          <w:rFonts w:hint="eastAsia" w:ascii="黑体" w:hAnsi="黑体" w:eastAsia="黑体" w:cs="仿宋_GB2312"/>
          <w:color w:val="auto"/>
          <w:sz w:val="30"/>
          <w:szCs w:val="30"/>
          <w:highlight w:val="none"/>
          <w:lang w:val="en-US"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仿宋_GB2312"/>
          <w:color w:val="auto"/>
          <w:sz w:val="30"/>
          <w:szCs w:val="30"/>
          <w:highlight w:val="none"/>
          <w:lang w:val="en-US" w:eastAsia="zh-CN"/>
        </w:rPr>
        <w:t>李鑫</w:t>
      </w:r>
    </w:p>
    <w:p w14:paraId="43BA46D8">
      <w:pPr>
        <w:ind w:firstLine="1200" w:firstLineChars="400"/>
        <w:rPr>
          <w:rFonts w:ascii="黑体" w:hAnsi="黑体" w:eastAsia="黑体" w:cs="仿宋_GB2312"/>
          <w:color w:val="auto"/>
          <w:sz w:val="30"/>
          <w:szCs w:val="30"/>
          <w:highlight w:val="none"/>
        </w:rPr>
      </w:pPr>
      <w:r>
        <w:rPr>
          <w:rFonts w:hint="eastAsia" w:ascii="黑体" w:hAnsi="黑体" w:eastAsia="黑体" w:cs="宋体"/>
          <w:color w:val="auto"/>
          <w:sz w:val="30"/>
          <w:szCs w:val="30"/>
          <w:highlight w:val="none"/>
        </w:rPr>
        <w:t>填报时间：</w:t>
      </w:r>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4</w:t>
      </w:r>
      <w:r>
        <w:rPr>
          <w:rFonts w:hint="eastAsia" w:ascii="黑体" w:hAnsi="黑体" w:eastAsia="黑体" w:cs="宋体"/>
          <w:color w:val="auto"/>
          <w:sz w:val="30"/>
          <w:szCs w:val="30"/>
          <w:highlight w:val="none"/>
        </w:rPr>
        <w:t>年</w:t>
      </w:r>
      <w:r>
        <w:rPr>
          <w:rFonts w:hint="eastAsia" w:ascii="黑体" w:hAnsi="黑体" w:eastAsia="黑体" w:cs="仿宋_GB2312"/>
          <w:color w:val="auto"/>
          <w:sz w:val="30"/>
          <w:szCs w:val="30"/>
          <w:highlight w:val="none"/>
          <w:lang w:val="en-US" w:eastAsia="zh-CN"/>
        </w:rPr>
        <w:t>1</w:t>
      </w:r>
      <w:r>
        <w:rPr>
          <w:rFonts w:hint="eastAsia" w:ascii="黑体" w:hAnsi="黑体" w:eastAsia="黑体" w:cs="宋体"/>
          <w:color w:val="auto"/>
          <w:sz w:val="30"/>
          <w:szCs w:val="30"/>
          <w:highlight w:val="none"/>
        </w:rPr>
        <w:t>月</w:t>
      </w:r>
      <w:r>
        <w:rPr>
          <w:rFonts w:hint="eastAsia" w:ascii="黑体" w:hAnsi="黑体" w:eastAsia="黑体" w:cs="仿宋_GB2312"/>
          <w:color w:val="auto"/>
          <w:sz w:val="30"/>
          <w:szCs w:val="30"/>
          <w:highlight w:val="none"/>
          <w:lang w:val="en-US" w:eastAsia="zh-CN"/>
        </w:rPr>
        <w:t>26</w:t>
      </w:r>
      <w:r>
        <w:rPr>
          <w:rFonts w:hint="eastAsia" w:ascii="黑体" w:hAnsi="黑体" w:eastAsia="黑体" w:cs="仿宋_GB2312"/>
          <w:color w:val="auto"/>
          <w:sz w:val="30"/>
          <w:szCs w:val="30"/>
          <w:highlight w:val="none"/>
        </w:rPr>
        <w:t>日</w:t>
      </w:r>
    </w:p>
    <w:p w14:paraId="628539A6">
      <w:pPr>
        <w:ind w:left="0" w:leftChars="0" w:firstLine="0" w:firstLineChars="0"/>
        <w:jc w:val="center"/>
        <w:rPr>
          <w:rFonts w:hint="eastAsia" w:ascii="方正小标宋_GBK" w:hAnsi="黑体" w:eastAsia="方正小标宋_GBK" w:cs="黑体"/>
          <w:bCs/>
          <w:color w:val="auto"/>
          <w:sz w:val="44"/>
          <w:szCs w:val="44"/>
          <w:highlight w:val="none"/>
          <w:lang w:val="en-US" w:eastAsia="zh-CN"/>
        </w:rPr>
      </w:pPr>
    </w:p>
    <w:p w14:paraId="0F4A4C26">
      <w:pPr>
        <w:ind w:left="0" w:leftChars="0" w:firstLine="0" w:firstLineChars="0"/>
        <w:jc w:val="center"/>
        <w:rPr>
          <w:rFonts w:hint="eastAsia"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lang w:val="en-US" w:eastAsia="zh-CN"/>
        </w:rPr>
        <w:t>沙湾市老湾镇卫生院2023年中央及自治区基本公共卫生服务项目</w:t>
      </w:r>
      <w:r>
        <w:rPr>
          <w:rFonts w:hint="eastAsia" w:ascii="方正小标宋_GBK" w:hAnsi="黑体" w:eastAsia="方正小标宋_GBK" w:cs="黑体"/>
          <w:bCs/>
          <w:color w:val="auto"/>
          <w:sz w:val="44"/>
          <w:szCs w:val="44"/>
          <w:highlight w:val="none"/>
        </w:rPr>
        <w:t>支出</w:t>
      </w:r>
    </w:p>
    <w:p w14:paraId="5A14058E">
      <w:pPr>
        <w:ind w:left="0" w:leftChars="0" w:firstLine="0" w:firstLineChars="0"/>
        <w:jc w:val="center"/>
        <w:rPr>
          <w:rFonts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rPr>
        <w:t>绩效评价报告</w:t>
      </w:r>
    </w:p>
    <w:p w14:paraId="48412FE9">
      <w:pPr>
        <w:pStyle w:val="2"/>
        <w:spacing w:line="600" w:lineRule="exact"/>
        <w:ind w:firstLine="640"/>
        <w:rPr>
          <w:color w:val="auto"/>
          <w:szCs w:val="32"/>
          <w:highlight w:val="none"/>
        </w:rPr>
      </w:pPr>
      <w:r>
        <w:rPr>
          <w:rFonts w:hint="eastAsia"/>
          <w:color w:val="auto"/>
          <w:szCs w:val="32"/>
          <w:highlight w:val="none"/>
        </w:rPr>
        <w:t>一、基本情况</w:t>
      </w:r>
    </w:p>
    <w:p w14:paraId="5E0C41DE">
      <w:pPr>
        <w:pStyle w:val="3"/>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14:paraId="290B4D49">
      <w:pPr>
        <w:bidi w:val="0"/>
        <w:rPr>
          <w:b/>
          <w:bCs/>
          <w:color w:val="auto"/>
          <w:sz w:val="32"/>
          <w:szCs w:val="32"/>
          <w:highlight w:val="none"/>
        </w:rPr>
      </w:pPr>
      <w:r>
        <w:rPr>
          <w:rFonts w:hint="eastAsia"/>
          <w:b/>
          <w:bCs/>
          <w:color w:val="auto"/>
          <w:sz w:val="32"/>
          <w:szCs w:val="32"/>
          <w:highlight w:val="none"/>
        </w:rPr>
        <w:t>1.项目背景</w:t>
      </w:r>
    </w:p>
    <w:p w14:paraId="73ACC56E">
      <w:pPr>
        <w:bidi w:val="0"/>
        <w:rPr>
          <w:rFonts w:hint="eastAsia"/>
          <w:color w:val="auto"/>
          <w:sz w:val="32"/>
          <w:szCs w:val="32"/>
          <w:highlight w:val="none"/>
        </w:rPr>
      </w:pPr>
      <w:r>
        <w:rPr>
          <w:rFonts w:hint="eastAsia"/>
          <w:color w:val="auto"/>
          <w:sz w:val="32"/>
          <w:szCs w:val="32"/>
          <w:highlight w:val="none"/>
          <w:lang w:eastAsia="zh-CN"/>
        </w:rPr>
        <w:t>老沙湾镇</w:t>
      </w:r>
      <w:r>
        <w:rPr>
          <w:rFonts w:hint="eastAsia"/>
          <w:color w:val="auto"/>
          <w:sz w:val="32"/>
          <w:szCs w:val="32"/>
          <w:highlight w:val="none"/>
        </w:rPr>
        <w:t>辖区17个行政村，17个村卫生室，夏季常住人口7112人。冬季常住人口2500人。编制人数30人，在编人数 2</w:t>
      </w:r>
      <w:r>
        <w:rPr>
          <w:rFonts w:hint="eastAsia"/>
          <w:color w:val="auto"/>
          <w:sz w:val="32"/>
          <w:szCs w:val="32"/>
          <w:highlight w:val="none"/>
          <w:lang w:val="en-US" w:eastAsia="zh-CN"/>
        </w:rPr>
        <w:t>3</w:t>
      </w:r>
      <w:r>
        <w:rPr>
          <w:rFonts w:hint="eastAsia"/>
          <w:color w:val="auto"/>
          <w:sz w:val="32"/>
          <w:szCs w:val="32"/>
          <w:highlight w:val="none"/>
        </w:rPr>
        <w:t>人、在岗14人，其中卫生技术专业人员总数 14人(医师 9人）护士 2人、影像医师2人、检验2人、我镇村卫生室在职村医13人执业助理医师</w:t>
      </w:r>
      <w:r>
        <w:rPr>
          <w:rFonts w:hint="eastAsia"/>
          <w:color w:val="auto"/>
          <w:sz w:val="32"/>
          <w:szCs w:val="32"/>
          <w:highlight w:val="none"/>
          <w:lang w:val="en-US" w:eastAsia="zh-CN"/>
        </w:rPr>
        <w:t>2</w:t>
      </w:r>
      <w:r>
        <w:rPr>
          <w:rFonts w:hint="eastAsia"/>
          <w:color w:val="auto"/>
          <w:sz w:val="32"/>
          <w:szCs w:val="32"/>
          <w:highlight w:val="none"/>
        </w:rPr>
        <w:t>人，乡村医生资格1</w:t>
      </w:r>
      <w:r>
        <w:rPr>
          <w:rFonts w:hint="eastAsia"/>
          <w:color w:val="auto"/>
          <w:sz w:val="32"/>
          <w:szCs w:val="32"/>
          <w:highlight w:val="none"/>
          <w:lang w:val="en-US" w:eastAsia="zh-CN"/>
        </w:rPr>
        <w:t>1</w:t>
      </w:r>
      <w:r>
        <w:rPr>
          <w:rFonts w:hint="eastAsia"/>
          <w:color w:val="auto"/>
          <w:sz w:val="32"/>
          <w:szCs w:val="32"/>
          <w:highlight w:val="none"/>
        </w:rPr>
        <w:t>人。</w:t>
      </w:r>
    </w:p>
    <w:p w14:paraId="306FFFB9">
      <w:pPr>
        <w:bidi w:val="0"/>
        <w:rPr>
          <w:rFonts w:hint="eastAsia" w:ascii="Times New Roman" w:hAnsi="Times New Roman" w:cs="Times New Roman"/>
          <w:color w:val="auto"/>
          <w:sz w:val="32"/>
          <w:szCs w:val="32"/>
          <w:highlight w:val="none"/>
          <w:lang w:val="en-US" w:eastAsia="zh-CN"/>
        </w:rPr>
      </w:pPr>
      <w:r>
        <w:rPr>
          <w:rFonts w:hint="eastAsia" w:ascii="Times New Roman" w:hAnsi="Times New Roman" w:cs="Times New Roman"/>
          <w:color w:val="auto"/>
          <w:sz w:val="32"/>
          <w:szCs w:val="32"/>
          <w:highlight w:val="none"/>
          <w:lang w:val="en-US" w:eastAsia="zh-CN"/>
        </w:rPr>
        <w:t>免费向辖区居民提供基本公共卫生服务，辖区常住人口，均可免费享受国家基本公共卫生服务规范（第三版）所列的基本公共卫生服务，其中2型糖尿病患者规范管理服务率大于等于61%，高血压患者规范管理服务率大于等于61%；免费向辖区居民提供</w:t>
      </w:r>
      <w:r>
        <w:rPr>
          <w:rFonts w:hint="eastAsia" w:cs="Times New Roman"/>
          <w:color w:val="auto"/>
          <w:sz w:val="32"/>
          <w:szCs w:val="32"/>
          <w:highlight w:val="none"/>
          <w:lang w:val="en-US" w:eastAsia="zh-CN"/>
        </w:rPr>
        <w:t>地方公共卫生服务补助</w:t>
      </w:r>
      <w:r>
        <w:rPr>
          <w:rFonts w:hint="eastAsia" w:ascii="Times New Roman" w:hAnsi="Times New Roman" w:cs="Times New Roman"/>
          <w:color w:val="auto"/>
          <w:sz w:val="32"/>
          <w:szCs w:val="32"/>
          <w:highlight w:val="none"/>
          <w:lang w:val="en-US" w:eastAsia="zh-CN"/>
        </w:rPr>
        <w:t>，辖区常住人口，均可免费享受</w:t>
      </w:r>
      <w:r>
        <w:rPr>
          <w:rFonts w:hint="eastAsia" w:cs="Times New Roman"/>
          <w:color w:val="auto"/>
          <w:sz w:val="32"/>
          <w:szCs w:val="32"/>
          <w:highlight w:val="none"/>
          <w:lang w:val="en-US" w:eastAsia="zh-CN"/>
        </w:rPr>
        <w:t>地方公共卫生服务补助</w:t>
      </w:r>
      <w:r>
        <w:rPr>
          <w:rFonts w:hint="eastAsia" w:ascii="Times New Roman" w:hAnsi="Times New Roman" w:cs="Times New Roman"/>
          <w:color w:val="auto"/>
          <w:sz w:val="32"/>
          <w:szCs w:val="32"/>
          <w:highlight w:val="none"/>
          <w:lang w:val="en-US" w:eastAsia="zh-CN"/>
        </w:rPr>
        <w:t>服务，其中居民健康档案规范化电子建档率不低于75%。</w:t>
      </w:r>
    </w:p>
    <w:p w14:paraId="7F271E69">
      <w:pPr>
        <w:bidi w:val="0"/>
        <w:rPr>
          <w:rFonts w:hint="eastAsia"/>
          <w:color w:val="auto"/>
          <w:sz w:val="32"/>
          <w:szCs w:val="32"/>
          <w:highlight w:val="none"/>
        </w:rPr>
      </w:pPr>
      <w:r>
        <w:rPr>
          <w:rFonts w:hint="eastAsia" w:ascii="Times New Roman" w:hAnsi="Times New Roman" w:cs="Times New Roman"/>
          <w:color w:val="auto"/>
          <w:sz w:val="32"/>
          <w:szCs w:val="32"/>
          <w:highlight w:val="none"/>
        </w:rPr>
        <w:t>2023年预计</w:t>
      </w:r>
      <w:r>
        <w:rPr>
          <w:rFonts w:hint="eastAsia" w:ascii="Times New Roman" w:hAnsi="Times New Roman" w:cs="Times New Roman"/>
          <w:color w:val="auto"/>
          <w:sz w:val="32"/>
          <w:szCs w:val="32"/>
          <w:highlight w:val="none"/>
          <w:lang w:eastAsia="zh-CN"/>
        </w:rPr>
        <w:t>居民健康档案规范化电子建档人数</w:t>
      </w:r>
      <w:r>
        <w:rPr>
          <w:rFonts w:hint="eastAsia" w:ascii="Times New Roman" w:hAnsi="Times New Roman" w:cs="Times New Roman"/>
          <w:color w:val="auto"/>
          <w:sz w:val="32"/>
          <w:szCs w:val="32"/>
          <w:highlight w:val="none"/>
          <w:lang w:val="en-US" w:eastAsia="zh-CN"/>
        </w:rPr>
        <w:t>7670</w:t>
      </w:r>
      <w:r>
        <w:rPr>
          <w:rFonts w:hint="eastAsia" w:ascii="Times New Roman" w:hAnsi="Times New Roman" w:cs="Times New Roman"/>
          <w:color w:val="auto"/>
          <w:sz w:val="32"/>
          <w:szCs w:val="32"/>
          <w:highlight w:val="none"/>
        </w:rPr>
        <w:t>人</w:t>
      </w:r>
      <w:r>
        <w:rPr>
          <w:rFonts w:hint="eastAsia"/>
          <w:color w:val="auto"/>
          <w:sz w:val="32"/>
          <w:szCs w:val="32"/>
          <w:highlight w:val="none"/>
        </w:rPr>
        <w:t>，通过对全镇人民群众进行开展常规、安全的公共卫生服务项目，建立完备、适用的居民健康档案，全面掌握全镇城乡居民健康状况，分析影响全镇城乡居民健康的主要因素，制定科学准确的疾病谱，研究做到对危害群众健康的各类疾病“早发现、早诊断、早治疗、早预防”。通过广泛开展</w:t>
      </w:r>
      <w:r>
        <w:rPr>
          <w:rFonts w:hint="eastAsia"/>
          <w:color w:val="auto"/>
          <w:sz w:val="32"/>
          <w:szCs w:val="32"/>
          <w:highlight w:val="none"/>
          <w:lang w:eastAsia="zh-CN"/>
        </w:rPr>
        <w:t>地方公共卫生服务补助</w:t>
      </w:r>
      <w:r>
        <w:rPr>
          <w:rFonts w:hint="eastAsia"/>
          <w:color w:val="auto"/>
          <w:sz w:val="32"/>
          <w:szCs w:val="32"/>
          <w:highlight w:val="none"/>
        </w:rPr>
        <w:t>，让全镇各族群众切身感受到以习近平同志为核心的党中央对新疆各族人民的特殊关怀，发自内心地感恩党、感恩政府、感恩伟大祖国，为实现社会稳定和长治久安总目标凝心聚力紧紧围绕人民群众最关心最直接最现实的健康问题，把保障人民健康作为经济社会政策重要目标，以“共建共享，全民健康”为战略主题，把健康指标融入各项政策，把实施健康中国战略作为重大民心工程，始终围绕社会稳定和长治久安总目标，努力实施《健康新疆2030规划》，全面落实自治区党委、政府医疗惠民工程，促进基层基本公共卫生服务均等化和公平性、可及性，切实把党和政府对全民关心、关爱的惠民暖心工程做实做好。</w:t>
      </w:r>
    </w:p>
    <w:p w14:paraId="33A7E681">
      <w:pPr>
        <w:bidi w:val="0"/>
        <w:rPr>
          <w:rFonts w:hint="eastAsia"/>
          <w:color w:val="auto"/>
          <w:sz w:val="32"/>
          <w:szCs w:val="32"/>
          <w:highlight w:val="none"/>
        </w:rPr>
      </w:pPr>
      <w:r>
        <w:rPr>
          <w:rFonts w:hint="eastAsia"/>
          <w:color w:val="auto"/>
          <w:sz w:val="32"/>
          <w:szCs w:val="32"/>
          <w:highlight w:val="none"/>
        </w:rPr>
        <w:t>2023年沙湾市</w:t>
      </w:r>
      <w:r>
        <w:rPr>
          <w:rFonts w:hint="eastAsia"/>
          <w:color w:val="auto"/>
          <w:sz w:val="32"/>
          <w:szCs w:val="32"/>
          <w:highlight w:val="none"/>
          <w:lang w:eastAsia="zh-CN"/>
        </w:rPr>
        <w:t>老沙</w:t>
      </w:r>
      <w:r>
        <w:rPr>
          <w:rFonts w:hint="eastAsia"/>
          <w:color w:val="auto"/>
          <w:sz w:val="32"/>
          <w:szCs w:val="32"/>
          <w:highlight w:val="none"/>
        </w:rPr>
        <w:t>湾镇卫生院根据分配塔地财社[2022]103号沙财社[2022]067号--提前下达自治区2023年基本公共卫生服务补助资金8.69万元</w:t>
      </w:r>
      <w:r>
        <w:rPr>
          <w:rFonts w:hint="eastAsia"/>
          <w:color w:val="auto"/>
          <w:sz w:val="32"/>
          <w:szCs w:val="32"/>
          <w:highlight w:val="none"/>
          <w:lang w:eastAsia="zh-CN"/>
        </w:rPr>
        <w:t>、</w:t>
      </w:r>
      <w:r>
        <w:rPr>
          <w:rFonts w:hint="eastAsia"/>
          <w:color w:val="auto"/>
          <w:sz w:val="32"/>
          <w:szCs w:val="32"/>
          <w:highlight w:val="none"/>
        </w:rPr>
        <w:t>塔地财社[2022]91号沙财社[2022]056号--提前下达2023年中央财政基本公共卫生服务补助资金49.8万元</w:t>
      </w:r>
      <w:r>
        <w:rPr>
          <w:rFonts w:hint="eastAsia"/>
          <w:color w:val="auto"/>
          <w:sz w:val="32"/>
          <w:szCs w:val="32"/>
          <w:highlight w:val="none"/>
          <w:lang w:eastAsia="zh-CN"/>
        </w:rPr>
        <w:t>、</w:t>
      </w:r>
      <w:r>
        <w:rPr>
          <w:rFonts w:hint="eastAsia"/>
          <w:color w:val="auto"/>
          <w:sz w:val="32"/>
          <w:szCs w:val="32"/>
          <w:highlight w:val="none"/>
        </w:rPr>
        <w:t>中央直达塔地财社[2023]25号沙财社[2023]009号-2023年中央基本公共卫生服务补助资金[第二批]2.64万元的通知积极开展了基本公共卫生卫生服务补助资金项目，坚持把基本公共卫生服务作为一项“惠民暖心工程”来实施，让全民共享改革发展成果，感受党和政府的温暖。</w:t>
      </w:r>
    </w:p>
    <w:p w14:paraId="66C21DCB">
      <w:pPr>
        <w:bidi w:val="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14:paraId="4400D120">
      <w:pPr>
        <w:spacing w:line="500" w:lineRule="exact"/>
        <w:ind w:firstLine="600"/>
        <w:rPr>
          <w:rFonts w:ascii="仿宋" w:hAnsi="仿宋" w:eastAsia="仿宋" w:cs="仿宋"/>
          <w:color w:val="auto"/>
          <w:sz w:val="30"/>
          <w:szCs w:val="30"/>
          <w:highlight w:val="none"/>
        </w:rPr>
      </w:pPr>
      <w:r>
        <w:rPr>
          <w:rFonts w:hint="eastAsia" w:ascii="仿宋_GB2312" w:hAnsi="仿宋_GB2312" w:cs="仿宋_GB2312"/>
          <w:color w:val="auto"/>
          <w:sz w:val="32"/>
          <w:szCs w:val="32"/>
          <w:highlight w:val="none"/>
        </w:rPr>
        <w:t>本项目主要</w:t>
      </w:r>
      <w:r>
        <w:rPr>
          <w:rFonts w:hint="eastAsia" w:ascii="仿宋_GB2312" w:hAnsi="仿宋_GB2312" w:cs="仿宋_GB2312"/>
          <w:color w:val="auto"/>
          <w:sz w:val="32"/>
          <w:szCs w:val="32"/>
          <w:highlight w:val="none"/>
          <w:lang w:eastAsia="zh-Hans"/>
        </w:rPr>
        <w:t>内容为</w:t>
      </w:r>
      <w:r>
        <w:rPr>
          <w:rFonts w:hint="eastAsia" w:ascii="仿宋_GB2312" w:hAnsi="仿宋_GB2312" w:cs="仿宋_GB2312"/>
          <w:color w:val="auto"/>
          <w:sz w:val="32"/>
          <w:szCs w:val="32"/>
          <w:highlight w:val="none"/>
          <w:lang w:eastAsia="zh-CN"/>
        </w:rPr>
        <w:t>：</w:t>
      </w:r>
      <w:r>
        <w:rPr>
          <w:rFonts w:hint="eastAsia" w:ascii="仿宋" w:hAnsi="仿宋" w:eastAsia="仿宋" w:cs="仿宋"/>
          <w:color w:val="auto"/>
          <w:sz w:val="30"/>
          <w:szCs w:val="30"/>
          <w:highlight w:val="none"/>
        </w:rPr>
        <w:t>我院根据国家基本公共卫生服务规范（第三版）开展工作，建立居民健康档案，健康教育，预防接种，高血压、糖尿病等慢性病和严重精神障碍患者管理，儿童保健及中医药管理，孕产妇保健，老年人保健及中医药管理，传染病及突发公共事件报告和处理、卫生监督协管，结核病管理。</w:t>
      </w:r>
    </w:p>
    <w:p w14:paraId="04DBD954">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（1）建立居民健康档案 </w:t>
      </w:r>
    </w:p>
    <w:p w14:paraId="101EFC83">
      <w:pPr>
        <w:spacing w:line="500" w:lineRule="exact"/>
        <w:ind w:firstLine="6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孕产妇、儿童、老年人、慢性病人等人群为重点，在自愿基础上，为辖区常住人口建立统一、规范的居民健康档案。健康档案主要信息包括居民基本信息、主要健康问题及卫生服务记录等。健康档案要及时更新，逐步实现电子化管理。</w:t>
      </w:r>
    </w:p>
    <w:p w14:paraId="38505FCB">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（2）健康教育</w:t>
      </w:r>
    </w:p>
    <w:p w14:paraId="655283B7">
      <w:pPr>
        <w:spacing w:line="500" w:lineRule="exact"/>
        <w:ind w:firstLine="6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针对健康素养基本知识和技能、优生优育及辖区重点健康问题等内容，向居民提供健康</w:t>
      </w:r>
      <w:r>
        <w:rPr>
          <w:rFonts w:hint="eastAsia" w:ascii="仿宋" w:hAnsi="仿宋" w:eastAsia="仿宋" w:cs="仿宋"/>
          <w:color w:val="auto"/>
          <w:sz w:val="30"/>
          <w:szCs w:val="30"/>
          <w:highlight w:val="none"/>
          <w:lang w:eastAsia="zh-CN"/>
        </w:rPr>
        <w:t>宣传教育</w:t>
      </w:r>
      <w:r>
        <w:rPr>
          <w:rFonts w:hint="eastAsia" w:ascii="仿宋" w:hAnsi="仿宋" w:eastAsia="仿宋" w:cs="仿宋"/>
          <w:color w:val="auto"/>
          <w:sz w:val="30"/>
          <w:szCs w:val="30"/>
          <w:highlight w:val="none"/>
        </w:rPr>
        <w:t>信息和健康教育咨询服务，设置健康</w:t>
      </w:r>
      <w:r>
        <w:rPr>
          <w:rFonts w:hint="eastAsia" w:ascii="仿宋" w:hAnsi="仿宋" w:eastAsia="仿宋" w:cs="仿宋"/>
          <w:color w:val="auto"/>
          <w:sz w:val="30"/>
          <w:szCs w:val="30"/>
          <w:highlight w:val="none"/>
          <w:lang w:eastAsia="zh-CN"/>
        </w:rPr>
        <w:t>宣传教育</w:t>
      </w:r>
      <w:r>
        <w:rPr>
          <w:rFonts w:hint="eastAsia" w:ascii="仿宋" w:hAnsi="仿宋" w:eastAsia="仿宋" w:cs="仿宋"/>
          <w:color w:val="auto"/>
          <w:sz w:val="30"/>
          <w:szCs w:val="30"/>
          <w:highlight w:val="none"/>
        </w:rPr>
        <w:t>栏并定期更新内容，开展健康知识讲座等健康教育活动。每年我院向辖区居民开展健康教育讲座不少于12次，村卫生室不少于6次，组织面向公众健康教育咨询活动不少于6次，设置健康</w:t>
      </w:r>
      <w:r>
        <w:rPr>
          <w:rFonts w:hint="eastAsia" w:ascii="仿宋" w:hAnsi="仿宋" w:eastAsia="仿宋" w:cs="仿宋"/>
          <w:color w:val="auto"/>
          <w:sz w:val="30"/>
          <w:szCs w:val="30"/>
          <w:highlight w:val="none"/>
          <w:lang w:eastAsia="zh-CN"/>
        </w:rPr>
        <w:t>宣传教育</w:t>
      </w:r>
      <w:r>
        <w:rPr>
          <w:rFonts w:hint="eastAsia" w:ascii="仿宋" w:hAnsi="仿宋" w:eastAsia="仿宋" w:cs="仿宋"/>
          <w:color w:val="auto"/>
          <w:sz w:val="30"/>
          <w:szCs w:val="30"/>
          <w:highlight w:val="none"/>
        </w:rPr>
        <w:t>栏2个，重点人群健康教育讲座每年度不少于1次</w:t>
      </w:r>
      <w:r>
        <w:rPr>
          <w:rFonts w:hint="eastAsia" w:ascii="仿宋" w:hAnsi="仿宋" w:eastAsia="仿宋" w:cs="仿宋"/>
          <w:color w:val="auto"/>
          <w:sz w:val="30"/>
          <w:szCs w:val="30"/>
          <w:highlight w:val="none"/>
          <w:lang w:eastAsia="zh-CN"/>
        </w:rPr>
        <w:t>。</w:t>
      </w:r>
    </w:p>
    <w:p w14:paraId="614D2183">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（3）预防接种</w:t>
      </w:r>
    </w:p>
    <w:p w14:paraId="09A504F2">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为适龄儿童接种乙肝疫苗、卡介苗、脊灰疫苗、百白破疫苗、白破疫苗、麻疹疫苗、甲肝疫苗、流脑疫苗、乙脑疫苗、麻腮风疫苗等国家免疫规划疫苗；在重点地区，对重点人群进行针对性接种，如甲流疫苗，发现、报告预防接种中的疑似异常反应，并协助调查处理。规范预防接种程序，优先接种一类疫苗，实行一、二类疫苗分开接种，单苗单次接种率达90%以上，其中麻疹类疫苗首针及时接种率90%以上，麻疹类疫苗2针接种率95%以上；建卡、建证符合率达100%。规范疫苗进购流程、进购渠道、规范疫苗</w:t>
      </w:r>
      <w:r>
        <w:rPr>
          <w:rFonts w:hint="eastAsia" w:ascii="仿宋" w:hAnsi="仿宋" w:eastAsia="仿宋" w:cs="仿宋"/>
          <w:color w:val="auto"/>
          <w:sz w:val="30"/>
          <w:szCs w:val="30"/>
          <w:highlight w:val="none"/>
          <w:lang w:eastAsia="zh-CN"/>
        </w:rPr>
        <w:t>保存</w:t>
      </w:r>
      <w:r>
        <w:rPr>
          <w:rFonts w:hint="eastAsia" w:ascii="仿宋" w:hAnsi="仿宋" w:eastAsia="仿宋" w:cs="仿宋"/>
          <w:color w:val="auto"/>
          <w:sz w:val="30"/>
          <w:szCs w:val="30"/>
          <w:highlight w:val="none"/>
        </w:rPr>
        <w:t>。</w:t>
      </w:r>
    </w:p>
    <w:p w14:paraId="1503C801">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（4）传染病防治</w:t>
      </w:r>
    </w:p>
    <w:p w14:paraId="6A2DBAB4">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及时发现、登记并报告辖区内发现的传染病病例和疑似病例，参与传染病现场疫点处理；开展结核病、艾滋病等传染病防治知识宣传和咨询服务；配合专业公共卫生机构，对非住院结核病人、艾滋病人进行治疗管理。做好死亡病例登记与报告，保证完成目标任务数。按要求设置传染病诊室。</w:t>
      </w:r>
    </w:p>
    <w:p w14:paraId="74827E75">
      <w:pPr>
        <w:spacing w:line="500" w:lineRule="exact"/>
        <w:ind w:firstLine="6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（5）儿童</w:t>
      </w:r>
      <w:r>
        <w:rPr>
          <w:rFonts w:hint="eastAsia" w:ascii="仿宋" w:hAnsi="仿宋" w:eastAsia="仿宋" w:cs="仿宋"/>
          <w:color w:val="auto"/>
          <w:sz w:val="30"/>
          <w:szCs w:val="30"/>
          <w:highlight w:val="none"/>
          <w:lang w:eastAsia="zh-CN"/>
        </w:rPr>
        <w:t>保健行为</w:t>
      </w:r>
    </w:p>
    <w:p w14:paraId="23966653">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0－36个月婴幼儿建立儿童保健手册，开展新生儿访视及儿童系统保健管理。新生儿访视至少2次，儿童保健1岁以内至少4次，第2年度和第3年度每年至少2次。主要内容包括体格检查和生长发育监测及评价，开展心理行为发育、母乳喂养、辅食添加、意外伤害预防、常见疾病防治等健康指导</w:t>
      </w:r>
    </w:p>
    <w:p w14:paraId="2A05D637">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（6）孕产妇保健</w:t>
      </w:r>
    </w:p>
    <w:p w14:paraId="74A36859">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发现孕妇，为孕产妇建立保健手册，</w:t>
      </w:r>
      <w:r>
        <w:rPr>
          <w:rFonts w:hint="eastAsia" w:ascii="仿宋" w:hAnsi="仿宋" w:eastAsia="仿宋" w:cs="仿宋"/>
          <w:color w:val="auto"/>
          <w:sz w:val="30"/>
          <w:szCs w:val="30"/>
          <w:highlight w:val="none"/>
          <w:lang w:eastAsia="zh-CN"/>
        </w:rPr>
        <w:t>早孕手册建档</w:t>
      </w:r>
      <w:r>
        <w:rPr>
          <w:rFonts w:hint="eastAsia" w:ascii="仿宋" w:hAnsi="仿宋" w:eastAsia="仿宋" w:cs="仿宋"/>
          <w:color w:val="auto"/>
          <w:sz w:val="30"/>
          <w:szCs w:val="30"/>
          <w:highlight w:val="none"/>
        </w:rPr>
        <w:t>率大于等于95%，开展至少5次孕产妇保健服务和2次产后访视。主要内容包括一般体格检查、产前检查及孕期营养、心理等健康指导，了解产后恢复情况并对产后常见问题进行指导。</w:t>
      </w:r>
    </w:p>
    <w:p w14:paraId="350F762E">
      <w:pPr>
        <w:numPr>
          <w:ilvl w:val="0"/>
          <w:numId w:val="2"/>
        </w:numPr>
        <w:spacing w:line="500" w:lineRule="exact"/>
        <w:ind w:firstLine="6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老年人保健服务对象：</w:t>
      </w:r>
    </w:p>
    <w:p w14:paraId="4A087B17">
      <w:pPr>
        <w:numPr>
          <w:ilvl w:val="0"/>
          <w:numId w:val="0"/>
        </w:numPr>
        <w:spacing w:line="500" w:lineRule="exact"/>
        <w:ind w:firstLine="600" w:firstLineChars="2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1.辖区内65岁以上常住居民；</w:t>
      </w:r>
    </w:p>
    <w:p w14:paraId="28948A57">
      <w:pPr>
        <w:spacing w:line="500" w:lineRule="exac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2</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建立老年人健康管理台账；</w:t>
      </w:r>
    </w:p>
    <w:p w14:paraId="1DF92F70">
      <w:pPr>
        <w:spacing w:line="500" w:lineRule="exac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3</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年老年人规范化建档率达100%,</w:t>
      </w:r>
      <w:r>
        <w:rPr>
          <w:rFonts w:hint="eastAsia" w:ascii="仿宋" w:hAnsi="仿宋" w:eastAsia="仿宋" w:cs="仿宋"/>
          <w:color w:val="auto"/>
          <w:sz w:val="30"/>
          <w:szCs w:val="30"/>
          <w:highlight w:val="none"/>
          <w:lang w:eastAsia="zh-CN"/>
        </w:rPr>
        <w:t>地方公共卫生服务补助</w:t>
      </w:r>
      <w:r>
        <w:rPr>
          <w:rFonts w:hint="eastAsia" w:ascii="仿宋" w:hAnsi="仿宋" w:eastAsia="仿宋" w:cs="仿宋"/>
          <w:color w:val="auto"/>
          <w:sz w:val="30"/>
          <w:szCs w:val="30"/>
          <w:highlight w:val="none"/>
        </w:rPr>
        <w:t>率达100%，</w:t>
      </w:r>
      <w:r>
        <w:rPr>
          <w:rFonts w:hint="eastAsia" w:ascii="仿宋" w:hAnsi="仿宋" w:eastAsia="仿宋" w:cs="仿宋"/>
          <w:color w:val="auto"/>
          <w:sz w:val="30"/>
          <w:szCs w:val="30"/>
          <w:highlight w:val="none"/>
          <w:lang w:eastAsia="zh-CN"/>
        </w:rPr>
        <w:t>地方基本公共卫生</w:t>
      </w:r>
      <w:r>
        <w:rPr>
          <w:rFonts w:hint="eastAsia" w:ascii="仿宋" w:hAnsi="仿宋" w:eastAsia="仿宋" w:cs="仿宋"/>
          <w:color w:val="auto"/>
          <w:sz w:val="30"/>
          <w:szCs w:val="30"/>
          <w:highlight w:val="none"/>
        </w:rPr>
        <w:t>项目</w:t>
      </w:r>
      <w:r>
        <w:rPr>
          <w:rFonts w:hint="eastAsia" w:ascii="仿宋" w:hAnsi="仿宋" w:eastAsia="仿宋" w:cs="仿宋"/>
          <w:color w:val="auto"/>
          <w:sz w:val="30"/>
          <w:szCs w:val="30"/>
          <w:highlight w:val="none"/>
          <w:lang w:eastAsia="zh-CN"/>
        </w:rPr>
        <w:t>齐全率达</w:t>
      </w:r>
      <w:r>
        <w:rPr>
          <w:rFonts w:hint="eastAsia" w:ascii="仿宋" w:hAnsi="仿宋" w:eastAsia="仿宋" w:cs="仿宋"/>
          <w:color w:val="auto"/>
          <w:sz w:val="30"/>
          <w:szCs w:val="30"/>
          <w:highlight w:val="none"/>
        </w:rPr>
        <w:t>100%，并在农卫系统进行登记与管理；</w:t>
      </w:r>
    </w:p>
    <w:p w14:paraId="2A5C046C">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（八）慢性病管理</w:t>
      </w:r>
    </w:p>
    <w:p w14:paraId="4CF18BFB">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对高血压、糖尿病等慢性病高危人群进行指导干预。对35岁以上人群实行门诊首诊测血压。对确诊高血压和糖尿病患者进行登记管理，定期进行随访，每次随访要询问病情、进行体格检查及用药、饮食、运动、心理等健康指导，并做好相关记录。</w:t>
      </w:r>
    </w:p>
    <w:p w14:paraId="1028542D">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（九）严重精神障碍患者管理</w:t>
      </w:r>
    </w:p>
    <w:p w14:paraId="30850DB0">
      <w:pPr>
        <w:spacing w:line="5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对辖区重性精神疾病患者进行登记管理；在专业机构指导下对在家居住的重性精神疾病患者进行治疗随访和康复指导，并做好相关记录。</w:t>
      </w:r>
    </w:p>
    <w:p w14:paraId="0FFD052F">
      <w:pPr>
        <w:ind w:firstLine="560"/>
        <w:rPr>
          <w:rFonts w:ascii="仿宋" w:hAnsi="仿宋" w:eastAsia="仿宋" w:cs="仿宋"/>
          <w:color w:val="auto"/>
          <w:sz w:val="30"/>
          <w:szCs w:val="30"/>
          <w:highlight w:val="none"/>
        </w:rPr>
      </w:pPr>
      <w:r>
        <w:rPr>
          <w:rFonts w:hint="eastAsia" w:ascii="仿宋" w:hAnsi="仿宋" w:eastAsia="仿宋" w:cs="仿宋"/>
          <w:color w:val="auto"/>
          <w:kern w:val="0"/>
          <w:szCs w:val="28"/>
          <w:highlight w:val="none"/>
        </w:rPr>
        <w:t>（</w:t>
      </w:r>
      <w:r>
        <w:rPr>
          <w:rFonts w:hint="eastAsia" w:ascii="仿宋" w:hAnsi="仿宋" w:eastAsia="仿宋" w:cs="仿宋"/>
          <w:color w:val="auto"/>
          <w:kern w:val="0"/>
          <w:sz w:val="30"/>
          <w:szCs w:val="30"/>
          <w:highlight w:val="none"/>
        </w:rPr>
        <w:t>十）村卫生室是落实基本公共卫生服务的重要组成部分，协助卫生院完成和落实14类基本公共卫生任务，接受卫生院的指导和县卫生局的考核，根据乡村医生承担基本公共卫生服务任务工作的完成情况合理补助经费</w:t>
      </w:r>
    </w:p>
    <w:p w14:paraId="59049854">
      <w:pPr>
        <w:ind w:firstLine="6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本项目于2023年1月开始实施，</w:t>
      </w:r>
      <w:r>
        <w:rPr>
          <w:rFonts w:hint="eastAsia" w:ascii="仿宋" w:hAnsi="仿宋" w:eastAsia="仿宋" w:cs="仿宋"/>
          <w:color w:val="auto"/>
          <w:sz w:val="30"/>
          <w:szCs w:val="30"/>
          <w:highlight w:val="none"/>
          <w:lang w:eastAsia="zh-CN"/>
        </w:rPr>
        <w:t>截至</w:t>
      </w:r>
      <w:r>
        <w:rPr>
          <w:rFonts w:hint="eastAsia" w:ascii="仿宋" w:hAnsi="仿宋" w:eastAsia="仿宋" w:cs="仿宋"/>
          <w:color w:val="auto"/>
          <w:sz w:val="30"/>
          <w:szCs w:val="30"/>
          <w:highlight w:val="none"/>
        </w:rPr>
        <w:t>2023年12月，该项目已实施完成，各项任务指标全部完成。通过本项目的实施对提高</w:t>
      </w:r>
      <w:r>
        <w:rPr>
          <w:rFonts w:hint="eastAsia" w:ascii="仿宋" w:hAnsi="仿宋" w:eastAsia="仿宋" w:cs="仿宋"/>
          <w:color w:val="auto"/>
          <w:sz w:val="30"/>
          <w:szCs w:val="30"/>
          <w:highlight w:val="none"/>
          <w:lang w:eastAsia="zh-CN"/>
        </w:rPr>
        <w:t>我院</w:t>
      </w:r>
      <w:r>
        <w:rPr>
          <w:rFonts w:hint="eastAsia" w:ascii="仿宋" w:hAnsi="仿宋" w:eastAsia="仿宋" w:cs="仿宋"/>
          <w:color w:val="auto"/>
          <w:sz w:val="30"/>
          <w:szCs w:val="30"/>
          <w:highlight w:val="none"/>
        </w:rPr>
        <w:t>医疗服务水平具有重要作用，是保证各族人民身心健康的需要，是区域内医疗事业发展的客观要求，是建设新时期农村卫生服务体系的需要，是构筑和谐社会的需要，同时也是沙湾市经济社会发展的客观需要</w:t>
      </w:r>
      <w:r>
        <w:rPr>
          <w:rFonts w:hint="eastAsia" w:ascii="仿宋" w:hAnsi="仿宋" w:eastAsia="仿宋" w:cs="仿宋"/>
          <w:color w:val="auto"/>
          <w:sz w:val="30"/>
          <w:szCs w:val="30"/>
          <w:highlight w:val="none"/>
          <w:lang w:eastAsia="zh-CN"/>
        </w:rPr>
        <w:t>。</w:t>
      </w:r>
    </w:p>
    <w:p w14:paraId="06830A58">
      <w:pPr>
        <w:bidi w:val="0"/>
        <w:rPr>
          <w:rFonts w:hint="eastAsia"/>
          <w:b/>
          <w:bCs/>
          <w:color w:val="auto"/>
          <w:sz w:val="32"/>
          <w:szCs w:val="32"/>
          <w:highlight w:val="none"/>
        </w:rPr>
      </w:pPr>
      <w:r>
        <w:rPr>
          <w:rFonts w:hint="eastAsia"/>
          <w:b/>
          <w:bCs/>
          <w:color w:val="auto"/>
          <w:sz w:val="32"/>
          <w:szCs w:val="32"/>
          <w:highlight w:val="none"/>
        </w:rPr>
        <w:t>3.项目实施主体</w:t>
      </w:r>
    </w:p>
    <w:p w14:paraId="4CB09796">
      <w:pPr>
        <w:pStyle w:val="21"/>
        <w:spacing w:line="57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2023年中央及自治区基本公共卫生服务项目</w:t>
      </w:r>
      <w:r>
        <w:rPr>
          <w:rFonts w:hint="eastAsia" w:ascii="仿宋_GB2312" w:hAnsi="仿宋_GB2312" w:cs="仿宋_GB2312"/>
          <w:color w:val="auto"/>
          <w:sz w:val="32"/>
          <w:szCs w:val="32"/>
          <w:highlight w:val="none"/>
          <w:lang w:val="en-US" w:eastAsia="zh-Hans"/>
        </w:rPr>
        <w:t>的实施</w:t>
      </w:r>
      <w:r>
        <w:rPr>
          <w:rFonts w:hint="eastAsia" w:ascii="仿宋_GB2312" w:hAnsi="仿宋_GB2312" w:cs="仿宋_GB2312"/>
          <w:color w:val="auto"/>
          <w:sz w:val="32"/>
          <w:szCs w:val="32"/>
          <w:highlight w:val="none"/>
          <w:lang w:eastAsia="zh-Hans"/>
        </w:rPr>
        <w:t>主体为</w:t>
      </w:r>
      <w:r>
        <w:rPr>
          <w:rFonts w:hint="eastAsia"/>
          <w:color w:val="auto"/>
          <w:sz w:val="32"/>
          <w:szCs w:val="32"/>
          <w:highlight w:val="none"/>
          <w:lang w:eastAsia="zh-CN"/>
        </w:rPr>
        <w:t>沙湾市老沙湾镇卫生院</w:t>
      </w:r>
      <w:r>
        <w:rPr>
          <w:rFonts w:hint="eastAsia"/>
          <w:color w:val="auto"/>
          <w:sz w:val="32"/>
          <w:szCs w:val="32"/>
          <w:highlight w:val="none"/>
          <w:lang w:eastAsia="zh-Hans"/>
        </w:rPr>
        <w:t>。</w:t>
      </w:r>
    </w:p>
    <w:p w14:paraId="41A7AE75">
      <w:pPr>
        <w:bidi w:val="0"/>
        <w:rPr>
          <w:rFonts w:hint="eastAsia"/>
          <w:b/>
          <w:bCs/>
          <w:color w:val="auto"/>
          <w:sz w:val="32"/>
          <w:szCs w:val="32"/>
          <w:highlight w:val="none"/>
        </w:rPr>
      </w:pPr>
      <w:r>
        <w:rPr>
          <w:rFonts w:hint="eastAsia"/>
          <w:b/>
          <w:bCs/>
          <w:color w:val="auto"/>
          <w:sz w:val="32"/>
          <w:szCs w:val="32"/>
          <w:highlight w:val="none"/>
        </w:rPr>
        <w:t>4. 资金投入和使用情况</w:t>
      </w:r>
    </w:p>
    <w:p w14:paraId="479B6491">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14:paraId="4EE200A7">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沙湾市财政局</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关于</w:t>
      </w:r>
      <w:r>
        <w:rPr>
          <w:rFonts w:hint="eastAsia" w:ascii="仿宋_GB2312" w:hAnsi="仿宋_GB2312" w:cs="仿宋_GB2312"/>
          <w:color w:val="auto"/>
          <w:sz w:val="32"/>
          <w:szCs w:val="32"/>
          <w:highlight w:val="none"/>
          <w:lang w:eastAsia="zh-Hans"/>
        </w:rPr>
        <w:t>提前下达2023年中央财政基本公共卫生服务补助资金</w:t>
      </w:r>
      <w:r>
        <w:rPr>
          <w:rFonts w:hint="eastAsia" w:ascii="仿宋_GB2312" w:hAnsi="仿宋_GB2312" w:cs="仿宋_GB2312"/>
          <w:color w:val="auto"/>
          <w:sz w:val="32"/>
          <w:szCs w:val="32"/>
          <w:highlight w:val="none"/>
          <w:lang w:eastAsia="zh-CN"/>
        </w:rPr>
        <w:t>预算</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91</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eastAsia="zh-CN"/>
        </w:rPr>
        <w:t>关于拨付</w:t>
      </w:r>
      <w:r>
        <w:rPr>
          <w:rFonts w:hint="eastAsia" w:ascii="仿宋_GB2312" w:hAnsi="仿宋_GB2312" w:cs="仿宋_GB2312"/>
          <w:color w:val="auto"/>
          <w:sz w:val="32"/>
          <w:szCs w:val="32"/>
          <w:highlight w:val="none"/>
          <w:lang w:eastAsia="zh-Hans"/>
        </w:rPr>
        <w:t>2023年中央基本公共卫生服务补助资金</w:t>
      </w:r>
      <w:r>
        <w:rPr>
          <w:rFonts w:hint="eastAsia" w:ascii="仿宋_GB2312" w:hAnsi="仿宋_GB2312" w:cs="仿宋_GB2312"/>
          <w:color w:val="auto"/>
          <w:sz w:val="32"/>
          <w:szCs w:val="32"/>
          <w:highlight w:val="none"/>
          <w:lang w:eastAsia="zh-CN"/>
        </w:rPr>
        <w:t>（第二批）</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25</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eastAsia="zh-CN"/>
        </w:rPr>
        <w:t>关于</w:t>
      </w:r>
      <w:r>
        <w:rPr>
          <w:rFonts w:hint="eastAsia" w:ascii="仿宋_GB2312" w:hAnsi="仿宋_GB2312" w:cs="仿宋_GB2312"/>
          <w:color w:val="auto"/>
          <w:sz w:val="32"/>
          <w:szCs w:val="32"/>
          <w:highlight w:val="none"/>
          <w:lang w:eastAsia="zh-Hans"/>
        </w:rPr>
        <w:t>提前下达2023年</w:t>
      </w:r>
      <w:r>
        <w:rPr>
          <w:rFonts w:hint="eastAsia" w:ascii="仿宋_GB2312" w:hAnsi="仿宋_GB2312" w:cs="仿宋_GB2312"/>
          <w:color w:val="auto"/>
          <w:sz w:val="32"/>
          <w:szCs w:val="32"/>
          <w:highlight w:val="none"/>
          <w:lang w:eastAsia="zh-CN"/>
        </w:rPr>
        <w:t>自治区</w:t>
      </w:r>
      <w:r>
        <w:rPr>
          <w:rFonts w:hint="eastAsia" w:ascii="仿宋_GB2312" w:hAnsi="仿宋_GB2312" w:cs="仿宋_GB2312"/>
          <w:color w:val="auto"/>
          <w:sz w:val="32"/>
          <w:szCs w:val="32"/>
          <w:highlight w:val="none"/>
          <w:lang w:eastAsia="zh-Hans"/>
        </w:rPr>
        <w:t>基本公共卫生服务补助资金</w:t>
      </w:r>
      <w:r>
        <w:rPr>
          <w:rFonts w:hint="eastAsia" w:ascii="仿宋_GB2312" w:hAnsi="仿宋_GB2312" w:cs="仿宋_GB2312"/>
          <w:color w:val="auto"/>
          <w:sz w:val="32"/>
          <w:szCs w:val="32"/>
          <w:highlight w:val="none"/>
          <w:lang w:eastAsia="zh-CN"/>
        </w:rPr>
        <w:t>预算</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103</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val="en-US" w:eastAsia="zh-CN"/>
        </w:rPr>
        <w:t>2023年中央及自治区基本公共卫生服务项目</w:t>
      </w:r>
      <w:r>
        <w:rPr>
          <w:rFonts w:hint="eastAsia" w:ascii="仿宋_GB2312" w:hAnsi="仿宋_GB2312" w:cs="仿宋_GB2312"/>
          <w:color w:val="auto"/>
          <w:sz w:val="32"/>
          <w:szCs w:val="32"/>
          <w:highlight w:val="none"/>
          <w:lang w:eastAsia="zh-Hans"/>
        </w:rPr>
        <w:t>预算</w:t>
      </w:r>
      <w:r>
        <w:rPr>
          <w:rFonts w:hint="eastAsia" w:ascii="仿宋_GB2312" w:hAnsi="仿宋_GB2312" w:cs="仿宋_GB2312"/>
          <w:color w:val="auto"/>
          <w:sz w:val="32"/>
          <w:szCs w:val="32"/>
          <w:highlight w:val="none"/>
        </w:rPr>
        <w:t>安排资金</w:t>
      </w:r>
      <w:r>
        <w:rPr>
          <w:rFonts w:hint="eastAsia" w:ascii="仿宋_GB2312" w:hAnsi="仿宋_GB2312" w:cs="仿宋_GB2312"/>
          <w:color w:val="auto"/>
          <w:sz w:val="32"/>
          <w:szCs w:val="32"/>
          <w:highlight w:val="none"/>
          <w:lang w:eastAsia="zh-Hans"/>
        </w:rPr>
        <w:t>总额</w:t>
      </w:r>
      <w:r>
        <w:rPr>
          <w:rFonts w:hint="eastAsia" w:ascii="仿宋_GB2312"/>
          <w:color w:val="auto"/>
          <w:sz w:val="32"/>
          <w:szCs w:val="32"/>
          <w:highlight w:val="none"/>
          <w:lang w:val="en-US" w:eastAsia="zh-CN"/>
        </w:rPr>
        <w:t>61.13</w:t>
      </w:r>
      <w:r>
        <w:rPr>
          <w:rFonts w:hint="eastAsia" w:ascii="仿宋_GB2312" w:hAnsi="仿宋_GB2312" w:cs="仿宋_GB2312"/>
          <w:color w:val="auto"/>
          <w:sz w:val="32"/>
          <w:szCs w:val="32"/>
          <w:highlight w:val="none"/>
        </w:rPr>
        <w:t>万元，</w:t>
      </w:r>
      <w:r>
        <w:rPr>
          <w:rFonts w:hint="eastAsia" w:ascii="仿宋_GB2312" w:hAnsi="仿宋_GB2312" w:cs="仿宋_GB2312"/>
          <w:color w:val="auto"/>
          <w:sz w:val="32"/>
          <w:szCs w:val="32"/>
          <w:highlight w:val="none"/>
          <w:lang w:eastAsia="zh-Hans"/>
        </w:rPr>
        <w:t>其中</w:t>
      </w:r>
      <w:r>
        <w:rPr>
          <w:rFonts w:hint="eastAsia" w:ascii="仿宋_GB2312"/>
          <w:color w:val="auto"/>
          <w:sz w:val="32"/>
          <w:szCs w:val="32"/>
          <w:highlight w:val="none"/>
        </w:rPr>
        <w:t>财政资</w:t>
      </w:r>
      <w:r>
        <w:rPr>
          <w:rFonts w:hint="eastAsia" w:ascii="仿宋_GB2312" w:hAnsi="仿宋_GB2312" w:cs="仿宋_GB2312"/>
          <w:color w:val="auto"/>
          <w:sz w:val="32"/>
          <w:szCs w:val="32"/>
          <w:highlight w:val="none"/>
        </w:rPr>
        <w:t>金</w:t>
      </w:r>
      <w:r>
        <w:rPr>
          <w:rFonts w:hint="eastAsia" w:ascii="仿宋_GB2312"/>
          <w:color w:val="auto"/>
          <w:sz w:val="32"/>
          <w:szCs w:val="32"/>
          <w:highlight w:val="none"/>
          <w:lang w:val="en-US" w:eastAsia="zh-CN"/>
        </w:rPr>
        <w:t>61.13</w:t>
      </w:r>
      <w:r>
        <w:rPr>
          <w:rFonts w:hint="eastAsia" w:ascii="仿宋_GB2312"/>
          <w:color w:val="auto"/>
          <w:sz w:val="32"/>
          <w:szCs w:val="32"/>
          <w:highlight w:val="none"/>
        </w:rPr>
        <w:t>万元、其他资金</w:t>
      </w:r>
      <w:r>
        <w:rPr>
          <w:rFonts w:hint="eastAsia" w:ascii="仿宋_GB2312"/>
          <w:color w:val="auto"/>
          <w:sz w:val="32"/>
          <w:szCs w:val="32"/>
          <w:highlight w:val="none"/>
          <w:lang w:val="en-US" w:eastAsia="zh-CN"/>
        </w:rPr>
        <w:t>0</w:t>
      </w:r>
      <w:r>
        <w:rPr>
          <w:rFonts w:hint="eastAsia" w:ascii="仿宋_GB2312"/>
          <w:color w:val="auto"/>
          <w:sz w:val="32"/>
          <w:szCs w:val="32"/>
          <w:highlight w:val="none"/>
        </w:rPr>
        <w:t>万元</w:t>
      </w:r>
      <w:r>
        <w:rPr>
          <w:rFonts w:hint="eastAsia" w:ascii="仿宋_GB2312"/>
          <w:color w:val="auto"/>
          <w:sz w:val="32"/>
          <w:szCs w:val="32"/>
          <w:highlight w:val="none"/>
          <w:lang w:eastAsia="zh-CN"/>
        </w:rPr>
        <w:t>；</w:t>
      </w: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年实际收到预算资金</w:t>
      </w:r>
      <w:r>
        <w:rPr>
          <w:rFonts w:hint="eastAsia" w:ascii="仿宋_GB2312"/>
          <w:color w:val="auto"/>
          <w:sz w:val="32"/>
          <w:szCs w:val="32"/>
          <w:highlight w:val="none"/>
          <w:lang w:val="en-US" w:eastAsia="zh-CN"/>
        </w:rPr>
        <w:t>60.98</w:t>
      </w:r>
      <w:r>
        <w:rPr>
          <w:rFonts w:hint="eastAsia" w:ascii="仿宋_GB2312"/>
          <w:color w:val="auto"/>
          <w:sz w:val="32"/>
          <w:szCs w:val="32"/>
          <w:highlight w:val="none"/>
        </w:rPr>
        <w:t>万元，预算资金到位率为</w:t>
      </w:r>
      <w:r>
        <w:rPr>
          <w:rFonts w:hint="eastAsia" w:ascii="仿宋_GB2312" w:hAnsi="仿宋_GB2312" w:cs="仿宋_GB2312"/>
          <w:color w:val="auto"/>
          <w:sz w:val="32"/>
          <w:szCs w:val="32"/>
          <w:highlight w:val="none"/>
          <w:lang w:val="en-US" w:eastAsia="zh-CN"/>
        </w:rPr>
        <w:t>99.75</w:t>
      </w:r>
      <w:r>
        <w:rPr>
          <w:rFonts w:hint="eastAsia" w:ascii="仿宋_GB2312"/>
          <w:color w:val="auto"/>
          <w:sz w:val="32"/>
          <w:szCs w:val="32"/>
          <w:highlight w:val="none"/>
        </w:rPr>
        <w:t>%。</w:t>
      </w:r>
    </w:p>
    <w:p w14:paraId="1B60436E">
      <w:pPr>
        <w:spacing w:line="600" w:lineRule="exact"/>
        <w:ind w:firstLine="640"/>
        <w:rPr>
          <w:color w:val="auto"/>
          <w:sz w:val="32"/>
          <w:szCs w:val="32"/>
          <w:highlight w:val="none"/>
        </w:rPr>
      </w:pPr>
      <w:r>
        <w:rPr>
          <w:rFonts w:hint="eastAsia"/>
          <w:color w:val="auto"/>
          <w:sz w:val="32"/>
          <w:szCs w:val="32"/>
          <w:highlight w:val="none"/>
        </w:rPr>
        <w:t>（2）项目资金实际使用情况</w:t>
      </w:r>
    </w:p>
    <w:p w14:paraId="6A81BABC">
      <w:pPr>
        <w:pStyle w:val="10"/>
        <w:widowControl/>
        <w:spacing w:before="0" w:beforeAutospacing="0" w:after="0" w:afterAutospacing="0" w:line="570" w:lineRule="exact"/>
        <w:ind w:firstLine="640"/>
        <w:jc w:val="both"/>
        <w:rPr>
          <w:rFonts w:hint="eastAsia" w:ascii="仿宋_GB2312"/>
          <w:color w:val="auto"/>
          <w:sz w:val="32"/>
          <w:szCs w:val="32"/>
          <w:highlight w:val="none"/>
        </w:rPr>
      </w:pPr>
      <w:r>
        <w:rPr>
          <w:rFonts w:hint="eastAsia" w:ascii="仿宋_GB2312" w:hAnsi="Times New Roman" w:eastAsia="仿宋_GB2312" w:cs="Times New Roman"/>
          <w:color w:val="auto"/>
          <w:kern w:val="2"/>
          <w:sz w:val="32"/>
          <w:szCs w:val="32"/>
          <w:highlight w:val="none"/>
          <w:lang w:val="en-US" w:eastAsia="zh-CN" w:bidi="ar-SA"/>
        </w:rPr>
        <w:t>截至2023年12月31日，本项目实际支付资金60.98万元，预算执行率99.75%，结转资金0.15万元，结转原因为信息有误银行退款且国库年底扎账，造成项目资金未使用完有结余。</w:t>
      </w:r>
      <w:r>
        <w:rPr>
          <w:rFonts w:hint="eastAsia" w:ascii="仿宋_GB2312"/>
          <w:color w:val="auto"/>
          <w:sz w:val="32"/>
          <w:szCs w:val="32"/>
          <w:highlight w:val="none"/>
        </w:rPr>
        <w:t>项目资金主要用于支付</w:t>
      </w:r>
      <w:r>
        <w:rPr>
          <w:rFonts w:hint="eastAsia" w:ascii="仿宋_GB2312"/>
          <w:color w:val="auto"/>
          <w:sz w:val="32"/>
          <w:szCs w:val="32"/>
          <w:highlight w:val="none"/>
          <w:lang w:eastAsia="zh-CN"/>
        </w:rPr>
        <w:t>办公</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3.6</w:t>
      </w:r>
      <w:r>
        <w:rPr>
          <w:rFonts w:hint="eastAsia" w:ascii="仿宋_GB2312"/>
          <w:color w:val="auto"/>
          <w:sz w:val="32"/>
          <w:szCs w:val="32"/>
          <w:highlight w:val="none"/>
        </w:rPr>
        <w:t>万元、</w:t>
      </w:r>
      <w:r>
        <w:rPr>
          <w:rFonts w:hint="eastAsia" w:ascii="仿宋_GB2312"/>
          <w:color w:val="auto"/>
          <w:sz w:val="32"/>
          <w:szCs w:val="32"/>
          <w:highlight w:val="none"/>
          <w:lang w:eastAsia="zh-CN"/>
        </w:rPr>
        <w:t>印刷</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2.47</w:t>
      </w:r>
      <w:r>
        <w:rPr>
          <w:rFonts w:hint="eastAsia" w:ascii="仿宋_GB2312"/>
          <w:color w:val="auto"/>
          <w:sz w:val="32"/>
          <w:szCs w:val="32"/>
          <w:highlight w:val="none"/>
        </w:rPr>
        <w:t>万元</w:t>
      </w:r>
      <w:r>
        <w:rPr>
          <w:rFonts w:hint="eastAsia" w:ascii="仿宋_GB2312"/>
          <w:color w:val="auto"/>
          <w:sz w:val="32"/>
          <w:szCs w:val="32"/>
          <w:highlight w:val="none"/>
          <w:lang w:eastAsia="zh-CN"/>
        </w:rPr>
        <w:t>、电费</w:t>
      </w:r>
      <w:r>
        <w:rPr>
          <w:rFonts w:hint="eastAsia" w:ascii="仿宋_GB2312"/>
          <w:color w:val="auto"/>
          <w:sz w:val="32"/>
          <w:szCs w:val="32"/>
          <w:highlight w:val="none"/>
          <w:lang w:val="en-US" w:eastAsia="zh-CN"/>
        </w:rPr>
        <w:t>1.5万元、邮电费1.59万元、取暖费1万元、差旅费0.24万元、劳务费48.48万元，其他交通费2.1万元</w:t>
      </w:r>
      <w:r>
        <w:rPr>
          <w:rFonts w:hint="eastAsia" w:ascii="仿宋_GB2312"/>
          <w:color w:val="auto"/>
          <w:sz w:val="32"/>
          <w:szCs w:val="32"/>
          <w:highlight w:val="none"/>
        </w:rPr>
        <w:t>。</w:t>
      </w:r>
    </w:p>
    <w:p w14:paraId="7C71FA3F">
      <w:pPr>
        <w:pStyle w:val="3"/>
        <w:numPr>
          <w:ilvl w:val="0"/>
          <w:numId w:val="3"/>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14:paraId="26A6E568">
      <w:pPr>
        <w:bidi w:val="0"/>
        <w:rPr>
          <w:rFonts w:hint="eastAsia"/>
          <w:b/>
          <w:bCs/>
          <w:color w:val="auto"/>
          <w:sz w:val="32"/>
          <w:szCs w:val="32"/>
          <w:highlight w:val="none"/>
        </w:rPr>
      </w:pPr>
      <w:r>
        <w:rPr>
          <w:rFonts w:hint="eastAsia"/>
          <w:b/>
          <w:bCs/>
          <w:color w:val="auto"/>
          <w:sz w:val="32"/>
          <w:szCs w:val="32"/>
          <w:highlight w:val="none"/>
        </w:rPr>
        <w:t>1.总体目标</w:t>
      </w:r>
    </w:p>
    <w:p w14:paraId="25D26E96">
      <w:pPr>
        <w:spacing w:line="540" w:lineRule="exact"/>
        <w:ind w:firstLine="600"/>
        <w:rPr>
          <w:rFonts w:hint="eastAsia" w:ascii="仿宋_GB2312" w:hAnsi="Times New Roman" w:eastAsia="仿宋_GB2312" w:cs="Times New Roman"/>
          <w:color w:val="auto"/>
          <w:kern w:val="0"/>
          <w:sz w:val="32"/>
          <w:szCs w:val="32"/>
          <w:highlight w:val="none"/>
          <w:lang w:val="en-US" w:eastAsia="zh-CN" w:bidi="ar"/>
        </w:rPr>
      </w:pPr>
      <w:r>
        <w:rPr>
          <w:rFonts w:hint="eastAsia" w:ascii="仿宋_GB2312" w:hAnsi="Times New Roman" w:eastAsia="仿宋_GB2312" w:cs="Times New Roman"/>
          <w:color w:val="auto"/>
          <w:kern w:val="0"/>
          <w:sz w:val="32"/>
          <w:szCs w:val="32"/>
          <w:highlight w:val="none"/>
          <w:lang w:val="en-US" w:eastAsia="zh-CN" w:bidi="ar"/>
        </w:rPr>
        <w:t>通过对全镇人民群众开展公共卫生项目服务，建立完备、适用的居民健康档案，全面掌握全镇城乡居民健康状况，分析影响全镇城乡居民健康的主要因素，制定科学准确的疾病谱，研究做到对危害群众健康的各类疾病“早发现、早诊断、早治疗、早预防”。目标1: 高血压患者管理</w:t>
      </w:r>
      <w:r>
        <w:rPr>
          <w:rFonts w:hint="eastAsia" w:ascii="仿宋_GB2312" w:cs="Times New Roman"/>
          <w:color w:val="auto"/>
          <w:kern w:val="0"/>
          <w:sz w:val="32"/>
          <w:szCs w:val="32"/>
          <w:highlight w:val="none"/>
          <w:lang w:val="en-US" w:eastAsia="zh-CN" w:bidi="ar"/>
        </w:rPr>
        <w:t>人数大于</w:t>
      </w:r>
      <w:r>
        <w:rPr>
          <w:rFonts w:hint="eastAsia" w:ascii="仿宋_GB2312" w:hAnsi="Times New Roman" w:eastAsia="仿宋_GB2312" w:cs="Times New Roman"/>
          <w:color w:val="auto"/>
          <w:kern w:val="0"/>
          <w:sz w:val="32"/>
          <w:szCs w:val="32"/>
          <w:highlight w:val="none"/>
          <w:lang w:val="en-US" w:eastAsia="zh-CN" w:bidi="ar"/>
        </w:rPr>
        <w:t>等于</w:t>
      </w:r>
      <w:r>
        <w:rPr>
          <w:rFonts w:hint="eastAsia" w:ascii="仿宋_GB2312" w:hAnsi="Times New Roman" w:cs="Times New Roman"/>
          <w:color w:val="auto"/>
          <w:kern w:val="0"/>
          <w:sz w:val="32"/>
          <w:szCs w:val="32"/>
          <w:highlight w:val="none"/>
          <w:lang w:val="en-US" w:eastAsia="zh-CN" w:bidi="ar"/>
        </w:rPr>
        <w:t>935</w:t>
      </w:r>
      <w:r>
        <w:rPr>
          <w:rFonts w:hint="eastAsia" w:ascii="仿宋_GB2312" w:hAnsi="Times New Roman" w:eastAsia="仿宋_GB2312" w:cs="Times New Roman"/>
          <w:color w:val="auto"/>
          <w:kern w:val="0"/>
          <w:sz w:val="32"/>
          <w:szCs w:val="32"/>
          <w:highlight w:val="none"/>
          <w:lang w:val="en-US" w:eastAsia="zh-CN" w:bidi="ar"/>
        </w:rPr>
        <w:t>人；目标2: 2型糖尿病患者管理人数大于等于</w:t>
      </w:r>
      <w:r>
        <w:rPr>
          <w:rFonts w:hint="eastAsia" w:ascii="仿宋_GB2312" w:hAnsi="Times New Roman" w:cs="Times New Roman"/>
          <w:color w:val="auto"/>
          <w:kern w:val="0"/>
          <w:sz w:val="32"/>
          <w:szCs w:val="32"/>
          <w:highlight w:val="none"/>
          <w:lang w:val="en-US" w:eastAsia="zh-CN" w:bidi="ar"/>
        </w:rPr>
        <w:t>361</w:t>
      </w:r>
      <w:r>
        <w:rPr>
          <w:rFonts w:hint="eastAsia" w:ascii="仿宋_GB2312" w:hAnsi="Times New Roman" w:eastAsia="仿宋_GB2312" w:cs="Times New Roman"/>
          <w:color w:val="auto"/>
          <w:kern w:val="0"/>
          <w:sz w:val="32"/>
          <w:szCs w:val="32"/>
          <w:highlight w:val="none"/>
          <w:lang w:val="en-US" w:eastAsia="zh-CN" w:bidi="ar"/>
        </w:rPr>
        <w:t>人，目标3</w:t>
      </w:r>
      <w:r>
        <w:rPr>
          <w:rFonts w:hint="eastAsia" w:ascii="仿宋_GB2312" w:hAnsi="Times New Roman" w:cs="Times New Roman"/>
          <w:color w:val="auto"/>
          <w:kern w:val="0"/>
          <w:sz w:val="32"/>
          <w:szCs w:val="32"/>
          <w:highlight w:val="none"/>
          <w:lang w:val="en-US" w:eastAsia="zh-CN" w:bidi="ar"/>
        </w:rPr>
        <w:t>：</w:t>
      </w:r>
      <w:r>
        <w:rPr>
          <w:rFonts w:hint="eastAsia" w:ascii="仿宋_GB2312" w:hAnsi="Times New Roman" w:eastAsia="仿宋_GB2312" w:cs="Times New Roman"/>
          <w:color w:val="auto"/>
          <w:kern w:val="0"/>
          <w:sz w:val="32"/>
          <w:szCs w:val="32"/>
          <w:highlight w:val="none"/>
          <w:lang w:val="en-US" w:eastAsia="zh-CN" w:bidi="ar"/>
        </w:rPr>
        <w:t>0-6岁儿童管理人数大于等于</w:t>
      </w:r>
      <w:r>
        <w:rPr>
          <w:rFonts w:hint="eastAsia" w:ascii="仿宋_GB2312" w:hAnsi="Times New Roman" w:cs="Times New Roman"/>
          <w:color w:val="auto"/>
          <w:kern w:val="0"/>
          <w:sz w:val="32"/>
          <w:szCs w:val="32"/>
          <w:highlight w:val="none"/>
          <w:lang w:val="en-US" w:eastAsia="zh-CN" w:bidi="ar"/>
        </w:rPr>
        <w:t>423</w:t>
      </w:r>
      <w:r>
        <w:rPr>
          <w:rFonts w:hint="eastAsia" w:ascii="仿宋_GB2312" w:hAnsi="Times New Roman" w:eastAsia="仿宋_GB2312" w:cs="Times New Roman"/>
          <w:color w:val="auto"/>
          <w:kern w:val="0"/>
          <w:sz w:val="32"/>
          <w:szCs w:val="32"/>
          <w:highlight w:val="none"/>
          <w:lang w:val="en-US" w:eastAsia="zh-CN" w:bidi="ar"/>
        </w:rPr>
        <w:t>人，通过广泛开展全民公共卫生服务，让全镇各族群众切身感受到以习近平同志为核心的党中央对新疆各族人民的特殊关怀，发自内心地感恩党、感恩政府、感恩伟大祖国，为实现社会稳定和长治久安总目标凝心聚力。</w:t>
      </w:r>
    </w:p>
    <w:p w14:paraId="3126D238">
      <w:pPr>
        <w:bidi w:val="0"/>
        <w:rPr>
          <w:rFonts w:hint="eastAsia"/>
          <w:b/>
          <w:bCs/>
          <w:color w:val="auto"/>
          <w:sz w:val="32"/>
          <w:szCs w:val="32"/>
          <w:highlight w:val="none"/>
        </w:rPr>
      </w:pPr>
      <w:r>
        <w:rPr>
          <w:rFonts w:hint="eastAsia"/>
          <w:b/>
          <w:bCs/>
          <w:color w:val="auto"/>
          <w:sz w:val="32"/>
          <w:szCs w:val="32"/>
          <w:highlight w:val="none"/>
        </w:rPr>
        <w:t>2.阶段性目标</w:t>
      </w:r>
    </w:p>
    <w:p w14:paraId="3A850CFC">
      <w:pPr>
        <w:spacing w:line="600" w:lineRule="exact"/>
        <w:ind w:firstLine="640"/>
        <w:rPr>
          <w:rFonts w:ascii="仿宋_GB2312" w:hAnsi="Arial" w:cs="宋体"/>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14:paraId="13F882FD">
      <w:pPr>
        <w:numPr>
          <w:ilvl w:val="0"/>
          <w:numId w:val="4"/>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14:paraId="65AF7022">
      <w:pPr>
        <w:spacing w:line="600" w:lineRule="exact"/>
        <w:ind w:firstLine="640"/>
        <w:rPr>
          <w:color w:val="auto"/>
          <w:sz w:val="32"/>
          <w:szCs w:val="32"/>
          <w:highlight w:val="none"/>
        </w:rPr>
      </w:pPr>
      <w:r>
        <w:rPr>
          <w:rFonts w:hint="eastAsia"/>
          <w:color w:val="auto"/>
          <w:sz w:val="32"/>
          <w:szCs w:val="32"/>
          <w:highlight w:val="none"/>
        </w:rPr>
        <w:t>①数量指标</w:t>
      </w:r>
    </w:p>
    <w:p w14:paraId="632DAE5A">
      <w:pPr>
        <w:spacing w:line="600" w:lineRule="exact"/>
        <w:ind w:firstLine="640"/>
        <w:rPr>
          <w:color w:val="auto"/>
          <w:sz w:val="32"/>
          <w:szCs w:val="32"/>
          <w:highlight w:val="none"/>
        </w:rPr>
      </w:pPr>
      <w:r>
        <w:rPr>
          <w:rFonts w:hint="eastAsia" w:ascii="仿宋" w:hAnsi="仿宋" w:eastAsia="仿宋" w:cs="仿宋"/>
          <w:bCs/>
          <w:color w:val="auto"/>
          <w:sz w:val="30"/>
          <w:szCs w:val="30"/>
          <w:highlight w:val="none"/>
        </w:rPr>
        <w:t>“高血压患者管理人数（人）”指标，预期指标值为“大于等于</w:t>
      </w:r>
      <w:r>
        <w:rPr>
          <w:rFonts w:hint="eastAsia" w:ascii="仿宋" w:hAnsi="仿宋" w:eastAsia="仿宋" w:cs="仿宋"/>
          <w:bCs/>
          <w:color w:val="auto"/>
          <w:sz w:val="30"/>
          <w:szCs w:val="30"/>
          <w:highlight w:val="none"/>
          <w:lang w:val="en-US" w:eastAsia="zh-CN"/>
        </w:rPr>
        <w:t>935</w:t>
      </w:r>
      <w:r>
        <w:rPr>
          <w:rFonts w:hint="eastAsia" w:ascii="仿宋" w:hAnsi="仿宋" w:eastAsia="仿宋" w:cs="仿宋"/>
          <w:bCs/>
          <w:color w:val="auto"/>
          <w:sz w:val="30"/>
          <w:szCs w:val="30"/>
          <w:highlight w:val="none"/>
        </w:rPr>
        <w:t>人”</w:t>
      </w:r>
      <w:r>
        <w:rPr>
          <w:rFonts w:hint="eastAsia"/>
          <w:color w:val="auto"/>
          <w:sz w:val="32"/>
          <w:szCs w:val="32"/>
          <w:highlight w:val="none"/>
        </w:rPr>
        <w:t>；</w:t>
      </w:r>
    </w:p>
    <w:p w14:paraId="20162D0C">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2型糖尿病患者管理人数</w:t>
      </w:r>
      <w:r>
        <w:rPr>
          <w:rFonts w:hint="eastAsia" w:ascii="仿宋" w:hAnsi="仿宋" w:eastAsia="仿宋" w:cs="仿宋"/>
          <w:bCs/>
          <w:color w:val="auto"/>
          <w:sz w:val="30"/>
          <w:szCs w:val="30"/>
          <w:highlight w:val="none"/>
        </w:rPr>
        <w:t>（人）</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w:t>
      </w:r>
      <w:r>
        <w:rPr>
          <w:rFonts w:hint="eastAsia" w:ascii="仿宋" w:hAnsi="仿宋" w:eastAsia="仿宋" w:cs="仿宋"/>
          <w:bCs/>
          <w:color w:val="auto"/>
          <w:sz w:val="30"/>
          <w:szCs w:val="30"/>
          <w:highlight w:val="none"/>
          <w:lang w:val="en-US" w:eastAsia="zh-CN"/>
        </w:rPr>
        <w:t>361</w:t>
      </w:r>
      <w:r>
        <w:rPr>
          <w:rFonts w:hint="eastAsia" w:ascii="仿宋" w:hAnsi="仿宋" w:eastAsia="仿宋" w:cs="仿宋"/>
          <w:bCs/>
          <w:color w:val="auto"/>
          <w:sz w:val="30"/>
          <w:szCs w:val="30"/>
          <w:highlight w:val="none"/>
        </w:rPr>
        <w:t>人</w:t>
      </w:r>
      <w:r>
        <w:rPr>
          <w:rFonts w:hint="eastAsia"/>
          <w:color w:val="auto"/>
          <w:sz w:val="32"/>
          <w:szCs w:val="32"/>
          <w:highlight w:val="none"/>
        </w:rPr>
        <w:t>”；</w:t>
      </w:r>
    </w:p>
    <w:p w14:paraId="272098AB">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0-6岁儿童管理人数（人）</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w:t>
      </w:r>
      <w:r>
        <w:rPr>
          <w:rFonts w:hint="eastAsia" w:ascii="仿宋" w:hAnsi="仿宋" w:eastAsia="仿宋" w:cs="仿宋"/>
          <w:bCs/>
          <w:color w:val="auto"/>
          <w:sz w:val="30"/>
          <w:szCs w:val="30"/>
          <w:highlight w:val="none"/>
          <w:lang w:val="en-US" w:eastAsia="zh-CN"/>
        </w:rPr>
        <w:t>423</w:t>
      </w:r>
      <w:r>
        <w:rPr>
          <w:rFonts w:hint="eastAsia" w:ascii="仿宋" w:hAnsi="仿宋" w:eastAsia="仿宋" w:cs="仿宋"/>
          <w:bCs/>
          <w:color w:val="auto"/>
          <w:sz w:val="30"/>
          <w:szCs w:val="30"/>
          <w:highlight w:val="none"/>
        </w:rPr>
        <w:t>人</w:t>
      </w:r>
      <w:r>
        <w:rPr>
          <w:rFonts w:hint="eastAsia"/>
          <w:color w:val="auto"/>
          <w:sz w:val="32"/>
          <w:szCs w:val="32"/>
          <w:highlight w:val="none"/>
        </w:rPr>
        <w:t>”。</w:t>
      </w:r>
    </w:p>
    <w:p w14:paraId="65112395">
      <w:pPr>
        <w:spacing w:line="600" w:lineRule="exact"/>
        <w:ind w:firstLine="640"/>
        <w:rPr>
          <w:color w:val="auto"/>
          <w:sz w:val="32"/>
          <w:szCs w:val="32"/>
          <w:highlight w:val="none"/>
        </w:rPr>
      </w:pPr>
      <w:r>
        <w:rPr>
          <w:rFonts w:hint="eastAsia"/>
          <w:color w:val="auto"/>
          <w:sz w:val="32"/>
          <w:szCs w:val="32"/>
          <w:highlight w:val="none"/>
        </w:rPr>
        <w:t>②质量指标</w:t>
      </w:r>
    </w:p>
    <w:p w14:paraId="054A2169">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高血压患者规范管理率（%）</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大于等于60%</w:t>
      </w:r>
      <w:r>
        <w:rPr>
          <w:rFonts w:hint="eastAsia"/>
          <w:color w:val="auto"/>
          <w:sz w:val="32"/>
          <w:szCs w:val="32"/>
          <w:highlight w:val="none"/>
        </w:rPr>
        <w:t>”；</w:t>
      </w:r>
    </w:p>
    <w:p w14:paraId="1B1A11B6">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2型糖尿病患者规范管理率（%）</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大于等于60%</w:t>
      </w:r>
      <w:r>
        <w:rPr>
          <w:rFonts w:hint="eastAsia"/>
          <w:color w:val="auto"/>
          <w:sz w:val="32"/>
          <w:szCs w:val="32"/>
          <w:highlight w:val="none"/>
        </w:rPr>
        <w:t>”</w:t>
      </w:r>
      <w:r>
        <w:rPr>
          <w:rFonts w:hint="eastAsia"/>
          <w:color w:val="auto"/>
          <w:sz w:val="32"/>
          <w:szCs w:val="32"/>
          <w:highlight w:val="none"/>
          <w:lang w:eastAsia="zh-CN"/>
        </w:rPr>
        <w:t>；</w:t>
      </w:r>
    </w:p>
    <w:p w14:paraId="7E0C7D4A">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0-6岁儿童健康管理率（%）</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大于等于85%</w:t>
      </w:r>
      <w:r>
        <w:rPr>
          <w:rFonts w:hint="eastAsia"/>
          <w:color w:val="auto"/>
          <w:sz w:val="32"/>
          <w:szCs w:val="32"/>
          <w:highlight w:val="none"/>
        </w:rPr>
        <w:t>”。</w:t>
      </w:r>
    </w:p>
    <w:p w14:paraId="24938930">
      <w:pPr>
        <w:spacing w:line="600" w:lineRule="exact"/>
        <w:ind w:firstLine="640"/>
        <w:rPr>
          <w:color w:val="auto"/>
          <w:sz w:val="32"/>
          <w:szCs w:val="32"/>
          <w:highlight w:val="none"/>
        </w:rPr>
      </w:pPr>
      <w:r>
        <w:rPr>
          <w:rFonts w:hint="eastAsia"/>
          <w:color w:val="auto"/>
          <w:sz w:val="32"/>
          <w:szCs w:val="32"/>
          <w:highlight w:val="none"/>
        </w:rPr>
        <w:t>③时效指标</w:t>
      </w:r>
    </w:p>
    <w:p w14:paraId="3F72BAC7">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基本公共卫生服务项目完成时限</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2023年12月20日前</w:t>
      </w:r>
      <w:r>
        <w:rPr>
          <w:rFonts w:hint="eastAsia"/>
          <w:color w:val="auto"/>
          <w:sz w:val="32"/>
          <w:szCs w:val="32"/>
          <w:highlight w:val="none"/>
        </w:rPr>
        <w:t>”</w:t>
      </w:r>
      <w:r>
        <w:rPr>
          <w:rFonts w:hint="eastAsia"/>
          <w:color w:val="auto"/>
          <w:sz w:val="32"/>
          <w:szCs w:val="32"/>
          <w:highlight w:val="none"/>
          <w:lang w:eastAsia="zh-CN"/>
        </w:rPr>
        <w:t>。</w:t>
      </w:r>
    </w:p>
    <w:p w14:paraId="6CB9A49B">
      <w:pPr>
        <w:numPr>
          <w:ilvl w:val="0"/>
          <w:numId w:val="4"/>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14:paraId="31A1A75A">
      <w:pPr>
        <w:spacing w:line="600" w:lineRule="exact"/>
        <w:ind w:firstLine="640"/>
        <w:rPr>
          <w:color w:val="auto"/>
          <w:highlight w:val="none"/>
        </w:rPr>
      </w:pPr>
      <w:r>
        <w:rPr>
          <w:rFonts w:hint="eastAsia" w:ascii="仿宋" w:hAnsi="仿宋" w:eastAsia="仿宋" w:cs="仿宋"/>
          <w:color w:val="auto"/>
          <w:sz w:val="30"/>
          <w:szCs w:val="30"/>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14:paraId="08AC8E56">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基本公共卫生服务支出</w:t>
      </w:r>
      <w:r>
        <w:rPr>
          <w:rFonts w:hint="eastAsia" w:ascii="仿宋_GB2312"/>
          <w:color w:val="auto"/>
          <w:sz w:val="32"/>
          <w:szCs w:val="32"/>
          <w:highlight w:val="none"/>
          <w:lang w:eastAsia="zh-CN"/>
        </w:rPr>
        <w:t>（万元）</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小于等于</w:t>
      </w:r>
      <w:r>
        <w:rPr>
          <w:rFonts w:hint="eastAsia" w:ascii="仿宋" w:hAnsi="仿宋" w:eastAsia="仿宋" w:cs="仿宋"/>
          <w:bCs/>
          <w:color w:val="auto"/>
          <w:sz w:val="30"/>
          <w:szCs w:val="30"/>
          <w:highlight w:val="none"/>
          <w:lang w:val="en-US" w:eastAsia="zh-CN"/>
        </w:rPr>
        <w:t>61.13万元</w:t>
      </w:r>
      <w:r>
        <w:rPr>
          <w:rFonts w:hint="eastAsia"/>
          <w:color w:val="auto"/>
          <w:sz w:val="32"/>
          <w:szCs w:val="32"/>
          <w:highlight w:val="none"/>
        </w:rPr>
        <w:t>”。</w:t>
      </w:r>
    </w:p>
    <w:p w14:paraId="57D7E8AD">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14:paraId="128C7C53">
      <w:pPr>
        <w:spacing w:line="600" w:lineRule="exact"/>
        <w:ind w:firstLine="6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①经济效益指标</w:t>
      </w:r>
    </w:p>
    <w:p w14:paraId="3BFECC12">
      <w:pPr>
        <w:pStyle w:val="27"/>
        <w:spacing w:line="600" w:lineRule="exact"/>
        <w:rPr>
          <w:rFonts w:hint="default" w:ascii="仿宋" w:hAnsi="仿宋" w:eastAsia="仿宋" w:cs="仿宋"/>
          <w:color w:val="auto"/>
          <w:sz w:val="30"/>
          <w:szCs w:val="30"/>
          <w:highlight w:val="none"/>
        </w:rPr>
      </w:pPr>
      <w:r>
        <w:rPr>
          <w:rFonts w:hint="eastAsia" w:ascii="仿宋" w:hAnsi="仿宋" w:eastAsia="仿宋" w:cs="仿宋"/>
          <w:bCs/>
          <w:color w:val="auto"/>
          <w:sz w:val="30"/>
          <w:szCs w:val="30"/>
          <w:highlight w:val="none"/>
        </w:rPr>
        <w:t>无此项指标。</w:t>
      </w:r>
    </w:p>
    <w:p w14:paraId="3CBC2F94">
      <w:pPr>
        <w:spacing w:line="600" w:lineRule="exact"/>
        <w:ind w:firstLine="640"/>
        <w:rPr>
          <w:color w:val="auto"/>
          <w:sz w:val="32"/>
          <w:szCs w:val="32"/>
          <w:highlight w:val="none"/>
        </w:rPr>
      </w:pPr>
      <w:r>
        <w:rPr>
          <w:rFonts w:hint="default" w:ascii="仿宋" w:hAnsi="仿宋" w:eastAsia="仿宋" w:cs="仿宋"/>
          <w:color w:val="auto"/>
          <w:sz w:val="30"/>
          <w:szCs w:val="30"/>
          <w:highlight w:val="none"/>
        </w:rPr>
        <w:t>②</w:t>
      </w:r>
      <w:r>
        <w:rPr>
          <w:rFonts w:hint="eastAsia"/>
          <w:color w:val="auto"/>
          <w:sz w:val="32"/>
          <w:szCs w:val="32"/>
          <w:highlight w:val="none"/>
        </w:rPr>
        <w:t>社会效益指标</w:t>
      </w:r>
    </w:p>
    <w:p w14:paraId="2ABF2BBC">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提升城乡居民基本公共卫生服务均等化水平</w:t>
      </w:r>
      <w:r>
        <w:rPr>
          <w:rFonts w:hint="eastAsia"/>
          <w:color w:val="auto"/>
          <w:sz w:val="32"/>
          <w:szCs w:val="32"/>
          <w:highlight w:val="none"/>
        </w:rPr>
        <w:t>”指标，预期指标值为“</w:t>
      </w:r>
      <w:r>
        <w:rPr>
          <w:rFonts w:hint="eastAsia" w:ascii="仿宋_GB2312" w:hAnsi="Times New Roman" w:cs="Times New Roman"/>
          <w:color w:val="auto"/>
          <w:sz w:val="32"/>
          <w:szCs w:val="32"/>
          <w:highlight w:val="none"/>
          <w:lang w:eastAsia="zh-Hans"/>
        </w:rPr>
        <w:t>有效提</w:t>
      </w:r>
      <w:r>
        <w:rPr>
          <w:rFonts w:hint="eastAsia" w:ascii="仿宋_GB2312"/>
          <w:color w:val="auto"/>
          <w:sz w:val="32"/>
          <w:szCs w:val="32"/>
          <w:highlight w:val="none"/>
          <w:lang w:eastAsia="zh-Hans"/>
        </w:rPr>
        <w:t>升</w:t>
      </w:r>
      <w:r>
        <w:rPr>
          <w:rFonts w:hint="eastAsia"/>
          <w:color w:val="auto"/>
          <w:sz w:val="32"/>
          <w:szCs w:val="32"/>
          <w:highlight w:val="none"/>
        </w:rPr>
        <w:t>”</w:t>
      </w:r>
      <w:r>
        <w:rPr>
          <w:rFonts w:hint="eastAsia"/>
          <w:color w:val="auto"/>
          <w:sz w:val="32"/>
          <w:szCs w:val="32"/>
          <w:highlight w:val="none"/>
          <w:lang w:eastAsia="zh-CN"/>
        </w:rPr>
        <w:t>。</w:t>
      </w:r>
    </w:p>
    <w:p w14:paraId="781EE666">
      <w:pPr>
        <w:spacing w:line="600" w:lineRule="exact"/>
        <w:ind w:firstLine="640"/>
        <w:rPr>
          <w:rFonts w:hint="eastAsia"/>
          <w:color w:val="auto"/>
          <w:sz w:val="32"/>
          <w:szCs w:val="32"/>
          <w:highlight w:val="none"/>
        </w:rPr>
      </w:pPr>
      <w:r>
        <w:rPr>
          <w:rFonts w:hint="default" w:ascii="仿宋" w:hAnsi="仿宋" w:eastAsia="仿宋" w:cs="仿宋"/>
          <w:color w:val="auto"/>
          <w:sz w:val="30"/>
          <w:szCs w:val="30"/>
          <w:highlight w:val="none"/>
        </w:rPr>
        <w:t>③</w:t>
      </w:r>
      <w:r>
        <w:rPr>
          <w:rFonts w:hint="eastAsia" w:ascii="仿宋" w:hAnsi="仿宋" w:eastAsia="仿宋" w:cs="仿宋"/>
          <w:color w:val="auto"/>
          <w:sz w:val="30"/>
          <w:szCs w:val="30"/>
          <w:highlight w:val="none"/>
        </w:rPr>
        <w:t>生</w:t>
      </w:r>
      <w:r>
        <w:rPr>
          <w:rFonts w:hint="eastAsia"/>
          <w:color w:val="auto"/>
          <w:sz w:val="32"/>
          <w:szCs w:val="32"/>
          <w:highlight w:val="none"/>
        </w:rPr>
        <w:t>态效益指标</w:t>
      </w:r>
    </w:p>
    <w:p w14:paraId="15DA3BDA">
      <w:pPr>
        <w:pStyle w:val="27"/>
        <w:spacing w:line="600" w:lineRule="exact"/>
        <w:rPr>
          <w:rFonts w:hint="eastAsia"/>
          <w:color w:val="auto"/>
          <w:sz w:val="32"/>
          <w:szCs w:val="32"/>
          <w:highlight w:val="none"/>
        </w:rPr>
      </w:pPr>
      <w:r>
        <w:rPr>
          <w:rFonts w:hint="eastAsia" w:ascii="仿宋" w:hAnsi="仿宋" w:eastAsia="仿宋" w:cs="仿宋"/>
          <w:bCs/>
          <w:color w:val="auto"/>
          <w:sz w:val="30"/>
          <w:szCs w:val="30"/>
          <w:highlight w:val="none"/>
        </w:rPr>
        <w:t>无此项指标。</w:t>
      </w:r>
    </w:p>
    <w:p w14:paraId="77E95711">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14:paraId="7F950F4E">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服务对象满意度（%）</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大于等于95%</w:t>
      </w:r>
      <w:r>
        <w:rPr>
          <w:rFonts w:hint="eastAsia"/>
          <w:color w:val="auto"/>
          <w:sz w:val="32"/>
          <w:szCs w:val="32"/>
          <w:highlight w:val="none"/>
        </w:rPr>
        <w:t>”；</w:t>
      </w:r>
    </w:p>
    <w:p w14:paraId="2C9C7D27">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村医满意度（%）</w:t>
      </w:r>
      <w:r>
        <w:rPr>
          <w:rFonts w:hint="eastAsia"/>
          <w:color w:val="auto"/>
          <w:sz w:val="32"/>
          <w:szCs w:val="32"/>
          <w:highlight w:val="none"/>
        </w:rPr>
        <w:t>”指标，预期指标值为“</w:t>
      </w:r>
      <w:r>
        <w:rPr>
          <w:rFonts w:hint="eastAsia" w:ascii="仿宋" w:hAnsi="仿宋" w:eastAsia="仿宋" w:cs="仿宋"/>
          <w:bCs/>
          <w:color w:val="auto"/>
          <w:sz w:val="30"/>
          <w:szCs w:val="30"/>
          <w:highlight w:val="none"/>
        </w:rPr>
        <w:t>大于等于95%</w:t>
      </w:r>
      <w:r>
        <w:rPr>
          <w:rFonts w:hint="eastAsia"/>
          <w:color w:val="auto"/>
          <w:sz w:val="32"/>
          <w:szCs w:val="32"/>
          <w:highlight w:val="none"/>
        </w:rPr>
        <w:t>”。</w:t>
      </w:r>
    </w:p>
    <w:p w14:paraId="393485DA">
      <w:pPr>
        <w:pStyle w:val="2"/>
        <w:spacing w:line="600" w:lineRule="exact"/>
        <w:ind w:firstLine="640"/>
        <w:rPr>
          <w:color w:val="auto"/>
          <w:szCs w:val="32"/>
          <w:highlight w:val="none"/>
        </w:rPr>
      </w:pPr>
      <w:r>
        <w:rPr>
          <w:rFonts w:hint="eastAsia"/>
          <w:color w:val="auto"/>
          <w:szCs w:val="32"/>
          <w:highlight w:val="none"/>
        </w:rPr>
        <w:t>二、绩效评价工作开展情况</w:t>
      </w:r>
    </w:p>
    <w:p w14:paraId="4F408E36">
      <w:pPr>
        <w:pStyle w:val="3"/>
        <w:numPr>
          <w:ilvl w:val="0"/>
          <w:numId w:val="5"/>
        </w:numPr>
        <w:spacing w:line="600" w:lineRule="exact"/>
        <w:ind w:firstLine="643"/>
        <w:rPr>
          <w:rFonts w:ascii="楷体_GB2312" w:eastAsia="楷体_GB2312"/>
          <w:color w:val="auto"/>
          <w:szCs w:val="32"/>
          <w:highlight w:val="none"/>
        </w:rPr>
      </w:pPr>
      <w:bookmarkStart w:id="0" w:name="_Toc22169_WPSOffice_Level2"/>
      <w:bookmarkStart w:id="1" w:name="_Toc5258"/>
      <w:bookmarkStart w:id="2" w:name="_Toc22922"/>
      <w:bookmarkStart w:id="3" w:name="_Toc5462343"/>
      <w:bookmarkStart w:id="4" w:name="_Toc12868"/>
      <w:bookmarkStart w:id="5" w:name="_Toc26632"/>
      <w:bookmarkStart w:id="6" w:name="_Toc21664"/>
      <w:bookmarkStart w:id="7" w:name="_Toc480473081"/>
      <w:r>
        <w:rPr>
          <w:rFonts w:hint="eastAsia" w:ascii="楷体_GB2312" w:eastAsia="楷体_GB2312"/>
          <w:color w:val="auto"/>
          <w:szCs w:val="32"/>
          <w:highlight w:val="none"/>
        </w:rPr>
        <w:t>绩效评价的目的</w:t>
      </w:r>
      <w:bookmarkEnd w:id="0"/>
      <w:bookmarkEnd w:id="1"/>
      <w:bookmarkEnd w:id="2"/>
      <w:bookmarkEnd w:id="3"/>
      <w:bookmarkEnd w:id="4"/>
      <w:bookmarkEnd w:id="5"/>
      <w:bookmarkEnd w:id="6"/>
      <w:bookmarkEnd w:id="7"/>
      <w:r>
        <w:rPr>
          <w:rFonts w:hint="eastAsia" w:ascii="楷体_GB2312" w:eastAsia="楷体_GB2312"/>
          <w:color w:val="auto"/>
          <w:szCs w:val="32"/>
          <w:highlight w:val="none"/>
        </w:rPr>
        <w:t>、对象和范围</w:t>
      </w:r>
    </w:p>
    <w:p w14:paraId="6CA10DBC">
      <w:pPr>
        <w:bidi w:val="0"/>
        <w:rPr>
          <w:rFonts w:hint="eastAsia"/>
          <w:b/>
          <w:bCs/>
          <w:color w:val="auto"/>
          <w:sz w:val="32"/>
          <w:szCs w:val="32"/>
          <w:highlight w:val="none"/>
        </w:rPr>
      </w:pPr>
      <w:r>
        <w:rPr>
          <w:rFonts w:hint="eastAsia"/>
          <w:b/>
          <w:bCs/>
          <w:color w:val="auto"/>
          <w:sz w:val="32"/>
          <w:szCs w:val="32"/>
          <w:highlight w:val="none"/>
        </w:rPr>
        <w:t>1.绩效评价的目的</w:t>
      </w:r>
    </w:p>
    <w:p w14:paraId="05AB5A69">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2E4FAD50">
      <w:pPr>
        <w:bidi w:val="0"/>
        <w:rPr>
          <w:rFonts w:hint="eastAsia"/>
          <w:b/>
          <w:bCs/>
          <w:color w:val="auto"/>
          <w:sz w:val="32"/>
          <w:szCs w:val="32"/>
          <w:highlight w:val="none"/>
        </w:rPr>
      </w:pPr>
      <w:r>
        <w:rPr>
          <w:rFonts w:hint="eastAsia"/>
          <w:b/>
          <w:bCs/>
          <w:color w:val="auto"/>
          <w:sz w:val="32"/>
          <w:szCs w:val="32"/>
          <w:highlight w:val="none"/>
        </w:rPr>
        <w:t>2.绩效评价的对象和范围</w:t>
      </w:r>
    </w:p>
    <w:p w14:paraId="66ECE97D">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w:t>
      </w:r>
      <w:r>
        <w:rPr>
          <w:rFonts w:hint="eastAsia" w:ascii="仿宋_GB2312" w:hAnsi="Times New Roman" w:cs="Times New Roman"/>
          <w:color w:val="auto"/>
          <w:sz w:val="32"/>
          <w:szCs w:val="32"/>
          <w:highlight w:val="none"/>
          <w:lang w:val="en-US" w:eastAsia="zh-CN"/>
        </w:rPr>
        <w:t>的2023年中央及自治区基本公共卫生服务项</w:t>
      </w:r>
      <w:r>
        <w:rPr>
          <w:rFonts w:hint="eastAsia" w:ascii="仿宋_GB2312"/>
          <w:color w:val="auto"/>
          <w:sz w:val="32"/>
          <w:szCs w:val="32"/>
          <w:highlight w:val="none"/>
        </w:rPr>
        <w:t>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FE862E2">
      <w:pPr>
        <w:pStyle w:val="3"/>
        <w:numPr>
          <w:ilvl w:val="0"/>
          <w:numId w:val="5"/>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评价工作简述</w:t>
      </w:r>
    </w:p>
    <w:p w14:paraId="33670CA9">
      <w:pPr>
        <w:bidi w:val="0"/>
        <w:rPr>
          <w:rFonts w:hint="eastAsia"/>
          <w:b/>
          <w:bCs/>
          <w:color w:val="auto"/>
          <w:sz w:val="32"/>
          <w:szCs w:val="32"/>
          <w:highlight w:val="none"/>
        </w:rPr>
      </w:pPr>
      <w:r>
        <w:rPr>
          <w:rFonts w:hint="eastAsia"/>
          <w:b/>
          <w:bCs/>
          <w:color w:val="auto"/>
          <w:sz w:val="32"/>
          <w:szCs w:val="32"/>
          <w:highlight w:val="none"/>
        </w:rPr>
        <w:t>1.绩效评价原则</w:t>
      </w:r>
    </w:p>
    <w:p w14:paraId="6A070B17">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ascii="仿宋_GB2312" w:hAnsi="Times New Roman" w:cs="Times New Roman"/>
          <w:color w:val="auto"/>
          <w:sz w:val="32"/>
          <w:szCs w:val="32"/>
          <w:highlight w:val="none"/>
          <w:lang w:val="en-US" w:eastAsia="zh-CN"/>
        </w:rPr>
        <w:t>2023年中央及自治区基本公共卫生服务</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14:paraId="48BB06B4">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14:paraId="738CD544">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14:paraId="3064F90C">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14:paraId="7E35DFFA">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14:paraId="7C7B2E2B">
      <w:pPr>
        <w:bidi w:val="0"/>
        <w:rPr>
          <w:rFonts w:hint="eastAsia"/>
          <w:b/>
          <w:bCs/>
          <w:color w:val="auto"/>
          <w:sz w:val="32"/>
          <w:szCs w:val="32"/>
          <w:highlight w:val="none"/>
        </w:rPr>
      </w:pPr>
      <w:bookmarkStart w:id="8" w:name="_Toc1913"/>
      <w:bookmarkStart w:id="9" w:name="_Toc26131"/>
      <w:bookmarkStart w:id="10" w:name="_Toc419984722"/>
      <w:bookmarkStart w:id="11" w:name="_Toc428278230"/>
      <w:r>
        <w:rPr>
          <w:rFonts w:hint="eastAsia"/>
          <w:b/>
          <w:bCs/>
          <w:color w:val="auto"/>
          <w:sz w:val="32"/>
          <w:szCs w:val="32"/>
          <w:highlight w:val="none"/>
        </w:rPr>
        <w:t>2.绩效评价指标体系及绩效评价</w:t>
      </w:r>
      <w:bookmarkEnd w:id="8"/>
      <w:bookmarkEnd w:id="9"/>
      <w:bookmarkEnd w:id="10"/>
      <w:bookmarkEnd w:id="11"/>
      <w:r>
        <w:rPr>
          <w:rFonts w:hint="eastAsia"/>
          <w:b/>
          <w:bCs/>
          <w:color w:val="auto"/>
          <w:sz w:val="32"/>
          <w:szCs w:val="32"/>
          <w:highlight w:val="none"/>
        </w:rPr>
        <w:t>标准</w:t>
      </w:r>
    </w:p>
    <w:p w14:paraId="440BBB1F">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14:paraId="5F4C588E">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一级指标为：决策、过程、产出、</w:t>
      </w:r>
      <w:r>
        <w:rPr>
          <w:rFonts w:hint="eastAsia" w:ascii="仿宋_GB2312"/>
          <w:color w:val="auto"/>
          <w:sz w:val="32"/>
          <w:szCs w:val="32"/>
          <w:highlight w:val="none"/>
          <w:lang w:val="en-US" w:eastAsia="zh-CN"/>
        </w:rPr>
        <w:t>成本、</w:t>
      </w:r>
      <w:r>
        <w:rPr>
          <w:rFonts w:hint="eastAsia" w:ascii="仿宋_GB2312"/>
          <w:color w:val="auto"/>
          <w:sz w:val="32"/>
          <w:szCs w:val="32"/>
          <w:highlight w:val="none"/>
        </w:rPr>
        <w:t>效益。</w:t>
      </w:r>
    </w:p>
    <w:p w14:paraId="1AB2E47A">
      <w:pPr>
        <w:spacing w:line="600" w:lineRule="exact"/>
        <w:ind w:firstLine="640"/>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成本、项目效益。</w:t>
      </w:r>
    </w:p>
    <w:p w14:paraId="3F53F7E6">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7AE4C7EC">
      <w:pPr>
        <w:bidi w:val="0"/>
        <w:rPr>
          <w:rFonts w:hint="eastAsia"/>
          <w:b/>
          <w:bCs/>
          <w:color w:val="auto"/>
          <w:sz w:val="32"/>
          <w:szCs w:val="32"/>
          <w:highlight w:val="none"/>
        </w:rPr>
      </w:pPr>
      <w:r>
        <w:rPr>
          <w:rFonts w:hint="eastAsia"/>
          <w:b/>
          <w:bCs/>
          <w:color w:val="auto"/>
          <w:sz w:val="32"/>
          <w:szCs w:val="32"/>
          <w:highlight w:val="none"/>
        </w:rPr>
        <w:t>3.评价方法</w:t>
      </w:r>
    </w:p>
    <w:p w14:paraId="26A18021">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14:paraId="63405EFC">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0AF5C0A4">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15653365">
      <w:pPr>
        <w:bidi w:val="0"/>
        <w:rPr>
          <w:rFonts w:hint="eastAsia"/>
          <w:b/>
          <w:bCs/>
          <w:color w:val="auto"/>
          <w:sz w:val="32"/>
          <w:szCs w:val="32"/>
          <w:highlight w:val="none"/>
        </w:rPr>
      </w:pPr>
      <w:r>
        <w:rPr>
          <w:rFonts w:hint="eastAsia"/>
          <w:b/>
          <w:bCs/>
          <w:color w:val="auto"/>
          <w:sz w:val="32"/>
          <w:szCs w:val="32"/>
          <w:highlight w:val="none"/>
        </w:rPr>
        <w:t>4.评价标准</w:t>
      </w:r>
    </w:p>
    <w:p w14:paraId="499ED1A2">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4C8CBD1">
      <w:pPr>
        <w:pStyle w:val="3"/>
        <w:spacing w:line="600" w:lineRule="exact"/>
        <w:ind w:left="420" w:firstLine="0" w:firstLineChars="0"/>
        <w:rPr>
          <w:color w:val="auto"/>
          <w:szCs w:val="32"/>
          <w:highlight w:val="none"/>
        </w:rPr>
      </w:pPr>
      <w:r>
        <w:rPr>
          <w:rFonts w:hint="eastAsia"/>
          <w:color w:val="auto"/>
          <w:szCs w:val="32"/>
          <w:highlight w:val="none"/>
        </w:rPr>
        <w:t>（三）绩效评价工作过程</w:t>
      </w:r>
    </w:p>
    <w:p w14:paraId="10B40241">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14:paraId="3596AB6A">
      <w:pPr>
        <w:pStyle w:val="21"/>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14:paraId="21B40908">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李鑫</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14:paraId="7003CEDA">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艾尔肯</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14:paraId="2DDAFEE7">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宋江燕、熊智燕、排孜丽艳</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14:paraId="1B570F51">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14:paraId="23D20E5B">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14:paraId="17C95BD0">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14:paraId="1073AA53">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14:paraId="439B3B0E">
      <w:pPr>
        <w:pStyle w:val="21"/>
        <w:spacing w:line="600" w:lineRule="exact"/>
        <w:ind w:firstLine="640"/>
        <w:rPr>
          <w:rFonts w:ascii="仿宋_GB2312" w:hAnsi="仿宋_GB2312" w:cs="仿宋_GB2312"/>
          <w:color w:val="auto"/>
          <w:sz w:val="32"/>
          <w:szCs w:val="32"/>
          <w:highlight w:val="none"/>
        </w:rPr>
      </w:pPr>
      <w:bookmarkStart w:id="12" w:name="_Toc2618"/>
      <w:r>
        <w:rPr>
          <w:rFonts w:hint="eastAsia" w:ascii="仿宋_GB2312" w:hAnsi="仿宋_GB2312" w:cs="仿宋_GB2312"/>
          <w:color w:val="auto"/>
          <w:sz w:val="32"/>
          <w:szCs w:val="32"/>
          <w:highlight w:val="none"/>
        </w:rPr>
        <w:t>第四阶段：撰写与提交评价报告</w:t>
      </w:r>
      <w:bookmarkEnd w:id="12"/>
    </w:p>
    <w:p w14:paraId="374FC188">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14:paraId="41C2F545">
      <w:pPr>
        <w:pStyle w:val="21"/>
        <w:spacing w:line="600" w:lineRule="exact"/>
        <w:ind w:firstLine="640"/>
        <w:rPr>
          <w:rFonts w:ascii="仿宋_GB2312" w:hAnsi="仿宋_GB2312" w:cs="仿宋_GB2312"/>
          <w:color w:val="auto"/>
          <w:sz w:val="32"/>
          <w:szCs w:val="32"/>
          <w:highlight w:val="none"/>
        </w:rPr>
      </w:pPr>
      <w:bookmarkStart w:id="13" w:name="_Toc5055"/>
      <w:r>
        <w:rPr>
          <w:rFonts w:hint="eastAsia" w:ascii="仿宋_GB2312" w:hAnsi="仿宋_GB2312" w:cs="仿宋_GB2312"/>
          <w:color w:val="auto"/>
          <w:sz w:val="32"/>
          <w:szCs w:val="32"/>
          <w:highlight w:val="none"/>
        </w:rPr>
        <w:t>第五阶段：归集档案</w:t>
      </w:r>
      <w:bookmarkEnd w:id="13"/>
    </w:p>
    <w:p w14:paraId="29F33E09">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14:paraId="327A6415">
      <w:pPr>
        <w:pStyle w:val="2"/>
        <w:numPr>
          <w:ilvl w:val="0"/>
          <w:numId w:val="6"/>
        </w:numPr>
        <w:spacing w:line="600" w:lineRule="exact"/>
        <w:ind w:firstLine="640"/>
        <w:rPr>
          <w:color w:val="auto"/>
          <w:szCs w:val="32"/>
          <w:highlight w:val="none"/>
        </w:rPr>
      </w:pPr>
      <w:r>
        <w:rPr>
          <w:rFonts w:hint="eastAsia"/>
          <w:color w:val="auto"/>
          <w:szCs w:val="32"/>
          <w:highlight w:val="none"/>
        </w:rPr>
        <w:t>综合评价情况及评价结论</w:t>
      </w:r>
    </w:p>
    <w:p w14:paraId="3D3AF001">
      <w:pPr>
        <w:pStyle w:val="23"/>
        <w:spacing w:before="0" w:after="0" w:line="600" w:lineRule="exact"/>
        <w:ind w:left="560"/>
        <w:rPr>
          <w:rFonts w:ascii="仿宋_GB2312" w:hAnsi="仿宋_GB2312" w:cs="仿宋_GB2312"/>
          <w:color w:val="auto"/>
          <w:sz w:val="32"/>
          <w:highlight w:val="none"/>
        </w:rPr>
      </w:pPr>
      <w:bookmarkStart w:id="14" w:name="_Toc68364665"/>
      <w:r>
        <w:rPr>
          <w:rFonts w:hint="eastAsia" w:ascii="仿宋_GB2312" w:hAnsi="仿宋_GB2312" w:cs="仿宋_GB2312"/>
          <w:color w:val="auto"/>
          <w:sz w:val="32"/>
          <w:highlight w:val="none"/>
        </w:rPr>
        <w:t>（一）综合评价情况</w:t>
      </w:r>
      <w:bookmarkEnd w:id="14"/>
    </w:p>
    <w:p w14:paraId="01E3F138">
      <w:pPr>
        <w:spacing w:line="600" w:lineRule="exact"/>
        <w:ind w:firstLine="640"/>
        <w:rPr>
          <w:rFonts w:ascii="仿宋_GB2312"/>
          <w:color w:val="auto"/>
          <w:sz w:val="32"/>
          <w:szCs w:val="32"/>
          <w:highlight w:val="none"/>
        </w:rPr>
      </w:pPr>
      <w:r>
        <w:rPr>
          <w:rFonts w:hint="eastAsia" w:ascii="仿宋_GB2312"/>
          <w:color w:val="auto"/>
          <w:sz w:val="32"/>
          <w:szCs w:val="32"/>
          <w:highlight w:val="none"/>
        </w:rPr>
        <w:t>通过</w:t>
      </w:r>
      <w:r>
        <w:rPr>
          <w:rFonts w:hint="eastAsia" w:ascii="仿宋_GB2312" w:hAnsi="Times New Roman" w:cs="Times New Roman"/>
          <w:color w:val="auto"/>
          <w:sz w:val="32"/>
          <w:szCs w:val="32"/>
          <w:highlight w:val="none"/>
          <w:lang w:val="en-US" w:eastAsia="zh-CN"/>
        </w:rPr>
        <w:t>2023年中央及自治区基本公共卫生服务</w:t>
      </w:r>
      <w:r>
        <w:rPr>
          <w:rFonts w:hint="eastAsia" w:ascii="仿宋_GB2312"/>
          <w:color w:val="auto"/>
          <w:sz w:val="32"/>
          <w:szCs w:val="32"/>
          <w:highlight w:val="none"/>
        </w:rPr>
        <w:t>项目的实施，解决了</w:t>
      </w:r>
      <w:r>
        <w:rPr>
          <w:rFonts w:hint="eastAsia" w:ascii="仿宋_GB2312" w:hAnsi="Times New Roman" w:cs="Times New Roman"/>
          <w:color w:val="auto"/>
          <w:sz w:val="32"/>
          <w:szCs w:val="32"/>
          <w:highlight w:val="none"/>
          <w:lang w:val="en-US" w:eastAsia="zh-CN"/>
        </w:rPr>
        <w:t>辖区群众看病“早发现、早诊断、早治疗、早预防”</w:t>
      </w:r>
      <w:r>
        <w:rPr>
          <w:rFonts w:hint="eastAsia" w:ascii="仿宋_GB2312"/>
          <w:color w:val="auto"/>
          <w:sz w:val="32"/>
          <w:szCs w:val="32"/>
          <w:highlight w:val="none"/>
        </w:rPr>
        <w:t>问题，实现了</w:t>
      </w:r>
      <w:r>
        <w:rPr>
          <w:rFonts w:hint="eastAsia" w:ascii="仿宋_GB2312"/>
          <w:color w:val="auto"/>
          <w:sz w:val="32"/>
          <w:szCs w:val="32"/>
          <w:highlight w:val="none"/>
          <w:lang w:eastAsia="zh-CN"/>
        </w:rPr>
        <w:t>有效</w:t>
      </w:r>
      <w:r>
        <w:rPr>
          <w:rFonts w:hint="eastAsia" w:ascii="仿宋_GB2312"/>
          <w:color w:val="auto"/>
          <w:sz w:val="32"/>
          <w:szCs w:val="32"/>
          <w:highlight w:val="none"/>
        </w:rPr>
        <w:t>提升城乡居民基本公共卫生服务均等化水平</w:t>
      </w:r>
      <w:r>
        <w:rPr>
          <w:rFonts w:hint="eastAsia" w:ascii="仿宋_GB2312"/>
          <w:color w:val="auto"/>
          <w:sz w:val="32"/>
          <w:szCs w:val="32"/>
          <w:highlight w:val="none"/>
          <w:lang w:eastAsia="zh-CN"/>
        </w:rPr>
        <w:t>社会</w:t>
      </w:r>
      <w:r>
        <w:rPr>
          <w:rFonts w:hint="eastAsia" w:ascii="仿宋_GB2312"/>
          <w:color w:val="auto"/>
          <w:sz w:val="32"/>
          <w:szCs w:val="32"/>
          <w:highlight w:val="none"/>
        </w:rPr>
        <w:t>效益，该项目预算执行率达</w:t>
      </w:r>
      <w:r>
        <w:rPr>
          <w:rFonts w:hint="eastAsia" w:ascii="仿宋_GB2312"/>
          <w:color w:val="auto"/>
          <w:sz w:val="32"/>
          <w:szCs w:val="32"/>
          <w:highlight w:val="none"/>
          <w:lang w:val="en-US" w:eastAsia="zh-CN"/>
        </w:rPr>
        <w:t>99.75</w:t>
      </w:r>
      <w:r>
        <w:rPr>
          <w:rFonts w:ascii="仿宋_GB2312"/>
          <w:color w:val="auto"/>
          <w:sz w:val="32"/>
          <w:szCs w:val="32"/>
          <w:highlight w:val="none"/>
        </w:rPr>
        <w:t>%</w:t>
      </w:r>
      <w:r>
        <w:rPr>
          <w:rFonts w:hint="eastAsia" w:ascii="仿宋_GB2312"/>
          <w:color w:val="auto"/>
          <w:sz w:val="32"/>
          <w:szCs w:val="32"/>
          <w:highlight w:val="none"/>
        </w:rPr>
        <w:t>，项目预期绩效目标及各项具体指标均已全部达成。</w:t>
      </w:r>
    </w:p>
    <w:p w14:paraId="1CEFB18D">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14:paraId="1FCA0F76">
      <w:pPr>
        <w:spacing w:line="600" w:lineRule="exact"/>
        <w:ind w:firstLine="640"/>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ascii="仿宋_GB2312" w:hAnsi="Times New Roman" w:cs="Times New Roman"/>
          <w:color w:val="auto"/>
          <w:sz w:val="32"/>
          <w:szCs w:val="32"/>
          <w:highlight w:val="none"/>
          <w:lang w:val="en-US" w:eastAsia="zh-CN"/>
        </w:rPr>
        <w:t>2023年中央及自治区基本公共卫生服务</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99.26</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CN"/>
        </w:rPr>
        <w:t>优</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14.4</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39.86</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14:paraId="4AEDDCD8">
      <w:pPr>
        <w:pStyle w:val="2"/>
        <w:spacing w:line="600" w:lineRule="exact"/>
        <w:ind w:firstLine="640"/>
        <w:rPr>
          <w:color w:val="auto"/>
          <w:szCs w:val="32"/>
          <w:highlight w:val="none"/>
        </w:rPr>
      </w:pPr>
      <w:r>
        <w:rPr>
          <w:rFonts w:hint="eastAsia"/>
          <w:color w:val="auto"/>
          <w:szCs w:val="32"/>
          <w:highlight w:val="none"/>
        </w:rPr>
        <w:t>四、绩效评价指标分析</w:t>
      </w:r>
    </w:p>
    <w:p w14:paraId="71DA3E10">
      <w:pPr>
        <w:pStyle w:val="3"/>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14:paraId="19856A1B">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5AB84CCC">
      <w:pPr>
        <w:pStyle w:val="24"/>
        <w:spacing w:line="600" w:lineRule="exact"/>
        <w:ind w:firstLine="736"/>
        <w:rPr>
          <w:rFonts w:cs="仿宋_GB2312"/>
          <w:color w:val="auto"/>
          <w:highlight w:val="none"/>
        </w:rPr>
      </w:pPr>
      <w:r>
        <w:rPr>
          <w:rFonts w:hint="eastAsia" w:cs="仿宋_GB2312"/>
          <w:b/>
          <w:bCs/>
          <w:color w:val="auto"/>
          <w:highlight w:val="none"/>
        </w:rPr>
        <w:t>1.立项依据充分性：</w:t>
      </w:r>
      <w:r>
        <w:rPr>
          <w:rFonts w:hint="eastAsia" w:cs="仿宋_GB2312"/>
          <w:color w:val="auto"/>
          <w:highlight w:val="none"/>
          <w:lang w:eastAsia="zh-Hans"/>
        </w:rPr>
        <w:t>本项目是由</w:t>
      </w:r>
      <w:r>
        <w:rPr>
          <w:rFonts w:hint="eastAsia" w:cs="仿宋_GB2312"/>
          <w:color w:val="auto"/>
          <w:highlight w:val="none"/>
          <w:lang w:eastAsia="zh-CN"/>
        </w:rPr>
        <w:t>沙湾市老沙湾镇卫生院</w:t>
      </w:r>
      <w:r>
        <w:rPr>
          <w:rFonts w:hint="eastAsia" w:cs="仿宋_GB2312"/>
          <w:color w:val="auto"/>
          <w:highlight w:val="none"/>
          <w:lang w:eastAsia="zh-Hans"/>
        </w:rPr>
        <w:t>提出申报</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关于</w:t>
      </w:r>
      <w:r>
        <w:rPr>
          <w:rFonts w:hint="eastAsia" w:ascii="仿宋_GB2312" w:hAnsi="仿宋_GB2312" w:cs="仿宋_GB2312"/>
          <w:color w:val="auto"/>
          <w:sz w:val="32"/>
          <w:szCs w:val="32"/>
          <w:highlight w:val="none"/>
          <w:lang w:eastAsia="zh-Hans"/>
        </w:rPr>
        <w:t>提前下达2023年中央财政基本公共卫生服务补助资金</w:t>
      </w:r>
      <w:r>
        <w:rPr>
          <w:rFonts w:hint="eastAsia" w:ascii="仿宋_GB2312" w:hAnsi="仿宋_GB2312" w:cs="仿宋_GB2312"/>
          <w:color w:val="auto"/>
          <w:sz w:val="32"/>
          <w:szCs w:val="32"/>
          <w:highlight w:val="none"/>
          <w:lang w:eastAsia="zh-CN"/>
        </w:rPr>
        <w:t>预算</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91</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eastAsia="zh-CN"/>
        </w:rPr>
        <w:t>关于拨付</w:t>
      </w:r>
      <w:r>
        <w:rPr>
          <w:rFonts w:hint="eastAsia" w:ascii="仿宋_GB2312" w:hAnsi="仿宋_GB2312" w:cs="仿宋_GB2312"/>
          <w:color w:val="auto"/>
          <w:sz w:val="32"/>
          <w:szCs w:val="32"/>
          <w:highlight w:val="none"/>
          <w:lang w:eastAsia="zh-Hans"/>
        </w:rPr>
        <w:t>2023年中央基本公共卫生服务补助资金</w:t>
      </w:r>
      <w:r>
        <w:rPr>
          <w:rFonts w:hint="eastAsia" w:ascii="仿宋_GB2312" w:hAnsi="仿宋_GB2312" w:cs="仿宋_GB2312"/>
          <w:color w:val="auto"/>
          <w:sz w:val="32"/>
          <w:szCs w:val="32"/>
          <w:highlight w:val="none"/>
          <w:lang w:eastAsia="zh-CN"/>
        </w:rPr>
        <w:t>（第二批）</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25</w:t>
      </w:r>
      <w:r>
        <w:rPr>
          <w:rFonts w:hint="eastAsia" w:ascii="仿宋_GB2312" w:hAnsi="仿宋_GB2312" w:cs="仿宋_GB2312"/>
          <w:color w:val="auto"/>
          <w:sz w:val="32"/>
          <w:szCs w:val="32"/>
          <w:highlight w:val="none"/>
        </w:rPr>
        <w:t>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eastAsia="zh-CN"/>
        </w:rPr>
        <w:t>关于</w:t>
      </w:r>
      <w:r>
        <w:rPr>
          <w:rFonts w:hint="eastAsia" w:ascii="仿宋_GB2312" w:hAnsi="仿宋_GB2312" w:cs="仿宋_GB2312"/>
          <w:color w:val="auto"/>
          <w:sz w:val="32"/>
          <w:szCs w:val="32"/>
          <w:highlight w:val="none"/>
          <w:lang w:eastAsia="zh-Hans"/>
        </w:rPr>
        <w:t>提前下达2023年</w:t>
      </w:r>
      <w:r>
        <w:rPr>
          <w:rFonts w:hint="eastAsia" w:ascii="仿宋_GB2312" w:hAnsi="仿宋_GB2312" w:cs="仿宋_GB2312"/>
          <w:color w:val="auto"/>
          <w:sz w:val="32"/>
          <w:szCs w:val="32"/>
          <w:highlight w:val="none"/>
          <w:lang w:eastAsia="zh-CN"/>
        </w:rPr>
        <w:t>自治区</w:t>
      </w:r>
      <w:r>
        <w:rPr>
          <w:rFonts w:hint="eastAsia" w:ascii="仿宋_GB2312" w:hAnsi="仿宋_GB2312" w:cs="仿宋_GB2312"/>
          <w:color w:val="auto"/>
          <w:sz w:val="32"/>
          <w:szCs w:val="32"/>
          <w:highlight w:val="none"/>
          <w:lang w:eastAsia="zh-Hans"/>
        </w:rPr>
        <w:t>基本公共卫生服务补助资金</w:t>
      </w:r>
      <w:r>
        <w:rPr>
          <w:rFonts w:hint="eastAsia" w:ascii="仿宋_GB2312" w:hAnsi="仿宋_GB2312" w:cs="仿宋_GB2312"/>
          <w:color w:val="auto"/>
          <w:sz w:val="32"/>
          <w:szCs w:val="32"/>
          <w:highlight w:val="none"/>
          <w:lang w:eastAsia="zh-CN"/>
        </w:rPr>
        <w:t>预算</w:t>
      </w:r>
      <w:r>
        <w:rPr>
          <w:rFonts w:hint="eastAsia" w:ascii="仿宋_GB2312" w:hAnsi="仿宋_GB2312" w:cs="仿宋_GB2312"/>
          <w:color w:val="auto"/>
          <w:sz w:val="32"/>
          <w:szCs w:val="32"/>
          <w:highlight w:val="none"/>
          <w:lang w:eastAsia="zh-Hans"/>
        </w:rPr>
        <w:t>的通知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w:t>
      </w:r>
      <w:r>
        <w:rPr>
          <w:rFonts w:hint="eastAsia" w:ascii="仿宋_GB2312" w:hAnsi="仿宋_GB2312" w:cs="仿宋_GB2312"/>
          <w:color w:val="auto"/>
          <w:sz w:val="32"/>
          <w:szCs w:val="32"/>
          <w:highlight w:val="none"/>
          <w:lang w:eastAsia="zh-CN"/>
        </w:rPr>
        <w:t>社</w:t>
      </w:r>
      <w:r>
        <w:rPr>
          <w:rFonts w:hint="eastAsia" w:ascii="仿宋_GB2312" w:hAnsi="仿宋_GB2312" w:cs="仿宋_GB2312"/>
          <w:color w:val="auto"/>
          <w:sz w:val="32"/>
          <w:szCs w:val="32"/>
          <w:highlight w:val="none"/>
        </w:rPr>
        <w:t>〔202</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rPr>
        <w:t>〕</w:t>
      </w:r>
      <w:r>
        <w:rPr>
          <w:rFonts w:hint="eastAsia" w:ascii="仿宋_GB2312"/>
          <w:color w:val="auto"/>
          <w:sz w:val="32"/>
          <w:szCs w:val="32"/>
          <w:highlight w:val="none"/>
          <w:lang w:val="en-US" w:eastAsia="zh-CN"/>
        </w:rPr>
        <w:t>103</w:t>
      </w:r>
      <w:r>
        <w:rPr>
          <w:rFonts w:hint="eastAsia" w:ascii="仿宋_GB2312" w:hAnsi="仿宋_GB2312" w:cs="仿宋_GB2312"/>
          <w:color w:val="auto"/>
          <w:sz w:val="32"/>
          <w:szCs w:val="32"/>
          <w:highlight w:val="none"/>
        </w:rPr>
        <w:t>号）</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0DCE81C0">
      <w:pPr>
        <w:pStyle w:val="24"/>
        <w:spacing w:line="600" w:lineRule="exact"/>
        <w:ind w:firstLine="736"/>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0488B1F5">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14:paraId="40A93587">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14:paraId="690E315A">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6DF2CAB5">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652EE92C">
      <w:pPr>
        <w:pStyle w:val="3"/>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14:paraId="59AFE815">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14.4</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96</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74AFA8AC">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p>
    <w:p w14:paraId="26494890">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2.预算执行率：</w:t>
      </w:r>
      <w:r>
        <w:rPr>
          <w:rFonts w:hint="eastAsia" w:ascii="仿宋_GB2312" w:cs="仿宋_GB2312"/>
          <w:b/>
          <w:bCs/>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61.13</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60.98</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99.75</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hAnsi="Times New Roman" w:eastAsia="仿宋_GB2312" w:cs="Times New Roman"/>
          <w:color w:val="auto"/>
          <w:kern w:val="2"/>
          <w:sz w:val="32"/>
          <w:szCs w:val="32"/>
          <w:highlight w:val="none"/>
          <w:lang w:val="en-US" w:eastAsia="zh-CN" w:bidi="ar-SA"/>
        </w:rPr>
        <w:t>结转资金0.15万元，结转原因为信息有误银行退款且国库年底扎账，造成项目资金未使用完有结余</w:t>
      </w:r>
      <w:r>
        <w:rPr>
          <w:rFonts w:hint="eastAsia" w:ascii="仿宋_GB2312" w:hAnsi="Times New Roman" w:cs="Times New Roman"/>
          <w:color w:val="auto"/>
          <w:kern w:val="2"/>
          <w:sz w:val="32"/>
          <w:szCs w:val="32"/>
          <w:highlight w:val="none"/>
          <w:lang w:val="en-US" w:eastAsia="zh-CN" w:bidi="ar-SA"/>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1.4</w:t>
      </w:r>
      <w:r>
        <w:rPr>
          <w:rFonts w:hint="eastAsia" w:ascii="仿宋_GB2312" w:cs="仿宋_GB2312"/>
          <w:color w:val="auto"/>
          <w:sz w:val="32"/>
          <w:szCs w:val="32"/>
          <w:highlight w:val="none"/>
        </w:rPr>
        <w:t>分。</w:t>
      </w:r>
    </w:p>
    <w:p w14:paraId="195EAE4C">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w:t>
      </w:r>
      <w:r>
        <w:rPr>
          <w:rFonts w:hint="eastAsia" w:ascii="仿宋_GB2312" w:hAnsi="Times New Roman" w:cs="仿宋_GB2312"/>
          <w:color w:val="auto"/>
          <w:sz w:val="32"/>
          <w:szCs w:val="32"/>
          <w:highlight w:val="none"/>
          <w:lang w:eastAsia="zh-Hans"/>
        </w:rPr>
        <w:t>任务下达后，我单位</w:t>
      </w:r>
      <w:r>
        <w:rPr>
          <w:rFonts w:hint="eastAsia" w:ascii="仿宋_GB2312" w:hAnsi="Times New Roman" w:cs="仿宋_GB2312"/>
          <w:color w:val="auto"/>
          <w:sz w:val="32"/>
          <w:szCs w:val="32"/>
          <w:highlight w:val="none"/>
        </w:rPr>
        <w:t>制定了《沙湾市</w:t>
      </w:r>
      <w:r>
        <w:rPr>
          <w:rFonts w:hint="eastAsia" w:ascii="仿宋_GB2312" w:hAnsi="Times New Roman" w:cs="仿宋_GB2312"/>
          <w:color w:val="auto"/>
          <w:sz w:val="32"/>
          <w:szCs w:val="32"/>
          <w:highlight w:val="none"/>
          <w:lang w:eastAsia="zh-CN"/>
        </w:rPr>
        <w:t>老沙</w:t>
      </w:r>
      <w:r>
        <w:rPr>
          <w:rFonts w:hint="eastAsia" w:ascii="仿宋_GB2312" w:hAnsi="Times New Roman" w:cs="仿宋_GB2312"/>
          <w:color w:val="auto"/>
          <w:sz w:val="32"/>
          <w:szCs w:val="32"/>
          <w:highlight w:val="none"/>
        </w:rPr>
        <w:t>湾镇卫生院2023年中央转移支付卫生院能力建设项目实施方案》制度</w:t>
      </w:r>
      <w:r>
        <w:rPr>
          <w:rFonts w:hint="eastAsia" w:ascii="仿宋_GB2312" w:cs="仿宋_GB2312"/>
          <w:color w:val="auto"/>
          <w:sz w:val="32"/>
          <w:szCs w:val="32"/>
          <w:highlight w:val="none"/>
        </w:rPr>
        <w:t>和管理规定对经费使用进行规范管理，财务制度健全、执行严格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7CF558BB">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eastAsia="zh-CN"/>
        </w:rPr>
        <w:t>基本公共卫生项目实施方案</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079FAA56">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ascii="仿宋_GB2312" w:cs="仿宋_GB2312"/>
          <w:color w:val="auto"/>
          <w:sz w:val="32"/>
          <w:szCs w:val="32"/>
          <w:highlight w:val="none"/>
        </w:rPr>
        <w:t>党</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214394A0">
      <w:pPr>
        <w:pStyle w:val="3"/>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14:paraId="3DF9436C">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11</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39.98</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99.95</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2B565D0C">
      <w:pPr>
        <w:spacing w:line="600" w:lineRule="exact"/>
        <w:ind w:firstLineChars="0"/>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 产出数量</w:t>
      </w:r>
    </w:p>
    <w:p w14:paraId="6A9FC56C">
      <w:pPr>
        <w:spacing w:line="600" w:lineRule="exact"/>
        <w:ind w:firstLine="640"/>
        <w:rPr>
          <w:rFonts w:hint="eastAsia" w:ascii="仿宋_GB2312" w:hAnsi="仿宋_GB2312" w:cs="仿宋_GB2312"/>
          <w:color w:val="auto"/>
          <w:sz w:val="32"/>
          <w:szCs w:val="32"/>
          <w:highlight w:val="none"/>
          <w:lang w:eastAsia="zh-CN"/>
        </w:rPr>
      </w:pPr>
      <w:r>
        <w:rPr>
          <w:rFonts w:hint="default" w:ascii="仿宋_GB2312" w:hAnsi="仿宋_GB2312" w:cs="仿宋_GB2312"/>
          <w:color w:val="auto"/>
          <w:sz w:val="32"/>
          <w:szCs w:val="32"/>
          <w:highlight w:val="none"/>
          <w:lang w:eastAsia="zh-Hans"/>
        </w:rPr>
        <w:t>①</w:t>
      </w:r>
      <w:r>
        <w:rPr>
          <w:rFonts w:hint="eastAsia" w:ascii="仿宋_GB2312" w:hAnsi="仿宋_GB2312" w:cs="仿宋_GB2312"/>
          <w:color w:val="auto"/>
          <w:sz w:val="32"/>
          <w:szCs w:val="32"/>
          <w:highlight w:val="none"/>
          <w:lang w:eastAsia="zh-Hans"/>
        </w:rPr>
        <w:t>“高血压患者管理人数（人）”指标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935人</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2023年公卫工作完成人数统计表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979人</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1C331E1D">
      <w:pPr>
        <w:spacing w:line="600" w:lineRule="exact"/>
        <w:ind w:firstLine="640"/>
        <w:rPr>
          <w:rFonts w:hint="eastAsia" w:ascii="仿宋_GB2312" w:hAnsi="仿宋_GB2312" w:cs="仿宋_GB2312"/>
          <w:color w:val="auto"/>
          <w:sz w:val="32"/>
          <w:szCs w:val="32"/>
          <w:highlight w:val="none"/>
          <w:lang w:eastAsia="zh-CN"/>
        </w:rPr>
      </w:pPr>
      <w:r>
        <w:rPr>
          <w:rFonts w:hint="default" w:ascii="仿宋_GB2312" w:hAnsi="仿宋_GB2312" w:cs="仿宋_GB2312"/>
          <w:color w:val="auto"/>
          <w:sz w:val="32"/>
          <w:szCs w:val="32"/>
          <w:highlight w:val="none"/>
          <w:lang w:eastAsia="zh-Hans"/>
        </w:rPr>
        <w:t>②</w:t>
      </w:r>
      <w:r>
        <w:rPr>
          <w:rFonts w:hint="eastAsia" w:ascii="仿宋_GB2312" w:hAnsi="仿宋_GB2312" w:cs="仿宋_GB2312"/>
          <w:color w:val="auto"/>
          <w:sz w:val="32"/>
          <w:szCs w:val="32"/>
          <w:highlight w:val="none"/>
          <w:lang w:eastAsia="zh-Hans"/>
        </w:rPr>
        <w:t>“2型糖尿病患者管理人数（人）”指标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361人</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2023年公卫工作完成人数统计表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388人</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19722B6E">
      <w:pPr>
        <w:spacing w:line="600" w:lineRule="exact"/>
        <w:ind w:firstLine="640"/>
        <w:rPr>
          <w:rFonts w:ascii="仿宋_GB2312" w:hAnsi="仿宋_GB2312" w:cs="仿宋_GB2312"/>
          <w:color w:val="auto"/>
          <w:sz w:val="32"/>
          <w:szCs w:val="32"/>
          <w:highlight w:val="none"/>
        </w:rPr>
      </w:pPr>
      <w:r>
        <w:rPr>
          <w:rFonts w:hint="default" w:ascii="仿宋_GB2312" w:hAnsi="仿宋_GB2312" w:cs="仿宋_GB2312"/>
          <w:color w:val="auto"/>
          <w:sz w:val="32"/>
          <w:szCs w:val="32"/>
          <w:highlight w:val="none"/>
          <w:lang w:eastAsia="zh-Hans"/>
        </w:rPr>
        <w:t>③</w:t>
      </w:r>
      <w:r>
        <w:rPr>
          <w:rFonts w:hint="eastAsia" w:ascii="仿宋_GB2312" w:hAnsi="仿宋_GB2312" w:cs="仿宋_GB2312"/>
          <w:color w:val="auto"/>
          <w:sz w:val="32"/>
          <w:szCs w:val="32"/>
          <w:highlight w:val="none"/>
          <w:lang w:eastAsia="zh-Hans"/>
        </w:rPr>
        <w:t>“0-6岁儿童管理人数（人）”指标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423人</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2023年公卫工作完成人数统计表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406人</w:t>
      </w:r>
      <w:r>
        <w:rPr>
          <w:rFonts w:hint="eastAsia" w:ascii="仿宋_GB2312" w:hAnsi="仿宋_GB2312" w:cs="仿宋_GB2312"/>
          <w:color w:val="auto"/>
          <w:sz w:val="32"/>
          <w:szCs w:val="32"/>
          <w:highlight w:val="none"/>
        </w:rPr>
        <w:t>，指标完成率为</w:t>
      </w:r>
      <w:r>
        <w:rPr>
          <w:rFonts w:hint="eastAsia" w:ascii="仿宋_GB2312"/>
          <w:color w:val="auto"/>
          <w:sz w:val="32"/>
          <w:szCs w:val="32"/>
          <w:highlight w:val="none"/>
          <w:lang w:val="en-US" w:eastAsia="zh-CN"/>
        </w:rPr>
        <w:t>95.98</w:t>
      </w:r>
      <w:r>
        <w:rPr>
          <w:rFonts w:hint="eastAsia" w:ascii="仿宋_GB2312" w:hAnsi="仿宋_GB2312" w:cs="仿宋_GB2312"/>
          <w:color w:val="auto"/>
          <w:sz w:val="32"/>
          <w:szCs w:val="32"/>
          <w:highlight w:val="none"/>
        </w:rPr>
        <w:t>%，偏差率为</w:t>
      </w:r>
      <w:r>
        <w:rPr>
          <w:rFonts w:hint="eastAsia" w:ascii="仿宋_GB2312"/>
          <w:color w:val="auto"/>
          <w:sz w:val="32"/>
          <w:szCs w:val="32"/>
          <w:highlight w:val="none"/>
          <w:lang w:val="en-US" w:eastAsia="zh-CN"/>
        </w:rPr>
        <w:t>4.02</w:t>
      </w:r>
      <w:r>
        <w:rPr>
          <w:rFonts w:hint="eastAsia" w:ascii="仿宋_GB2312" w:hAnsi="仿宋_GB2312" w:cs="仿宋_GB2312"/>
          <w:color w:val="auto"/>
          <w:sz w:val="32"/>
          <w:szCs w:val="32"/>
          <w:highlight w:val="none"/>
        </w:rPr>
        <w:t>%，造成偏差原因</w:t>
      </w:r>
      <w:r>
        <w:rPr>
          <w:rFonts w:hint="eastAsia" w:ascii="仿宋_GB2312" w:hAnsi="仿宋_GB2312" w:cs="仿宋_GB2312"/>
          <w:color w:val="auto"/>
          <w:sz w:val="32"/>
          <w:szCs w:val="32"/>
          <w:highlight w:val="none"/>
          <w:lang w:eastAsia="zh-Hans"/>
        </w:rPr>
        <w:t>为</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我辖区内两栖居民较多，儿童档案迁出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2.88</w:t>
      </w:r>
      <w:r>
        <w:rPr>
          <w:rFonts w:hint="eastAsia" w:ascii="仿宋_GB2312" w:hAnsi="仿宋_GB2312" w:cs="仿宋_GB2312"/>
          <w:color w:val="auto"/>
          <w:sz w:val="32"/>
          <w:szCs w:val="32"/>
          <w:highlight w:val="none"/>
        </w:rPr>
        <w:t>分。</w:t>
      </w:r>
    </w:p>
    <w:p w14:paraId="15B0798F">
      <w:pPr>
        <w:spacing w:line="600" w:lineRule="exact"/>
        <w:ind w:firstLine="643"/>
        <w:rPr>
          <w:rFonts w:ascii="仿宋_GB2312"/>
          <w:b/>
          <w:bCs/>
          <w:color w:val="auto"/>
          <w:sz w:val="32"/>
          <w:highlight w:val="none"/>
        </w:rPr>
      </w:pPr>
      <w:r>
        <w:rPr>
          <w:rFonts w:hint="eastAsia" w:ascii="仿宋_GB2312"/>
          <w:b/>
          <w:bCs/>
          <w:color w:val="auto"/>
          <w:sz w:val="32"/>
          <w:highlight w:val="none"/>
        </w:rPr>
        <w:t>2.产出质量</w:t>
      </w:r>
    </w:p>
    <w:p w14:paraId="658BACF6">
      <w:pPr>
        <w:spacing w:line="600" w:lineRule="exact"/>
        <w:ind w:firstLine="640"/>
        <w:rPr>
          <w:rFonts w:hint="eastAsia" w:ascii="仿宋_GB2312" w:hAnsi="仿宋_GB2312" w:cs="仿宋_GB2312"/>
          <w:color w:val="auto"/>
          <w:sz w:val="32"/>
          <w:szCs w:val="32"/>
          <w:highlight w:val="none"/>
        </w:rPr>
      </w:pPr>
      <w:r>
        <w:rPr>
          <w:rFonts w:hint="default" w:ascii="仿宋_GB2312" w:hAnsi="仿宋_GB2312" w:cs="仿宋_GB2312"/>
          <w:color w:val="auto"/>
          <w:sz w:val="32"/>
          <w:szCs w:val="32"/>
          <w:highlight w:val="none"/>
          <w:lang w:eastAsia="zh-Hans"/>
        </w:rPr>
        <w:t>①</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高血压患者规范管理率（%）</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60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2023年公卫工作完成率统计表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lang w:eastAsia="zh-CN"/>
        </w:rPr>
        <w:t>实际完成值</w:t>
      </w:r>
      <w:r>
        <w:rPr>
          <w:rFonts w:hint="eastAsia" w:ascii="仿宋_GB2312" w:hAnsi="仿宋_GB2312" w:cs="仿宋_GB2312"/>
          <w:color w:val="auto"/>
          <w:sz w:val="32"/>
          <w:szCs w:val="32"/>
          <w:highlight w:val="none"/>
          <w:lang w:val="en-US" w:eastAsia="zh-CN"/>
        </w:rPr>
        <w:t>61</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3D238358">
      <w:pPr>
        <w:spacing w:line="600" w:lineRule="exact"/>
        <w:ind w:firstLine="640"/>
        <w:rPr>
          <w:rFonts w:hint="eastAsia" w:ascii="仿宋_GB2312" w:hAnsi="仿宋_GB2312" w:cs="仿宋_GB2312"/>
          <w:color w:val="auto"/>
          <w:sz w:val="32"/>
          <w:szCs w:val="32"/>
          <w:highlight w:val="none"/>
        </w:rPr>
      </w:pPr>
      <w:r>
        <w:rPr>
          <w:rFonts w:hint="default" w:ascii="仿宋_GB2312" w:hAnsi="仿宋_GB2312" w:cs="仿宋_GB2312"/>
          <w:color w:val="auto"/>
          <w:sz w:val="32"/>
          <w:szCs w:val="32"/>
          <w:highlight w:val="none"/>
          <w:lang w:eastAsia="zh-Hans"/>
        </w:rPr>
        <w:t>②</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2型糖尿病患者规范管理率（%）</w:t>
      </w:r>
      <w:r>
        <w:rPr>
          <w:rFonts w:hint="eastAsia" w:ascii="仿宋_GB2312" w:hAnsi="仿宋_GB2312" w:cs="仿宋_GB2312"/>
          <w:color w:val="auto"/>
          <w:sz w:val="32"/>
          <w:szCs w:val="32"/>
          <w:highlight w:val="none"/>
          <w:lang w:eastAsia="zh-Hans"/>
        </w:rPr>
        <w:t>”指标，预期指标值为“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60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2023年公卫工作完成率统计表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lang w:eastAsia="zh-CN"/>
        </w:rPr>
        <w:t>实际完成值</w:t>
      </w:r>
      <w:r>
        <w:rPr>
          <w:rFonts w:hint="eastAsia" w:ascii="仿宋_GB2312" w:hAnsi="仿宋_GB2312" w:cs="仿宋_GB2312"/>
          <w:color w:val="auto"/>
          <w:sz w:val="32"/>
          <w:szCs w:val="32"/>
          <w:highlight w:val="none"/>
          <w:lang w:val="en-US" w:eastAsia="zh-CN"/>
        </w:rPr>
        <w:t>61</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10FB71CB">
      <w:pPr>
        <w:spacing w:line="600" w:lineRule="exact"/>
        <w:ind w:firstLine="640"/>
        <w:rPr>
          <w:rFonts w:hint="eastAsia" w:ascii="仿宋_GB2312" w:hAnsi="仿宋_GB2312" w:cs="仿宋_GB2312"/>
          <w:color w:val="auto"/>
          <w:sz w:val="32"/>
          <w:szCs w:val="32"/>
          <w:highlight w:val="none"/>
        </w:rPr>
      </w:pPr>
      <w:r>
        <w:rPr>
          <w:rFonts w:hint="default" w:ascii="仿宋_GB2312" w:hAnsi="仿宋_GB2312" w:cs="仿宋_GB2312"/>
          <w:color w:val="auto"/>
          <w:sz w:val="32"/>
          <w:szCs w:val="32"/>
          <w:highlight w:val="none"/>
          <w:lang w:eastAsia="zh-Hans"/>
        </w:rPr>
        <w:t>③</w:t>
      </w:r>
      <w:r>
        <w:rPr>
          <w:rFonts w:hint="eastAsia" w:ascii="仿宋_GB2312" w:hAnsi="仿宋_GB2312" w:cs="仿宋_GB2312"/>
          <w:color w:val="auto"/>
          <w:sz w:val="32"/>
          <w:szCs w:val="32"/>
          <w:highlight w:val="none"/>
          <w:lang w:eastAsia="zh-Hans"/>
        </w:rPr>
        <w:t>“0-6岁儿童健康管理率（%）”指标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85%</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2023年公卫工作完成率统计表</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86.38%</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CN"/>
        </w:rPr>
        <w:t>大于</w:t>
      </w:r>
      <w:r>
        <w:rPr>
          <w:rFonts w:hint="eastAsia" w:ascii="仿宋_GB2312" w:hAnsi="仿宋_GB2312" w:cs="仿宋_GB2312"/>
          <w:color w:val="auto"/>
          <w:sz w:val="32"/>
          <w:szCs w:val="32"/>
          <w:highlight w:val="none"/>
        </w:rPr>
        <w:t>预期目标，根据评分标准，该指标</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分</w:t>
      </w:r>
      <w:r>
        <w:rPr>
          <w:rFonts w:hint="eastAsia" w:ascii="仿宋_GB2312" w:hAnsi="仿宋_GB2312" w:cs="仿宋_GB2312"/>
          <w:color w:val="auto"/>
          <w:sz w:val="32"/>
          <w:szCs w:val="32"/>
          <w:highlight w:val="none"/>
          <w:lang w:eastAsia="zh-CN"/>
        </w:rPr>
        <w:t>；</w:t>
      </w:r>
    </w:p>
    <w:p w14:paraId="67895369">
      <w:pPr>
        <w:pStyle w:val="6"/>
        <w:spacing w:before="0" w:after="0" w:line="600" w:lineRule="exact"/>
        <w:ind w:left="643" w:firstLine="0" w:firstLineChars="0"/>
        <w:jc w:val="both"/>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14:paraId="5905BDB7">
      <w:pPr>
        <w:pStyle w:val="6"/>
        <w:spacing w:before="0" w:after="0" w:line="600" w:lineRule="exact"/>
        <w:ind w:firstLine="640"/>
        <w:jc w:val="both"/>
        <w:rPr>
          <w:rFonts w:ascii="仿宋_GB2312" w:cs="仿宋_GB2312"/>
          <w:b w:val="0"/>
          <w:color w:val="auto"/>
          <w:sz w:val="32"/>
          <w:szCs w:val="32"/>
          <w:highlight w:val="none"/>
        </w:rPr>
      </w:pP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基本公共卫生服务项目完成时限</w:t>
      </w:r>
      <w:r>
        <w:rPr>
          <w:rFonts w:hint="eastAsia" w:ascii="仿宋_GB2312" w:cs="仿宋_GB2312"/>
          <w:b w:val="0"/>
          <w:color w:val="auto"/>
          <w:sz w:val="32"/>
          <w:szCs w:val="32"/>
          <w:highlight w:val="none"/>
          <w:lang w:eastAsia="zh-Hans"/>
        </w:rPr>
        <w:t>”</w:t>
      </w:r>
      <w:r>
        <w:rPr>
          <w:rFonts w:hint="eastAsia" w:ascii="仿宋_GB2312" w:hAnsi="仿宋_GB2312" w:cs="仿宋_GB2312"/>
          <w:b w:val="0"/>
          <w:color w:val="auto"/>
          <w:sz w:val="32"/>
          <w:szCs w:val="32"/>
          <w:highlight w:val="none"/>
          <w:lang w:eastAsia="zh-Hans"/>
        </w:rPr>
        <w:t>指标，预期指标值为</w:t>
      </w: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2023年12月20日前</w:t>
      </w:r>
      <w:r>
        <w:rPr>
          <w:rFonts w:hint="eastAsia" w:ascii="仿宋_GB2312" w:cs="仿宋_GB2312"/>
          <w:b w:val="0"/>
          <w:color w:val="auto"/>
          <w:sz w:val="32"/>
          <w:szCs w:val="32"/>
          <w:highlight w:val="none"/>
          <w:lang w:eastAsia="zh-Hans"/>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根据2023年度老沙湾镇卫生院工作总结显示</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该项目于</w:t>
      </w:r>
      <w:r>
        <w:rPr>
          <w:rFonts w:hint="eastAsia" w:ascii="仿宋_GB2312" w:cs="仿宋_GB2312"/>
          <w:b w:val="0"/>
          <w:color w:val="auto"/>
          <w:sz w:val="32"/>
          <w:szCs w:val="32"/>
          <w:highlight w:val="none"/>
        </w:rPr>
        <w:t>023年12月20日前完成</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，根据评分标准，该指标</w:t>
      </w:r>
      <w:r>
        <w:rPr>
          <w:rFonts w:hint="eastAsia" w:ascii="仿宋_GB2312"/>
          <w:color w:val="auto"/>
          <w:sz w:val="32"/>
          <w:szCs w:val="32"/>
          <w:highlight w:val="none"/>
          <w:lang w:val="en-US" w:eastAsia="zh-CN"/>
        </w:rPr>
        <w:t>10</w:t>
      </w:r>
      <w:r>
        <w:rPr>
          <w:rFonts w:hint="eastAsia" w:ascii="仿宋_GB2312" w:cs="仿宋_GB2312"/>
          <w:b w:val="0"/>
          <w:color w:val="auto"/>
          <w:sz w:val="32"/>
          <w:szCs w:val="32"/>
          <w:highlight w:val="none"/>
        </w:rPr>
        <w:t>分，得</w:t>
      </w:r>
      <w:r>
        <w:rPr>
          <w:rFonts w:hint="eastAsia" w:ascii="仿宋_GB2312"/>
          <w:color w:val="auto"/>
          <w:sz w:val="32"/>
          <w:szCs w:val="32"/>
          <w:highlight w:val="none"/>
          <w:lang w:val="en-US" w:eastAsia="zh-CN"/>
        </w:rPr>
        <w:t>10</w:t>
      </w:r>
      <w:r>
        <w:rPr>
          <w:rFonts w:hint="eastAsia" w:ascii="仿宋_GB2312" w:cs="仿宋_GB2312"/>
          <w:b w:val="0"/>
          <w:color w:val="auto"/>
          <w:sz w:val="32"/>
          <w:szCs w:val="32"/>
          <w:highlight w:val="none"/>
        </w:rPr>
        <w:t>分。</w:t>
      </w:r>
    </w:p>
    <w:p w14:paraId="6109AA63">
      <w:pPr>
        <w:pStyle w:val="6"/>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14:paraId="7E56270C">
      <w:pPr>
        <w:spacing w:line="600" w:lineRule="exact"/>
        <w:ind w:firstLine="640"/>
        <w:rPr>
          <w:rFonts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基本公共卫生服务支出</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hAnsi="Times New Roman" w:cs="仿宋_GB2312"/>
          <w:color w:val="auto"/>
          <w:sz w:val="32"/>
          <w:szCs w:val="32"/>
          <w:highlight w:val="none"/>
          <w:lang w:eastAsia="zh-CN"/>
        </w:rPr>
        <w:t>小于等于</w:t>
      </w:r>
      <w:r>
        <w:rPr>
          <w:rFonts w:hint="eastAsia" w:ascii="仿宋_GB2312" w:hAnsi="Times New Roman" w:cs="仿宋_GB2312"/>
          <w:color w:val="auto"/>
          <w:sz w:val="32"/>
          <w:szCs w:val="32"/>
          <w:highlight w:val="none"/>
          <w:lang w:val="en-US" w:eastAsia="zh-CN"/>
        </w:rPr>
        <w:t>61.13</w:t>
      </w:r>
      <w:r>
        <w:rPr>
          <w:rFonts w:hint="eastAsia" w:ascii="仿宋_GB2312" w:hAnsi="Times New Roman" w:cs="仿宋_GB2312"/>
          <w:color w:val="auto"/>
          <w:sz w:val="32"/>
          <w:szCs w:val="32"/>
          <w:highlight w:val="none"/>
          <w:lang w:eastAsia="zh-Hans"/>
        </w:rPr>
        <w:t>万元</w:t>
      </w:r>
      <w:r>
        <w:rPr>
          <w:rFonts w:hint="eastAsia" w:ascii="仿宋_GB2312" w:cs="仿宋_GB2312"/>
          <w:color w:val="auto"/>
          <w:sz w:val="32"/>
          <w:szCs w:val="32"/>
          <w:highlight w:val="none"/>
          <w:lang w:eastAsia="zh-Hans"/>
        </w:rPr>
        <w:t>”，根据国库支付银行回单凭证显示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60.98</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9.8</w:t>
      </w:r>
      <w:r>
        <w:rPr>
          <w:rFonts w:hint="eastAsia" w:ascii="仿宋_GB2312" w:cs="仿宋_GB2312"/>
          <w:color w:val="auto"/>
          <w:sz w:val="32"/>
          <w:szCs w:val="32"/>
          <w:highlight w:val="none"/>
        </w:rPr>
        <w:t>分。</w:t>
      </w:r>
    </w:p>
    <w:p w14:paraId="53012B31">
      <w:pPr>
        <w:pStyle w:val="3"/>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14:paraId="3F267AC6">
      <w:pPr>
        <w:overflowPunct w:val="0"/>
        <w:spacing w:line="600" w:lineRule="exact"/>
        <w:ind w:firstLine="600"/>
        <w:contextualSpacing/>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zh-TW" w:eastAsia="zh-TW"/>
        </w:rPr>
        <w:t>项目</w:t>
      </w:r>
      <w:r>
        <w:rPr>
          <w:rFonts w:hint="eastAsia" w:ascii="仿宋" w:hAnsi="仿宋" w:eastAsia="仿宋" w:cs="仿宋"/>
          <w:color w:val="auto"/>
          <w:kern w:val="0"/>
          <w:sz w:val="30"/>
          <w:szCs w:val="30"/>
          <w:highlight w:val="none"/>
        </w:rPr>
        <w:t>效益</w:t>
      </w:r>
      <w:r>
        <w:rPr>
          <w:rFonts w:hint="eastAsia" w:ascii="仿宋" w:hAnsi="仿宋" w:eastAsia="仿宋" w:cs="仿宋"/>
          <w:color w:val="auto"/>
          <w:kern w:val="0"/>
          <w:sz w:val="30"/>
          <w:szCs w:val="30"/>
          <w:highlight w:val="none"/>
          <w:lang w:val="zh-TW" w:eastAsia="zh-TW"/>
        </w:rPr>
        <w:t>类指标由</w:t>
      </w:r>
      <w:r>
        <w:rPr>
          <w:rFonts w:hint="eastAsia" w:ascii="仿宋" w:hAnsi="仿宋" w:eastAsia="仿宋" w:cs="仿宋"/>
          <w:color w:val="auto"/>
          <w:kern w:val="0"/>
          <w:sz w:val="30"/>
          <w:szCs w:val="30"/>
          <w:highlight w:val="none"/>
        </w:rPr>
        <w:t>社会效益1</w:t>
      </w:r>
      <w:r>
        <w:rPr>
          <w:rFonts w:hint="eastAsia" w:ascii="仿宋" w:hAnsi="仿宋" w:eastAsia="仿宋" w:cs="仿宋"/>
          <w:color w:val="auto"/>
          <w:kern w:val="0"/>
          <w:sz w:val="30"/>
          <w:szCs w:val="30"/>
          <w:highlight w:val="none"/>
          <w:lang w:val="zh-TW" w:eastAsia="zh-TW"/>
        </w:rPr>
        <w:t>个</w:t>
      </w:r>
      <w:r>
        <w:rPr>
          <w:rFonts w:hint="eastAsia" w:ascii="仿宋" w:hAnsi="仿宋" w:eastAsia="仿宋" w:cs="仿宋"/>
          <w:color w:val="auto"/>
          <w:kern w:val="0"/>
          <w:sz w:val="30"/>
          <w:szCs w:val="30"/>
          <w:highlight w:val="none"/>
          <w:lang w:val="zh-TW"/>
        </w:rPr>
        <w:t>二</w:t>
      </w:r>
      <w:r>
        <w:rPr>
          <w:rFonts w:hint="eastAsia" w:ascii="仿宋" w:hAnsi="仿宋" w:eastAsia="仿宋" w:cs="仿宋"/>
          <w:color w:val="auto"/>
          <w:kern w:val="0"/>
          <w:sz w:val="30"/>
          <w:szCs w:val="30"/>
          <w:highlight w:val="none"/>
          <w:lang w:val="zh-TW" w:eastAsia="zh-TW"/>
        </w:rPr>
        <w:t>级指标和</w:t>
      </w:r>
      <w:r>
        <w:rPr>
          <w:rFonts w:hint="eastAsia" w:ascii="仿宋" w:hAnsi="仿宋" w:eastAsia="仿宋" w:cs="仿宋"/>
          <w:color w:val="auto"/>
          <w:kern w:val="0"/>
          <w:sz w:val="30"/>
          <w:szCs w:val="30"/>
          <w:highlight w:val="none"/>
        </w:rPr>
        <w:t>1</w:t>
      </w:r>
      <w:r>
        <w:rPr>
          <w:rFonts w:hint="eastAsia" w:ascii="仿宋" w:hAnsi="仿宋" w:eastAsia="仿宋" w:cs="仿宋"/>
          <w:color w:val="auto"/>
          <w:kern w:val="0"/>
          <w:sz w:val="30"/>
          <w:szCs w:val="30"/>
          <w:highlight w:val="none"/>
          <w:lang w:val="zh-TW" w:eastAsia="zh-TW"/>
        </w:rPr>
        <w:t>个</w:t>
      </w:r>
      <w:r>
        <w:rPr>
          <w:rFonts w:hint="eastAsia" w:ascii="仿宋" w:hAnsi="仿宋" w:eastAsia="仿宋" w:cs="仿宋"/>
          <w:color w:val="auto"/>
          <w:kern w:val="0"/>
          <w:sz w:val="30"/>
          <w:szCs w:val="30"/>
          <w:highlight w:val="none"/>
        </w:rPr>
        <w:t>三</w:t>
      </w:r>
      <w:r>
        <w:rPr>
          <w:rFonts w:hint="eastAsia" w:ascii="仿宋" w:hAnsi="仿宋" w:eastAsia="仿宋" w:cs="仿宋"/>
          <w:color w:val="auto"/>
          <w:kern w:val="0"/>
          <w:sz w:val="30"/>
          <w:szCs w:val="30"/>
          <w:highlight w:val="none"/>
          <w:lang w:val="zh-TW" w:eastAsia="zh-TW"/>
        </w:rPr>
        <w:t>级指标构成，</w:t>
      </w:r>
      <w:r>
        <w:rPr>
          <w:rFonts w:hint="eastAsia" w:ascii="仿宋" w:hAnsi="仿宋" w:eastAsia="仿宋" w:cs="仿宋"/>
          <w:color w:val="auto"/>
          <w:kern w:val="0"/>
          <w:sz w:val="30"/>
          <w:szCs w:val="30"/>
          <w:highlight w:val="none"/>
        </w:rPr>
        <w:t>权重分为20分，本项目实际得分20分，得分率为100.0%。具体各项指标得分如下：</w:t>
      </w:r>
    </w:p>
    <w:p w14:paraId="0AEA5073">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1.</w:t>
      </w:r>
      <w:r>
        <w:rPr>
          <w:rFonts w:hint="eastAsia" w:ascii="仿宋_GB2312"/>
          <w:b/>
          <w:bCs/>
          <w:color w:val="auto"/>
          <w:sz w:val="32"/>
          <w:szCs w:val="32"/>
          <w:highlight w:val="none"/>
        </w:rPr>
        <w:t>社会效益指标</w:t>
      </w:r>
    </w:p>
    <w:p w14:paraId="2D7CF113">
      <w:pPr>
        <w:spacing w:line="600" w:lineRule="exact"/>
        <w:ind w:firstLine="640"/>
        <w:rPr>
          <w:color w:val="auto"/>
          <w:highlight w:val="none"/>
        </w:rPr>
      </w:pPr>
      <w:r>
        <w:rPr>
          <w:rFonts w:hint="eastAsia" w:ascii="仿宋_GB2312"/>
          <w:color w:val="auto"/>
          <w:sz w:val="32"/>
          <w:szCs w:val="32"/>
          <w:highlight w:val="none"/>
          <w:lang w:eastAsia="zh-Hans"/>
        </w:rPr>
        <w:t>“</w:t>
      </w:r>
      <w:r>
        <w:rPr>
          <w:rFonts w:hint="eastAsia" w:ascii="仿宋_GB2312"/>
          <w:color w:val="auto"/>
          <w:sz w:val="32"/>
          <w:szCs w:val="32"/>
          <w:highlight w:val="none"/>
        </w:rPr>
        <w:t>提升城乡居民基本公共卫生服务均等化水平</w:t>
      </w:r>
      <w:r>
        <w:rPr>
          <w:rFonts w:hint="eastAsia" w:ascii="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eastAsia="zh-Hans"/>
        </w:rPr>
        <w:t>“有效提升”，</w:t>
      </w:r>
      <w:r>
        <w:rPr>
          <w:rFonts w:hint="eastAsia"/>
          <w:color w:val="auto"/>
          <w:sz w:val="32"/>
          <w:szCs w:val="32"/>
          <w:highlight w:val="none"/>
        </w:rPr>
        <w:t>根据</w:t>
      </w:r>
      <w:r>
        <w:rPr>
          <w:rFonts w:hint="eastAsia" w:ascii="仿宋_GB2312" w:cs="仿宋_GB2312"/>
          <w:b w:val="0"/>
          <w:color w:val="auto"/>
          <w:sz w:val="32"/>
          <w:szCs w:val="32"/>
          <w:highlight w:val="none"/>
          <w:lang w:eastAsia="zh-Hans"/>
        </w:rPr>
        <w:t>2023年度老沙湾镇卫生院工作总结</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有效提升</w:t>
      </w:r>
      <w:r>
        <w:rPr>
          <w:rFonts w:hint="eastAsia" w:ascii="仿宋_GB2312"/>
          <w:color w:val="auto"/>
          <w:sz w:val="32"/>
          <w:szCs w:val="32"/>
          <w:highlight w:val="none"/>
          <w:lang w:eastAsia="zh-Hans"/>
        </w:rPr>
        <w:t>”</w:t>
      </w:r>
      <w:r>
        <w:rPr>
          <w:rFonts w:hint="eastAsia" w:ascii="仿宋_GB2312"/>
          <w:color w:val="auto"/>
          <w:sz w:val="32"/>
          <w:szCs w:val="32"/>
          <w:highlight w:val="none"/>
        </w:rPr>
        <w:t>，该指标</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w:t>
      </w:r>
    </w:p>
    <w:p w14:paraId="6F9037BD">
      <w:pPr>
        <w:spacing w:line="600" w:lineRule="exact"/>
        <w:ind w:firstLine="640"/>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2.</w:t>
      </w:r>
      <w:r>
        <w:rPr>
          <w:rFonts w:hint="eastAsia" w:ascii="仿宋_GB2312"/>
          <w:b/>
          <w:bCs/>
          <w:color w:val="auto"/>
          <w:sz w:val="32"/>
          <w:szCs w:val="32"/>
          <w:highlight w:val="none"/>
        </w:rPr>
        <w:t>经济效益指标</w:t>
      </w:r>
    </w:p>
    <w:p w14:paraId="1B76AFAB">
      <w:pPr>
        <w:spacing w:line="600" w:lineRule="exact"/>
        <w:ind w:firstLine="600"/>
        <w:rPr>
          <w:rFonts w:ascii="仿宋" w:hAnsi="仿宋" w:eastAsia="仿宋" w:cs="仿宋"/>
          <w:b/>
          <w:color w:val="auto"/>
          <w:sz w:val="30"/>
          <w:szCs w:val="30"/>
          <w:highlight w:val="none"/>
        </w:rPr>
      </w:pPr>
      <w:r>
        <w:rPr>
          <w:rFonts w:hint="eastAsia" w:ascii="仿宋" w:hAnsi="仿宋" w:eastAsia="仿宋" w:cs="仿宋"/>
          <w:color w:val="auto"/>
          <w:sz w:val="30"/>
          <w:szCs w:val="30"/>
          <w:highlight w:val="none"/>
        </w:rPr>
        <w:t>本项目无该项指标。</w:t>
      </w:r>
    </w:p>
    <w:p w14:paraId="3C756C8A">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3.</w:t>
      </w:r>
      <w:r>
        <w:rPr>
          <w:rFonts w:hint="eastAsia" w:ascii="仿宋_GB2312"/>
          <w:b/>
          <w:bCs/>
          <w:color w:val="auto"/>
          <w:sz w:val="32"/>
          <w:szCs w:val="32"/>
          <w:highlight w:val="none"/>
        </w:rPr>
        <w:t>生态效益指标</w:t>
      </w:r>
    </w:p>
    <w:p w14:paraId="619C50A3">
      <w:pPr>
        <w:spacing w:line="600" w:lineRule="exact"/>
        <w:ind w:firstLine="600"/>
        <w:rPr>
          <w:rFonts w:ascii="仿宋" w:hAnsi="仿宋" w:eastAsia="仿宋" w:cs="仿宋"/>
          <w:b/>
          <w:color w:val="auto"/>
          <w:sz w:val="30"/>
          <w:szCs w:val="30"/>
          <w:highlight w:val="none"/>
        </w:rPr>
      </w:pPr>
      <w:r>
        <w:rPr>
          <w:rFonts w:hint="eastAsia" w:ascii="仿宋" w:hAnsi="仿宋" w:eastAsia="仿宋" w:cs="仿宋"/>
          <w:color w:val="auto"/>
          <w:sz w:val="30"/>
          <w:szCs w:val="30"/>
          <w:highlight w:val="none"/>
        </w:rPr>
        <w:t>本项目无该项指标。</w:t>
      </w:r>
    </w:p>
    <w:p w14:paraId="659D69F6">
      <w:pPr>
        <w:pStyle w:val="3"/>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14:paraId="474DE930">
      <w:pPr>
        <w:pStyle w:val="21"/>
        <w:spacing w:line="600" w:lineRule="exact"/>
        <w:ind w:firstLine="640"/>
        <w:rPr>
          <w:rFonts w:hint="eastAsia" w:ascii="仿宋_GB2312" w:cs="仿宋_GB2312"/>
          <w:color w:val="auto"/>
          <w:kern w:val="2"/>
          <w:sz w:val="32"/>
          <w:szCs w:val="32"/>
          <w:highlight w:val="none"/>
        </w:rPr>
      </w:pPr>
      <w:bookmarkStart w:id="15" w:name="_Toc28290"/>
      <w:bookmarkStart w:id="16" w:name="_Toc1921"/>
      <w:r>
        <w:rPr>
          <w:rFonts w:hint="eastAsia" w:ascii="仿宋_GB2312" w:cs="仿宋_GB2312"/>
          <w:color w:val="auto"/>
          <w:kern w:val="2"/>
          <w:sz w:val="32"/>
          <w:szCs w:val="32"/>
          <w:highlight w:val="none"/>
        </w:rPr>
        <w:t>“</w:t>
      </w:r>
      <w:r>
        <w:rPr>
          <w:rFonts w:hint="eastAsia" w:ascii="仿宋_GB2312" w:cs="仿宋_GB2312"/>
          <w:color w:val="auto"/>
          <w:kern w:val="2"/>
          <w:sz w:val="32"/>
          <w:szCs w:val="32"/>
          <w:highlight w:val="none"/>
          <w:lang w:eastAsia="zh-Hans"/>
        </w:rPr>
        <w:t>服务对象满意度（%）”</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ascii="仿宋_GB2312" w:hAnsi="Times New Roman" w:cs="仿宋_GB2312"/>
          <w:color w:val="auto"/>
          <w:kern w:val="2"/>
          <w:sz w:val="32"/>
          <w:szCs w:val="32"/>
          <w:highlight w:val="none"/>
          <w:lang w:eastAsia="zh-CN"/>
        </w:rPr>
        <w:t>大于等于</w:t>
      </w:r>
      <w:r>
        <w:rPr>
          <w:rFonts w:ascii="仿宋_GB2312" w:cs="仿宋_GB2312"/>
          <w:color w:val="auto"/>
          <w:kern w:val="2"/>
          <w:sz w:val="32"/>
          <w:szCs w:val="32"/>
          <w:highlight w:val="none"/>
          <w:lang w:eastAsia="zh-Hans"/>
        </w:rPr>
        <w:t>95%</w:t>
      </w:r>
      <w:r>
        <w:rPr>
          <w:rFonts w:hint="eastAsia" w:ascii="仿宋_GB2312" w:cs="仿宋_GB2312"/>
          <w:color w:val="auto"/>
          <w:kern w:val="2"/>
          <w:sz w:val="32"/>
          <w:szCs w:val="32"/>
          <w:highlight w:val="none"/>
          <w:lang w:eastAsia="zh-Hans"/>
        </w:rPr>
        <w:t>”，根据服务对象</w:t>
      </w:r>
      <w:r>
        <w:rPr>
          <w:rFonts w:hint="eastAsia" w:ascii="仿宋_GB2312" w:cs="仿宋_GB2312"/>
          <w:color w:val="auto"/>
          <w:kern w:val="2"/>
          <w:sz w:val="32"/>
          <w:szCs w:val="32"/>
          <w:highlight w:val="none"/>
          <w:lang w:eastAsia="zh-CN"/>
        </w:rPr>
        <w:t>满意度</w:t>
      </w:r>
      <w:r>
        <w:rPr>
          <w:rFonts w:hint="eastAsia" w:ascii="仿宋_GB2312" w:cs="仿宋_GB2312"/>
          <w:color w:val="auto"/>
          <w:kern w:val="2"/>
          <w:sz w:val="32"/>
          <w:szCs w:val="32"/>
          <w:highlight w:val="none"/>
          <w:lang w:eastAsia="zh-Hans"/>
        </w:rPr>
        <w:t>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服务对象满意度达</w:t>
      </w:r>
      <w:r>
        <w:rPr>
          <w:rFonts w:hint="eastAsia" w:ascii="仿宋_GB2312" w:cs="仿宋_GB2312"/>
          <w:color w:val="auto"/>
          <w:kern w:val="2"/>
          <w:sz w:val="32"/>
          <w:szCs w:val="32"/>
          <w:highlight w:val="none"/>
          <w:lang w:val="en-US" w:eastAsia="zh-CN"/>
        </w:rPr>
        <w:t>95</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5</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5</w:t>
      </w:r>
      <w:r>
        <w:rPr>
          <w:rFonts w:hint="eastAsia" w:ascii="仿宋_GB2312" w:cs="仿宋_GB2312"/>
          <w:color w:val="auto"/>
          <w:kern w:val="2"/>
          <w:sz w:val="32"/>
          <w:szCs w:val="32"/>
          <w:highlight w:val="none"/>
        </w:rPr>
        <w:t>分。</w:t>
      </w:r>
    </w:p>
    <w:p w14:paraId="52B7BC02">
      <w:pPr>
        <w:pStyle w:val="21"/>
        <w:spacing w:line="600" w:lineRule="exact"/>
        <w:ind w:firstLine="640"/>
        <w:rPr>
          <w:rFonts w:hint="eastAsia" w:ascii="仿宋_GB2312" w:cs="仿宋_GB2312"/>
          <w:color w:val="auto"/>
          <w:kern w:val="2"/>
          <w:sz w:val="32"/>
          <w:szCs w:val="32"/>
          <w:highlight w:val="none"/>
        </w:rPr>
      </w:pPr>
      <w:r>
        <w:rPr>
          <w:rFonts w:hint="eastAsia" w:ascii="仿宋_GB2312" w:cs="仿宋_GB2312"/>
          <w:color w:val="auto"/>
          <w:kern w:val="2"/>
          <w:sz w:val="32"/>
          <w:szCs w:val="32"/>
          <w:highlight w:val="none"/>
        </w:rPr>
        <w:t>“</w:t>
      </w:r>
      <w:r>
        <w:rPr>
          <w:rFonts w:hint="eastAsia" w:ascii="仿宋_GB2312" w:cs="仿宋_GB2312"/>
          <w:color w:val="auto"/>
          <w:kern w:val="2"/>
          <w:sz w:val="32"/>
          <w:szCs w:val="32"/>
          <w:highlight w:val="none"/>
          <w:lang w:val="en-US" w:eastAsia="zh-CN"/>
        </w:rPr>
        <w:t>村医满意度（%）</w:t>
      </w:r>
      <w:r>
        <w:rPr>
          <w:rFonts w:hint="eastAsia" w:ascii="仿宋_GB2312" w:cs="仿宋_GB2312"/>
          <w:color w:val="auto"/>
          <w:kern w:val="2"/>
          <w:sz w:val="32"/>
          <w:szCs w:val="32"/>
          <w:highlight w:val="none"/>
          <w:lang w:eastAsia="zh-Hans"/>
        </w:rPr>
        <w:t>”</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ascii="仿宋_GB2312" w:hAnsi="Times New Roman" w:cs="仿宋_GB2312"/>
          <w:color w:val="auto"/>
          <w:kern w:val="2"/>
          <w:sz w:val="32"/>
          <w:szCs w:val="32"/>
          <w:highlight w:val="none"/>
          <w:lang w:eastAsia="zh-CN"/>
        </w:rPr>
        <w:t>大于等于</w:t>
      </w:r>
      <w:r>
        <w:rPr>
          <w:rFonts w:ascii="仿宋_GB2312" w:cs="仿宋_GB2312"/>
          <w:color w:val="auto"/>
          <w:kern w:val="2"/>
          <w:sz w:val="32"/>
          <w:szCs w:val="32"/>
          <w:highlight w:val="none"/>
          <w:lang w:eastAsia="zh-Hans"/>
        </w:rPr>
        <w:t>95%</w:t>
      </w:r>
      <w:r>
        <w:rPr>
          <w:rFonts w:hint="eastAsia" w:ascii="仿宋_GB2312" w:cs="仿宋_GB2312"/>
          <w:color w:val="auto"/>
          <w:kern w:val="2"/>
          <w:sz w:val="32"/>
          <w:szCs w:val="32"/>
          <w:highlight w:val="none"/>
          <w:lang w:eastAsia="zh-Hans"/>
        </w:rPr>
        <w:t>”，根据对</w:t>
      </w:r>
      <w:r>
        <w:rPr>
          <w:rFonts w:hint="eastAsia" w:ascii="仿宋_GB2312" w:cs="仿宋_GB2312"/>
          <w:color w:val="auto"/>
          <w:kern w:val="2"/>
          <w:sz w:val="32"/>
          <w:szCs w:val="32"/>
          <w:highlight w:val="none"/>
          <w:lang w:val="en-US" w:eastAsia="zh-CN"/>
        </w:rPr>
        <w:t>村医</w:t>
      </w:r>
      <w:r>
        <w:rPr>
          <w:rFonts w:hint="eastAsia" w:ascii="仿宋_GB2312" w:cs="仿宋_GB2312"/>
          <w:color w:val="auto"/>
          <w:kern w:val="2"/>
          <w:sz w:val="32"/>
          <w:szCs w:val="32"/>
          <w:highlight w:val="none"/>
          <w:lang w:eastAsia="zh-Hans"/>
        </w:rPr>
        <w:t>进行满意度问卷调查的结果可知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val="en-US" w:eastAsia="zh-CN"/>
        </w:rPr>
        <w:t>村医</w:t>
      </w:r>
      <w:r>
        <w:rPr>
          <w:rFonts w:hint="eastAsia" w:ascii="仿宋_GB2312" w:cs="仿宋_GB2312"/>
          <w:color w:val="auto"/>
          <w:kern w:val="2"/>
          <w:sz w:val="32"/>
          <w:szCs w:val="32"/>
          <w:highlight w:val="none"/>
          <w:lang w:eastAsia="zh-Hans"/>
        </w:rPr>
        <w:t>满意度达</w:t>
      </w:r>
      <w:r>
        <w:rPr>
          <w:rFonts w:hint="eastAsia" w:ascii="仿宋_GB2312" w:cs="仿宋_GB2312"/>
          <w:color w:val="auto"/>
          <w:kern w:val="2"/>
          <w:sz w:val="32"/>
          <w:szCs w:val="32"/>
          <w:highlight w:val="none"/>
          <w:lang w:val="en-US" w:eastAsia="zh-CN"/>
        </w:rPr>
        <w:t>95</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5</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5</w:t>
      </w:r>
      <w:r>
        <w:rPr>
          <w:rFonts w:hint="eastAsia" w:ascii="仿宋_GB2312" w:cs="仿宋_GB2312"/>
          <w:color w:val="auto"/>
          <w:kern w:val="2"/>
          <w:sz w:val="32"/>
          <w:szCs w:val="32"/>
          <w:highlight w:val="none"/>
        </w:rPr>
        <w:t>分。</w:t>
      </w:r>
    </w:p>
    <w:p w14:paraId="75B69CCC">
      <w:pPr>
        <w:pStyle w:val="2"/>
        <w:spacing w:line="600" w:lineRule="exact"/>
        <w:ind w:firstLine="640"/>
        <w:rPr>
          <w:color w:val="auto"/>
          <w:szCs w:val="32"/>
          <w:highlight w:val="none"/>
        </w:rPr>
      </w:pPr>
      <w:r>
        <w:rPr>
          <w:rFonts w:hint="eastAsia"/>
          <w:color w:val="auto"/>
          <w:szCs w:val="32"/>
          <w:highlight w:val="none"/>
        </w:rPr>
        <w:t>五、预算执行进度与绩效指标偏差情况</w:t>
      </w:r>
    </w:p>
    <w:p w14:paraId="12A9D47E">
      <w:pPr>
        <w:pStyle w:val="3"/>
        <w:numPr>
          <w:ilvl w:val="0"/>
          <w:numId w:val="7"/>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14:paraId="0EE83F69">
      <w:pPr>
        <w:pStyle w:val="21"/>
        <w:spacing w:line="600" w:lineRule="exact"/>
        <w:ind w:firstLine="640"/>
        <w:rPr>
          <w:rFonts w:hint="eastAsia" w:ascii="仿宋_GB2312" w:eastAsia="仿宋_GB2312"/>
          <w:color w:val="auto"/>
          <w:sz w:val="32"/>
          <w:szCs w:val="32"/>
          <w:highlight w:val="none"/>
          <w:lang w:eastAsia="zh-CN"/>
        </w:rPr>
      </w:pPr>
      <w:r>
        <w:rPr>
          <w:rFonts w:hint="eastAsia" w:ascii="仿宋_GB2312" w:hAnsi="Times New Roman" w:cs="Times New Roman"/>
          <w:color w:val="auto"/>
          <w:sz w:val="32"/>
          <w:szCs w:val="32"/>
          <w:highlight w:val="none"/>
          <w:lang w:val="en-US" w:eastAsia="zh-CN"/>
        </w:rPr>
        <w:t>2023年中央及自治区基本公共卫生服务</w:t>
      </w:r>
      <w:r>
        <w:rPr>
          <w:rFonts w:hint="eastAsia" w:ascii="仿宋_GB2312"/>
          <w:color w:val="auto"/>
          <w:sz w:val="32"/>
          <w:szCs w:val="32"/>
          <w:highlight w:val="none"/>
          <w:lang w:eastAsia="zh-Hans"/>
        </w:rPr>
        <w:t>项目预算金额</w:t>
      </w:r>
      <w:r>
        <w:rPr>
          <w:rFonts w:hint="eastAsia" w:ascii="仿宋_GB2312"/>
          <w:color w:val="auto"/>
          <w:sz w:val="32"/>
          <w:szCs w:val="32"/>
          <w:highlight w:val="none"/>
          <w:lang w:val="en-US" w:eastAsia="zh-CN"/>
        </w:rPr>
        <w:t>61.13</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61.13</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60.98</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99.75</w:t>
      </w:r>
      <w:r>
        <w:rPr>
          <w:rFonts w:hint="eastAsia" w:ascii="仿宋_GB2312"/>
          <w:color w:val="auto"/>
          <w:sz w:val="32"/>
          <w:szCs w:val="32"/>
          <w:highlight w:val="none"/>
          <w:lang w:eastAsia="zh-Hans"/>
        </w:rPr>
        <w:t>%，项目绩效指标总体完成率为</w:t>
      </w:r>
      <w:r>
        <w:rPr>
          <w:rFonts w:hint="eastAsia" w:ascii="仿宋_GB2312"/>
          <w:color w:val="auto"/>
          <w:sz w:val="32"/>
          <w:szCs w:val="32"/>
          <w:highlight w:val="none"/>
          <w:lang w:val="en-US" w:eastAsia="zh-CN"/>
        </w:rPr>
        <w:t>101.17</w:t>
      </w:r>
      <w:r>
        <w:rPr>
          <w:rFonts w:hint="eastAsia" w:ascii="仿宋_GB2312"/>
          <w:color w:val="auto"/>
          <w:sz w:val="32"/>
          <w:szCs w:val="32"/>
          <w:highlight w:val="none"/>
          <w:lang w:eastAsia="zh-Hans"/>
        </w:rPr>
        <w:t>%，偏差率为</w:t>
      </w:r>
      <w:r>
        <w:rPr>
          <w:rFonts w:hint="eastAsia" w:ascii="仿宋_GB2312"/>
          <w:color w:val="auto"/>
          <w:sz w:val="32"/>
          <w:szCs w:val="32"/>
          <w:highlight w:val="none"/>
          <w:lang w:val="en-US" w:eastAsia="zh-CN"/>
        </w:rPr>
        <w:t>1.17</w:t>
      </w:r>
      <w:r>
        <w:rPr>
          <w:rFonts w:hint="eastAsia" w:ascii="仿宋_GB2312"/>
          <w:color w:val="auto"/>
          <w:sz w:val="32"/>
          <w:szCs w:val="32"/>
          <w:highlight w:val="none"/>
          <w:lang w:eastAsia="zh-Hans"/>
        </w:rPr>
        <w:t>%</w:t>
      </w:r>
      <w:r>
        <w:rPr>
          <w:rFonts w:hint="eastAsia" w:ascii="仿宋_GB2312"/>
          <w:color w:val="auto"/>
          <w:sz w:val="32"/>
          <w:szCs w:val="32"/>
          <w:highlight w:val="none"/>
        </w:rPr>
        <w:t>,偏差原因是</w:t>
      </w:r>
      <w:r>
        <w:rPr>
          <w:rFonts w:hint="eastAsia" w:ascii="仿宋_GB2312"/>
          <w:color w:val="auto"/>
          <w:sz w:val="32"/>
          <w:szCs w:val="32"/>
          <w:highlight w:val="none"/>
          <w:lang w:eastAsia="zh-CN"/>
        </w:rPr>
        <w:t>：</w:t>
      </w:r>
      <w:r>
        <w:rPr>
          <w:rFonts w:hint="eastAsia" w:ascii="仿宋_GB2312"/>
          <w:color w:val="auto"/>
          <w:sz w:val="32"/>
          <w:szCs w:val="32"/>
          <w:highlight w:val="none"/>
          <w:lang w:val="en-US" w:eastAsia="zh-CN"/>
        </w:rPr>
        <w:t>1、通过地方基本公共卫生发现新增患者，</w:t>
      </w:r>
      <w:r>
        <w:rPr>
          <w:rFonts w:hint="eastAsia" w:ascii="仿宋_GB2312"/>
          <w:color w:val="auto"/>
          <w:sz w:val="32"/>
          <w:szCs w:val="32"/>
          <w:highlight w:val="none"/>
          <w:lang w:eastAsia="zh-CN"/>
        </w:rPr>
        <w:t>高血压患者增加；</w:t>
      </w:r>
      <w:r>
        <w:rPr>
          <w:rFonts w:hint="eastAsia" w:ascii="仿宋_GB2312"/>
          <w:color w:val="auto"/>
          <w:sz w:val="32"/>
          <w:szCs w:val="32"/>
          <w:highlight w:val="none"/>
          <w:lang w:val="en-US" w:eastAsia="zh-CN"/>
        </w:rPr>
        <w:t>2、通过地方基本公共卫生</w:t>
      </w:r>
      <w:bookmarkStart w:id="18" w:name="_GoBack"/>
      <w:bookmarkEnd w:id="18"/>
      <w:r>
        <w:rPr>
          <w:rFonts w:hint="eastAsia" w:ascii="仿宋_GB2312"/>
          <w:color w:val="auto"/>
          <w:sz w:val="32"/>
          <w:szCs w:val="32"/>
          <w:highlight w:val="none"/>
          <w:lang w:val="en-US" w:eastAsia="zh-CN"/>
        </w:rPr>
        <w:t>发现新增患者，2型糖尿病患者增加</w:t>
      </w:r>
      <w:r>
        <w:rPr>
          <w:rFonts w:hint="eastAsia" w:ascii="仿宋_GB2312"/>
          <w:color w:val="auto"/>
          <w:sz w:val="32"/>
          <w:szCs w:val="32"/>
          <w:highlight w:val="none"/>
          <w:lang w:eastAsia="zh-CN"/>
        </w:rPr>
        <w:t>；</w:t>
      </w:r>
      <w:r>
        <w:rPr>
          <w:rFonts w:hint="eastAsia" w:ascii="仿宋_GB2312"/>
          <w:color w:val="auto"/>
          <w:sz w:val="32"/>
          <w:szCs w:val="32"/>
          <w:highlight w:val="none"/>
        </w:rPr>
        <w:t>拟采取的措施是</w:t>
      </w:r>
      <w:r>
        <w:rPr>
          <w:rFonts w:hint="eastAsia" w:ascii="仿宋_GB2312"/>
          <w:color w:val="auto"/>
          <w:sz w:val="32"/>
          <w:szCs w:val="32"/>
          <w:highlight w:val="none"/>
          <w:lang w:eastAsia="zh-CN"/>
        </w:rPr>
        <w:t>：通过地方公共卫生服务补助，对慢病患者进行早发现、早诊断、早治疗，提升辖区患者健康水平。</w:t>
      </w:r>
    </w:p>
    <w:p w14:paraId="5C35A0B4">
      <w:pPr>
        <w:pStyle w:val="3"/>
        <w:numPr>
          <w:ilvl w:val="0"/>
          <w:numId w:val="7"/>
        </w:numPr>
        <w:spacing w:line="600" w:lineRule="exact"/>
        <w:ind w:firstLine="643"/>
        <w:rPr>
          <w:rFonts w:ascii="楷体_GB2312" w:eastAsia="楷体_GB2312"/>
          <w:color w:val="auto"/>
          <w:szCs w:val="32"/>
          <w:highlight w:val="none"/>
          <w:lang w:eastAsia="zh-Hans"/>
        </w:rPr>
      </w:pPr>
      <w:r>
        <w:rPr>
          <w:rFonts w:hint="eastAsia" w:ascii="楷体_GB2312" w:eastAsia="楷体_GB2312"/>
          <w:color w:val="auto"/>
          <w:szCs w:val="32"/>
          <w:highlight w:val="none"/>
          <w:lang w:eastAsia="zh-Hans"/>
        </w:rPr>
        <w:t>绩效指标偏差情况</w:t>
      </w:r>
    </w:p>
    <w:p w14:paraId="687AC9EB">
      <w:pPr>
        <w:spacing w:line="600" w:lineRule="exact"/>
        <w:ind w:firstLine="640"/>
        <w:rPr>
          <w:rFonts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w:t>
      </w:r>
      <w:r>
        <w:rPr>
          <w:rFonts w:hint="eastAsia" w:ascii="仿宋_GB2312" w:hAnsi="Times New Roman" w:cs="Times New Roman"/>
          <w:color w:val="auto"/>
          <w:sz w:val="32"/>
          <w:szCs w:val="32"/>
          <w:highlight w:val="none"/>
          <w:lang w:val="en-US" w:eastAsia="zh-CN"/>
        </w:rPr>
        <w:t>2023年中央及自治区基本公共卫生服务</w:t>
      </w:r>
      <w:r>
        <w:rPr>
          <w:rFonts w:hint="eastAsia" w:ascii="仿宋_GB2312"/>
          <w:color w:val="auto"/>
          <w:sz w:val="32"/>
          <w:szCs w:val="32"/>
          <w:highlight w:val="none"/>
        </w:rPr>
        <w:t>项目当中，</w:t>
      </w:r>
      <w:r>
        <w:rPr>
          <w:rFonts w:hint="eastAsia" w:ascii="仿宋_GB2312" w:hAnsi="仿宋_GB2312" w:cs="仿宋_GB2312"/>
          <w:color w:val="auto"/>
          <w:sz w:val="32"/>
          <w:szCs w:val="32"/>
          <w:highlight w:val="none"/>
          <w:lang w:eastAsia="zh-Hans"/>
        </w:rPr>
        <w:t>0-6岁儿童管理人数</w:t>
      </w:r>
      <w:r>
        <w:rPr>
          <w:rFonts w:hint="eastAsia" w:ascii="仿宋_GB2312"/>
          <w:color w:val="auto"/>
          <w:sz w:val="32"/>
          <w:szCs w:val="32"/>
          <w:highlight w:val="none"/>
        </w:rPr>
        <w:t>指标和</w:t>
      </w:r>
      <w:r>
        <w:rPr>
          <w:rFonts w:hint="eastAsia" w:ascii="仿宋_GB2312" w:cs="仿宋_GB2312"/>
          <w:color w:val="auto"/>
          <w:sz w:val="32"/>
          <w:szCs w:val="32"/>
          <w:highlight w:val="none"/>
        </w:rPr>
        <w:t>基本公共卫生服务支出</w:t>
      </w:r>
      <w:r>
        <w:rPr>
          <w:rFonts w:hint="eastAsia" w:ascii="仿宋_GB2312"/>
          <w:color w:val="auto"/>
          <w:sz w:val="32"/>
          <w:szCs w:val="32"/>
          <w:highlight w:val="none"/>
        </w:rPr>
        <w:t>指标的实际完成情况未能达到预算指标值，存在偏差的原因如下：</w:t>
      </w:r>
    </w:p>
    <w:p w14:paraId="49620C6D">
      <w:pPr>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w:t>
      </w:r>
      <w:r>
        <w:rPr>
          <w:rFonts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“0-6岁儿童管理人数（人）”指标</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lang w:val="en-US" w:eastAsia="zh-CN"/>
        </w:rPr>
        <w:t>423人</w:t>
      </w:r>
      <w:r>
        <w:rPr>
          <w:rFonts w:hint="eastAsia" w:ascii="仿宋_GB2312" w:hAnsi="仿宋_GB2312" w:cs="仿宋_GB2312"/>
          <w:color w:val="auto"/>
          <w:sz w:val="32"/>
          <w:szCs w:val="32"/>
          <w:highlight w:val="none"/>
          <w:lang w:eastAsia="zh-Hans"/>
        </w:rPr>
        <w:t>”</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实际完成值为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406人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存在</w:t>
      </w:r>
      <w:r>
        <w:rPr>
          <w:rFonts w:hint="eastAsia" w:ascii="仿宋_GB2312" w:hAnsi="仿宋_GB2312" w:cs="仿宋_GB2312"/>
          <w:color w:val="auto"/>
          <w:sz w:val="32"/>
          <w:szCs w:val="32"/>
          <w:highlight w:val="none"/>
        </w:rPr>
        <w:t>偏差原因</w:t>
      </w:r>
      <w:r>
        <w:rPr>
          <w:rFonts w:hint="eastAsia" w:ascii="仿宋_GB2312" w:hAnsi="仿宋_GB2312" w:cs="仿宋_GB2312"/>
          <w:color w:val="auto"/>
          <w:sz w:val="32"/>
          <w:szCs w:val="32"/>
          <w:highlight w:val="none"/>
          <w:lang w:eastAsia="zh-Hans"/>
        </w:rPr>
        <w:t>是</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由于</w:t>
      </w:r>
      <w:r>
        <w:rPr>
          <w:rFonts w:hint="eastAsia" w:ascii="仿宋_GB2312" w:hAnsi="仿宋_GB2312" w:cs="仿宋_GB2312"/>
          <w:color w:val="auto"/>
          <w:sz w:val="32"/>
          <w:szCs w:val="32"/>
          <w:highlight w:val="none"/>
        </w:rPr>
        <w:t>我辖区内两栖居民较多，儿童档案迁出</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w:t>
      </w:r>
    </w:p>
    <w:bookmarkEnd w:id="15"/>
    <w:bookmarkEnd w:id="16"/>
    <w:p w14:paraId="64C347E0">
      <w:pPr>
        <w:spacing w:line="600" w:lineRule="exact"/>
        <w:ind w:firstLine="640"/>
        <w:rPr>
          <w:rFonts w:ascii="仿宋_GB2312" w:hAnsi="仿宋_GB2312" w:cs="仿宋_GB2312"/>
          <w:color w:val="auto"/>
          <w:sz w:val="32"/>
          <w:szCs w:val="32"/>
          <w:highlight w:val="none"/>
        </w:rPr>
      </w:pPr>
      <w:r>
        <w:rPr>
          <w:rFonts w:ascii="仿宋_GB2312" w:hAnsi="仿宋_GB2312" w:cs="仿宋_GB2312"/>
          <w:color w:val="auto"/>
          <w:sz w:val="32"/>
          <w:szCs w:val="32"/>
          <w:highlight w:val="none"/>
          <w:lang w:eastAsia="zh-Hans"/>
        </w:rPr>
        <w:t>2.</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基本公共卫生服务支出</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hAnsi="Times New Roman" w:cs="仿宋_GB2312"/>
          <w:color w:val="auto"/>
          <w:sz w:val="32"/>
          <w:szCs w:val="32"/>
          <w:highlight w:val="none"/>
          <w:lang w:eastAsia="zh-CN"/>
        </w:rPr>
        <w:t>小于等于</w:t>
      </w:r>
      <w:r>
        <w:rPr>
          <w:rFonts w:hint="eastAsia" w:ascii="仿宋_GB2312" w:hAnsi="Times New Roman" w:cs="仿宋_GB2312"/>
          <w:color w:val="auto"/>
          <w:sz w:val="32"/>
          <w:szCs w:val="32"/>
          <w:highlight w:val="none"/>
          <w:lang w:val="en-US" w:eastAsia="zh-CN"/>
        </w:rPr>
        <w:t>61.13</w:t>
      </w:r>
      <w:r>
        <w:rPr>
          <w:rFonts w:hint="eastAsia" w:ascii="仿宋_GB2312" w:hAnsi="Times New Roman" w:cs="仿宋_GB2312"/>
          <w:color w:val="auto"/>
          <w:sz w:val="32"/>
          <w:szCs w:val="32"/>
          <w:highlight w:val="none"/>
          <w:lang w:eastAsia="zh-Hans"/>
        </w:rPr>
        <w:t>万元</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实际完成值为</w:t>
      </w:r>
      <w:r>
        <w:rPr>
          <w:rFonts w:hint="eastAsia" w:ascii="仿宋_GB2312" w:hAns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60.98</w:t>
      </w:r>
      <w:r>
        <w:rPr>
          <w:rFonts w:hint="eastAsia" w:ascii="仿宋_GB2312" w:cs="仿宋_GB2312"/>
          <w:color w:val="auto"/>
          <w:sz w:val="32"/>
          <w:szCs w:val="32"/>
          <w:highlight w:val="none"/>
          <w:lang w:eastAsia="zh-Hans"/>
        </w:rPr>
        <w:t>万元</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存在</w:t>
      </w:r>
      <w:r>
        <w:rPr>
          <w:rFonts w:hint="eastAsia" w:ascii="仿宋_GB2312" w:hAnsi="仿宋_GB2312" w:cs="仿宋_GB2312"/>
          <w:color w:val="auto"/>
          <w:sz w:val="32"/>
          <w:szCs w:val="32"/>
          <w:highlight w:val="none"/>
        </w:rPr>
        <w:t>偏差原因</w:t>
      </w:r>
      <w:r>
        <w:rPr>
          <w:rFonts w:hint="eastAsia" w:ascii="仿宋_GB2312" w:hAnsi="仿宋_GB2312" w:cs="仿宋_GB2312"/>
          <w:color w:val="auto"/>
          <w:sz w:val="32"/>
          <w:szCs w:val="32"/>
          <w:highlight w:val="none"/>
          <w:lang w:eastAsia="zh-Hans"/>
        </w:rPr>
        <w:t>是</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eastAsia="zh-Hans"/>
        </w:rPr>
        <w:t>收款账户有误，未支付成功，资金结转下年使用”</w:t>
      </w:r>
      <w:r>
        <w:rPr>
          <w:rFonts w:hint="eastAsia" w:ascii="仿宋_GB2312" w:hAnsi="仿宋_GB2312" w:cs="仿宋_GB2312"/>
          <w:color w:val="auto"/>
          <w:sz w:val="32"/>
          <w:szCs w:val="32"/>
          <w:highlight w:val="none"/>
        </w:rPr>
        <w:t>。</w:t>
      </w:r>
    </w:p>
    <w:p w14:paraId="35FBECE4">
      <w:pPr>
        <w:pStyle w:val="2"/>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14:paraId="12CB8D7F">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（一）主要经验及做法</w:t>
      </w:r>
    </w:p>
    <w:p w14:paraId="714ACB2A">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1.聚焦重点任务，推动项目工作落地落实</w:t>
      </w:r>
    </w:p>
    <w:p w14:paraId="68A517B8">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773F614A">
      <w:pPr>
        <w:pStyle w:val="21"/>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2.坚持问题导向，加强执行，提高资金效益</w:t>
      </w:r>
    </w:p>
    <w:p w14:paraId="73BC30BE">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紧抓预算执行动态</w:t>
      </w:r>
      <w:r>
        <w:rPr>
          <w:rFonts w:hint="eastAsia" w:ascii="仿宋_GB2312" w:hAnsi="仿宋_GB2312" w:cs="仿宋_GB2312"/>
          <w:color w:val="auto"/>
          <w:sz w:val="32"/>
          <w:szCs w:val="32"/>
          <w:highlight w:val="none"/>
          <w:lang w:eastAsia="zh-CN"/>
        </w:rPr>
        <w:t>管理</w:t>
      </w:r>
      <w:r>
        <w:rPr>
          <w:rFonts w:hint="eastAsia" w:ascii="仿宋_GB2312" w:hAnsi="仿宋_GB2312" w:cs="仿宋_GB2312"/>
          <w:color w:val="auto"/>
          <w:sz w:val="32"/>
          <w:szCs w:val="32"/>
          <w:highlight w:val="none"/>
        </w:rPr>
        <w:t>，提高资金使用效益。坚持以问题为导向，以财政部门的绩效</w:t>
      </w:r>
      <w:r>
        <w:rPr>
          <w:rFonts w:hint="eastAsia" w:ascii="仿宋_GB2312" w:hAnsi="仿宋_GB2312" w:cs="仿宋_GB2312"/>
          <w:color w:val="auto"/>
          <w:sz w:val="32"/>
          <w:szCs w:val="32"/>
          <w:highlight w:val="none"/>
          <w:lang w:eastAsia="zh-CN"/>
        </w:rPr>
        <w:t>管理</w:t>
      </w:r>
      <w:r>
        <w:rPr>
          <w:rFonts w:hint="eastAsia" w:ascii="仿宋_GB2312" w:hAnsi="仿宋_GB2312" w:cs="仿宋_GB2312"/>
          <w:color w:val="auto"/>
          <w:sz w:val="32"/>
          <w:szCs w:val="32"/>
          <w:highlight w:val="none"/>
        </w:rPr>
        <w:t>为契机，通过资料审核对资金执行进度及绩效目标实现程度开展审核，对绩效</w:t>
      </w:r>
      <w:r>
        <w:rPr>
          <w:rFonts w:hint="eastAsia" w:ascii="仿宋_GB2312" w:hAnsi="仿宋_GB2312" w:cs="仿宋_GB2312"/>
          <w:color w:val="auto"/>
          <w:sz w:val="32"/>
          <w:szCs w:val="32"/>
          <w:highlight w:val="none"/>
          <w:lang w:eastAsia="zh-CN"/>
        </w:rPr>
        <w:t>管理</w:t>
      </w:r>
      <w:r>
        <w:rPr>
          <w:rFonts w:hint="eastAsia" w:ascii="仿宋_GB2312" w:hAnsi="仿宋_GB2312" w:cs="仿宋_GB2312"/>
          <w:color w:val="auto"/>
          <w:sz w:val="32"/>
          <w:szCs w:val="32"/>
          <w:highlight w:val="none"/>
        </w:rPr>
        <w:t>中发现的问题及时整改，强化资金使用过程管理，</w:t>
      </w:r>
      <w:r>
        <w:rPr>
          <w:rFonts w:hint="eastAsia" w:ascii="仿宋_GB2312" w:hAnsi="仿宋_GB2312" w:cs="仿宋_GB2312"/>
          <w:color w:val="auto"/>
          <w:sz w:val="32"/>
          <w:szCs w:val="32"/>
          <w:highlight w:val="none"/>
          <w:lang w:eastAsia="zh-CN"/>
        </w:rPr>
        <w:t>有效地降低了资金偏离</w:t>
      </w:r>
      <w:r>
        <w:rPr>
          <w:rFonts w:hint="eastAsia" w:ascii="仿宋_GB2312" w:hAnsi="仿宋_GB2312" w:cs="仿宋_GB2312"/>
          <w:color w:val="auto"/>
          <w:sz w:val="32"/>
          <w:szCs w:val="32"/>
          <w:highlight w:val="none"/>
        </w:rPr>
        <w:t>政策目标的风险，提高了资金使用效益。</w:t>
      </w:r>
    </w:p>
    <w:p w14:paraId="3E1044AD">
      <w:pPr>
        <w:pStyle w:val="21"/>
        <w:spacing w:line="600" w:lineRule="exact"/>
        <w:ind w:firstLine="643"/>
        <w:rPr>
          <w:rFonts w:ascii="仿宋_GB2312" w:hAnsi="仿宋_GB2312" w:cs="仿宋_GB2312"/>
          <w:b/>
          <w:bCs/>
          <w:color w:val="auto"/>
          <w:sz w:val="32"/>
          <w:szCs w:val="32"/>
          <w:highlight w:val="none"/>
        </w:rPr>
      </w:pPr>
      <w:bookmarkStart w:id="17" w:name="_Toc68364674"/>
      <w:r>
        <w:rPr>
          <w:rFonts w:ascii="仿宋_GB2312" w:hAnsi="仿宋_GB2312" w:cs="仿宋_GB2312"/>
          <w:b/>
          <w:bCs/>
          <w:color w:val="auto"/>
          <w:sz w:val="32"/>
          <w:szCs w:val="32"/>
          <w:highlight w:val="none"/>
        </w:rPr>
        <w:t>3</w:t>
      </w:r>
      <w:r>
        <w:rPr>
          <w:rFonts w:hint="eastAsia" w:ascii="仿宋_GB2312" w:hAnsi="仿宋_GB2312" w:cs="仿宋_GB2312"/>
          <w:b/>
          <w:bCs/>
          <w:color w:val="auto"/>
          <w:sz w:val="32"/>
          <w:szCs w:val="32"/>
          <w:highlight w:val="none"/>
        </w:rPr>
        <w:t>.强化绩效目标刚性约束，及时对项目进行跟踪问效</w:t>
      </w:r>
    </w:p>
    <w:p w14:paraId="4FC0A834">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5A351EBC">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（二）存在问题及原因分析</w:t>
      </w:r>
      <w:bookmarkEnd w:id="17"/>
    </w:p>
    <w:p w14:paraId="516C3794">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1.绩效预算认识不够充分，绩效理念有待进一步强化</w:t>
      </w:r>
    </w:p>
    <w:p w14:paraId="20F8FD3A">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1BA19ECC">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2.绩效档案归档工作有待提高</w:t>
      </w:r>
    </w:p>
    <w:p w14:paraId="769227D8">
      <w:pPr>
        <w:spacing w:line="600" w:lineRule="exact"/>
        <w:ind w:firstLine="640"/>
        <w:rPr>
          <w:rFonts w:ascii="仿宋_GB2312" w:hAnsi="仿宋_GB2312" w:cs="仿宋_GB2312"/>
          <w:color w:val="auto"/>
          <w:sz w:val="32"/>
          <w:highlight w:val="none"/>
        </w:rPr>
      </w:pPr>
      <w:r>
        <w:rPr>
          <w:rFonts w:hint="eastAsia" w:ascii="仿宋_GB2312" w:hAnsi="仿宋_GB2312" w:cs="仿宋_GB2312"/>
          <w:color w:val="auto"/>
          <w:kern w:val="0"/>
          <w:sz w:val="32"/>
          <w:szCs w:val="32"/>
          <w:highlight w:val="none"/>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highlight w:val="none"/>
        </w:rPr>
        <w:t>理与实际业务存在一定偏差，未发挥其综合价值。</w:t>
      </w:r>
    </w:p>
    <w:p w14:paraId="18DC303C">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3.项目支出绩效评价存在局限，客观性有待加强</w:t>
      </w:r>
    </w:p>
    <w:p w14:paraId="0934149C">
      <w:pPr>
        <w:pStyle w:val="22"/>
        <w:spacing w:line="600" w:lineRule="exact"/>
        <w:ind w:firstLine="640"/>
        <w:rPr>
          <w:rFonts w:ascii="仿宋_GB2312" w:hAnsi="仿宋_GB2312" w:cs="仿宋_GB2312"/>
          <w:color w:val="auto"/>
          <w:kern w:val="0"/>
          <w:sz w:val="32"/>
          <w:szCs w:val="32"/>
          <w:highlight w:val="none"/>
        </w:rPr>
      </w:pPr>
      <w:r>
        <w:rPr>
          <w:rFonts w:hint="eastAsia" w:ascii="仿宋_GB2312" w:hAnsi="仿宋_GB2312" w:cs="仿宋_GB2312"/>
          <w:color w:val="auto"/>
          <w:kern w:val="0"/>
          <w:sz w:val="32"/>
          <w:szCs w:val="32"/>
          <w:highlight w:val="none"/>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36013747">
      <w:pPr>
        <w:pStyle w:val="2"/>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14:paraId="05FBDB18">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1.加强培训，提高相关人员工作水平</w:t>
      </w:r>
    </w:p>
    <w:p w14:paraId="7666A017">
      <w:pPr>
        <w:pStyle w:val="21"/>
        <w:spacing w:line="600" w:lineRule="exact"/>
        <w:ind w:firstLine="640"/>
        <w:rPr>
          <w:color w:val="auto"/>
          <w:sz w:val="32"/>
          <w:szCs w:val="32"/>
          <w:highlight w:val="none"/>
        </w:rPr>
      </w:pPr>
      <w:r>
        <w:rPr>
          <w:rFonts w:hint="eastAsia"/>
          <w:color w:val="auto"/>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w:t>
      </w:r>
    </w:p>
    <w:p w14:paraId="10828FF8">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2.扎实推进档案规范化建设，提升档案管理水平</w:t>
      </w:r>
    </w:p>
    <w:p w14:paraId="0B4EEF90">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5A187E80">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3. 高度重视，加强领导</w:t>
      </w:r>
    </w:p>
    <w:p w14:paraId="4AE3430C">
      <w:pPr>
        <w:pStyle w:val="21"/>
        <w:spacing w:line="600" w:lineRule="exact"/>
        <w:ind w:firstLine="640"/>
        <w:rPr>
          <w:rFonts w:hint="eastAsia" w:ascii="仿宋_GB2312" w:hAnsi="仿宋_GB2312" w:cs="仿宋_GB2312"/>
          <w:color w:val="auto"/>
          <w:sz w:val="32"/>
          <w:szCs w:val="32"/>
          <w:highlight w:val="none"/>
        </w:rPr>
      </w:pPr>
      <w:r>
        <w:rPr>
          <w:rFonts w:hint="eastAsia" w:ascii="仿宋_GB2312"/>
          <w:color w:val="auto"/>
          <w:sz w:val="32"/>
          <w:szCs w:val="32"/>
          <w:highlight w:val="none"/>
        </w:rPr>
        <w:t>高度重视，加强领导，精心组织。项目</w:t>
      </w:r>
      <w:r>
        <w:rPr>
          <w:rFonts w:hint="eastAsia" w:ascii="仿宋_GB2312"/>
          <w:color w:val="auto"/>
          <w:sz w:val="32"/>
          <w:szCs w:val="32"/>
          <w:highlight w:val="none"/>
          <w:lang w:eastAsia="zh-CN"/>
        </w:rPr>
        <w:t>绩效评价领导小组对</w:t>
      </w:r>
      <w:r>
        <w:rPr>
          <w:rFonts w:hint="eastAsia" w:ascii="仿宋_GB2312"/>
          <w:color w:val="auto"/>
          <w:sz w:val="32"/>
          <w:szCs w:val="32"/>
          <w:highlight w:val="none"/>
        </w:rPr>
        <w:t>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highlight w:val="none"/>
        </w:rPr>
        <w:t>客观性和公正性。</w:t>
      </w:r>
    </w:p>
    <w:p w14:paraId="5F8CF959">
      <w:pPr>
        <w:pStyle w:val="21"/>
        <w:spacing w:line="600" w:lineRule="exact"/>
        <w:ind w:firstLine="643"/>
        <w:rPr>
          <w:rFonts w:hint="default" w:ascii="仿宋_GB2312"/>
          <w:b/>
          <w:bCs/>
          <w:color w:val="auto"/>
          <w:sz w:val="32"/>
          <w:szCs w:val="32"/>
          <w:highlight w:val="none"/>
        </w:rPr>
      </w:pPr>
      <w:r>
        <w:rPr>
          <w:rFonts w:hint="eastAsia" w:ascii="仿宋_GB2312"/>
          <w:b/>
          <w:bCs/>
          <w:color w:val="auto"/>
          <w:sz w:val="32"/>
          <w:szCs w:val="32"/>
          <w:highlight w:val="none"/>
          <w:lang w:val="en-US" w:eastAsia="zh-CN"/>
        </w:rPr>
        <w:t>4.</w:t>
      </w:r>
      <w:r>
        <w:rPr>
          <w:rFonts w:hint="default" w:ascii="仿宋_GB2312"/>
          <w:b/>
          <w:bCs/>
          <w:color w:val="auto"/>
          <w:sz w:val="32"/>
          <w:szCs w:val="32"/>
          <w:highlight w:val="none"/>
        </w:rPr>
        <w:t>加大宣传力度，强化绩效理念</w:t>
      </w:r>
    </w:p>
    <w:p w14:paraId="1DED4EBA">
      <w:pPr>
        <w:pStyle w:val="21"/>
        <w:spacing w:line="600" w:lineRule="exact"/>
        <w:ind w:firstLine="640"/>
        <w:rPr>
          <w:rFonts w:hint="eastAsia" w:ascii="仿宋_GB2312"/>
          <w:color w:val="auto"/>
          <w:sz w:val="32"/>
          <w:szCs w:val="32"/>
          <w:highlight w:val="none"/>
        </w:rPr>
      </w:pPr>
      <w:r>
        <w:rPr>
          <w:rFonts w:hint="default" w:ascii="仿宋_GB2312"/>
          <w:color w:val="auto"/>
          <w:sz w:val="32"/>
          <w:szCs w:val="32"/>
          <w:highlight w:val="none"/>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11A5EED3">
      <w:pPr>
        <w:pStyle w:val="21"/>
        <w:numPr>
          <w:ilvl w:val="0"/>
          <w:numId w:val="8"/>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加强业务培训，提升专业能力</w:t>
      </w:r>
    </w:p>
    <w:p w14:paraId="4DFA7F14">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57789086">
      <w:pPr>
        <w:pStyle w:val="21"/>
        <w:numPr>
          <w:ilvl w:val="0"/>
          <w:numId w:val="8"/>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健全管理机制，促进深度融合</w:t>
      </w:r>
    </w:p>
    <w:p w14:paraId="2BC6CA92">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目前县级财政部门的预算股、资金</w:t>
      </w:r>
      <w:r>
        <w:rPr>
          <w:rFonts w:hint="eastAsia" w:ascii="仿宋_GB2312"/>
          <w:color w:val="auto"/>
          <w:sz w:val="32"/>
          <w:szCs w:val="32"/>
          <w:highlight w:val="none"/>
          <w:lang w:eastAsia="zh-CN"/>
        </w:rPr>
        <w:t>管理股和</w:t>
      </w:r>
      <w:r>
        <w:rPr>
          <w:rFonts w:hint="default" w:ascii="仿宋_GB2312"/>
          <w:color w:val="auto"/>
          <w:sz w:val="32"/>
          <w:szCs w:val="32"/>
          <w:highlight w:val="none"/>
        </w:rPr>
        <w:t>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14F3E4E9">
      <w:pPr>
        <w:pStyle w:val="2"/>
        <w:spacing w:line="600" w:lineRule="exact"/>
        <w:ind w:firstLine="640"/>
        <w:rPr>
          <w:color w:val="auto"/>
          <w:szCs w:val="32"/>
          <w:highlight w:val="none"/>
        </w:rPr>
      </w:pPr>
      <w:r>
        <w:rPr>
          <w:rFonts w:hint="eastAsia"/>
          <w:color w:val="auto"/>
          <w:szCs w:val="32"/>
          <w:highlight w:val="none"/>
        </w:rPr>
        <w:t>八、其他需要说明的问题</w:t>
      </w:r>
    </w:p>
    <w:p w14:paraId="369B7354">
      <w:pPr>
        <w:pStyle w:val="21"/>
        <w:spacing w:line="600" w:lineRule="exact"/>
        <w:ind w:firstLine="584"/>
        <w:rPr>
          <w:rFonts w:ascii="仿宋" w:hAnsi="仿宋" w:eastAsia="仿宋" w:cs="仿宋"/>
          <w:color w:val="auto"/>
          <w:sz w:val="30"/>
          <w:szCs w:val="30"/>
          <w:highlight w:val="none"/>
        </w:rPr>
      </w:pPr>
      <w:r>
        <w:rPr>
          <w:rFonts w:hint="eastAsia" w:ascii="仿宋" w:hAnsi="仿宋" w:eastAsia="仿宋" w:cs="仿宋"/>
          <w:color w:val="auto"/>
          <w:spacing w:val="-4"/>
          <w:sz w:val="30"/>
          <w:szCs w:val="30"/>
          <w:highlight w:val="none"/>
        </w:rPr>
        <w:t>无其他说明内容。</w:t>
      </w:r>
    </w:p>
    <w:p w14:paraId="0FDADABC">
      <w:pPr>
        <w:pStyle w:val="21"/>
        <w:spacing w:line="600" w:lineRule="exact"/>
        <w:ind w:firstLine="624"/>
        <w:rPr>
          <w:rFonts w:hint="eastAsia" w:ascii="仿宋_GB2312"/>
          <w:color w:val="auto"/>
          <w:sz w:val="32"/>
          <w:szCs w:val="32"/>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F4755">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0BE9BC83">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0BE9BC83">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0EC7C">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37291">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6DBEA">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9EBDC">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CDC9D">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2D96FEF5"/>
    <w:multiLevelType w:val="singleLevel"/>
    <w:tmpl w:val="2D96FEF5"/>
    <w:lvl w:ilvl="0" w:tentative="0">
      <w:start w:val="7"/>
      <w:numFmt w:val="chineseCounting"/>
      <w:suff w:val="nothing"/>
      <w:lvlText w:val="（%1）"/>
      <w:lvlJc w:val="left"/>
      <w:rPr>
        <w:rFonts w:hint="eastAsia"/>
      </w:r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66511E"/>
    <w:multiLevelType w:val="singleLevel"/>
    <w:tmpl w:val="4166511E"/>
    <w:lvl w:ilvl="0" w:tentative="0">
      <w:start w:val="1"/>
      <w:numFmt w:val="chineseCounting"/>
      <w:suff w:val="nothing"/>
      <w:lvlText w:val="（%1）"/>
      <w:lvlJc w:val="left"/>
      <w:rPr>
        <w:rFonts w:hint="eastAsia"/>
      </w:rPr>
    </w:lvl>
  </w:abstractNum>
  <w:num w:numId="1">
    <w:abstractNumId w:val="6"/>
  </w:num>
  <w:num w:numId="2">
    <w:abstractNumId w:val="5"/>
  </w:num>
  <w:num w:numId="3">
    <w:abstractNumId w:val="0"/>
  </w:num>
  <w:num w:numId="4">
    <w:abstractNumId w:val="1"/>
  </w:num>
  <w:num w:numId="5">
    <w:abstractNumId w:val="4"/>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1Y2I5NWM3ZmZjZTZjODE2OGY1NzAwZDM1ZGUxODE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8D1714F"/>
    <w:rsid w:val="0F8143FC"/>
    <w:rsid w:val="12F1313F"/>
    <w:rsid w:val="162A7675"/>
    <w:rsid w:val="169603B5"/>
    <w:rsid w:val="22F02621"/>
    <w:rsid w:val="245E1E24"/>
    <w:rsid w:val="2E483E7E"/>
    <w:rsid w:val="2EC1261A"/>
    <w:rsid w:val="2FF22A22"/>
    <w:rsid w:val="33944516"/>
    <w:rsid w:val="3E2D1506"/>
    <w:rsid w:val="42A53966"/>
    <w:rsid w:val="49A75425"/>
    <w:rsid w:val="57A47002"/>
    <w:rsid w:val="5D7317A1"/>
    <w:rsid w:val="5EDF9208"/>
    <w:rsid w:val="5FAFB075"/>
    <w:rsid w:val="68291A1A"/>
    <w:rsid w:val="691B1594"/>
    <w:rsid w:val="6F0D6C22"/>
    <w:rsid w:val="6FD35114"/>
    <w:rsid w:val="6FE70C15"/>
    <w:rsid w:val="6FF38B9B"/>
    <w:rsid w:val="73D9A77D"/>
    <w:rsid w:val="73F90A54"/>
    <w:rsid w:val="7657F55C"/>
    <w:rsid w:val="76D2301A"/>
    <w:rsid w:val="77861774"/>
    <w:rsid w:val="77978BBA"/>
    <w:rsid w:val="77FD56A3"/>
    <w:rsid w:val="786D3A99"/>
    <w:rsid w:val="79300B45"/>
    <w:rsid w:val="7AFFA044"/>
    <w:rsid w:val="7B526C05"/>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autoRedefine/>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autoRedefine/>
    <w:qFormat/>
    <w:uiPriority w:val="99"/>
    <w:pPr>
      <w:keepNext/>
      <w:keepLines/>
      <w:ind w:firstLine="883"/>
      <w:outlineLvl w:val="2"/>
    </w:pPr>
    <w:rPr>
      <w:rFonts w:ascii="仿宋_GB2312" w:hAnsi="仿宋_GB2312"/>
      <w:b/>
      <w:bCs/>
      <w:kern w:val="0"/>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autoRedefine/>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autoRedefine/>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autoRedefine/>
    <w:qFormat/>
    <w:uiPriority w:val="3"/>
    <w:rPr>
      <w:rFonts w:eastAsia="仿宋_GB2312"/>
      <w:sz w:val="28"/>
      <w:szCs w:val="28"/>
    </w:rPr>
  </w:style>
  <w:style w:type="paragraph" w:styleId="27">
    <w:name w:val="List Paragraph"/>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11150</Words>
  <Characters>11779</Characters>
  <Lines>62</Lines>
  <Paragraphs>17</Paragraphs>
  <TotalTime>1</TotalTime>
  <ScaleCrop>false</ScaleCrop>
  <LinksUpToDate>false</LinksUpToDate>
  <CharactersWithSpaces>11799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梦在天边外</cp:lastModifiedBy>
  <cp:lastPrinted>2021-03-04T11:49:00Z</cp:lastPrinted>
  <dcterms:modified xsi:type="dcterms:W3CDTF">2024-11-18T04:47:44Z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B9C93C7063AE453E989A622DF2E6DA06_13</vt:lpwstr>
  </property>
</Properties>
</file>