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沙湾市红十字会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（一）宣传、贯彻落实《中华人民共和国红十字会法》、《中国红十字会章程》、《中华人民共和国红十字标志使用办法》和《新疆维吾尔自治区实施〈中华人民共和国红十字会法〉办法》，指导和协调红十字</w:t>
      </w:r>
      <w:r>
        <w:rPr>
          <w:rFonts w:hint="eastAsia" w:ascii="仿宋_GB2312" w:eastAsia="仿宋_GB2312"/>
          <w:color w:val="auto"/>
          <w:sz w:val="32"/>
          <w:szCs w:val="32"/>
          <w:highlight w:val="none"/>
          <w:lang w:eastAsia="zh-CN"/>
        </w:rPr>
        <w:t>基层组织</w:t>
      </w:r>
      <w:r>
        <w:rPr>
          <w:rFonts w:hint="eastAsia" w:ascii="仿宋_GB2312" w:eastAsia="仿宋_GB2312"/>
          <w:color w:val="auto"/>
          <w:sz w:val="32"/>
          <w:szCs w:val="32"/>
          <w:highlight w:val="none"/>
        </w:rPr>
        <w:t>开展各项工作</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开展备灾救灾工作。制定应急预案，建立应急救援队伍；在自然灾害和突发事件中，开展救护和救助工作；根据自然灾害和突发事件的具体情况，在辖区内发出呼吁，依法接受国内外组织和个人的捐赠；及时向灾区群众和受难者提供急需的人道主义援助，参与灾后重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三）开展应急救护和防病知识的宣传、普及、培训；在机关、企事业单位、社区、农村、学校和易发生意外伤害的行业和人群中开展初级卫生救护培训，组织群众参加意外伤害和自然灾害的现场救护；提高应急条件下的应急救助能力和水平</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（四）开展社会救助及相关服务工作。对易受损人群进行救助，为困难群众提供服务；在社区、农村中建立红十字服务站，开展服务群众、宣传培训、募捐救助等活动</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（五）开展无偿献血的宣传推动工作，对先进单位和个人进行表彰奖励</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（六）开展捐献造血干细胞的宣传动员、组织工作</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（七）依法开展和推动遗体、器官（组织）捐献工作；开展艾滋病预防控制宣传和教育、关心爱护艾滋病病毒感染者、患者及其他人道救助工作</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（八）开展有益于青少年身心健康的红十字青少年活动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（九）开展红十字志愿服务活动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（十）完成人民政府委托事宜。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沙湾市红十字会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eastAsia="zh-CN"/>
        </w:rPr>
        <w:t>该单位无</w:t>
      </w:r>
      <w:r>
        <w:rPr>
          <w:rFonts w:hint="eastAsia" w:ascii="仿宋_GB2312" w:hAnsi="黑体" w:eastAsia="仿宋_GB2312" w:cs="宋体"/>
          <w:bCs/>
          <w:color w:val="auto"/>
          <w:kern w:val="0"/>
          <w:sz w:val="32"/>
          <w:szCs w:val="32"/>
          <w:highlight w:val="none"/>
        </w:rPr>
        <w:t>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69.78万元，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69.78万元，使用非财政拨款结余0.00万元，年初结转和结余0.00万元。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69.78万元，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69.78万元，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增加13.43万元</w:t>
      </w:r>
      <w:r>
        <w:rPr>
          <w:rFonts w:hint="eastAsia" w:ascii="仿宋_GB2312" w:eastAsia="仿宋_GB2312"/>
          <w:color w:val="auto"/>
          <w:spacing w:val="0"/>
          <w:sz w:val="32"/>
          <w:szCs w:val="32"/>
          <w:highlight w:val="none"/>
          <w:lang w:eastAsia="zh-CN"/>
        </w:rPr>
        <w:t>，增长23.83%，主要原因是：在职人员基本工资，基础绩效工资，相应社保、公积金缴费基数提高；退休人员增加</w:t>
      </w:r>
      <w:r>
        <w:rPr>
          <w:rFonts w:hint="eastAsia" w:ascii="仿宋_GB2312" w:eastAsia="仿宋_GB2312"/>
          <w:color w:val="auto"/>
          <w:spacing w:val="0"/>
          <w:sz w:val="32"/>
          <w:szCs w:val="32"/>
          <w:highlight w:val="none"/>
          <w:lang w:val="en-US" w:eastAsia="zh-CN"/>
        </w:rPr>
        <w:t>2人职业年金一次清算，因此职业年金增加。故本年收入支出比上年增长</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69.78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69.78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本年支出69.78万元，其中：基本支出69.78万元，占100.00%；项目支出0.00万元，占0.00%；上缴上级支出0.00万元，占0.00%；经营支出0.00万元，占0.00%；对附属单位补助支出0.00万元，占0.00%。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69.78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69.78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69.78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69.78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增加13.43万元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增长23.83%,</w:t>
      </w:r>
      <w:r>
        <w:rPr>
          <w:rFonts w:hint="eastAsia" w:ascii="仿宋_GB2312" w:eastAsia="仿宋_GB2312"/>
          <w:color w:val="auto"/>
          <w:spacing w:val="0"/>
          <w:sz w:val="32"/>
          <w:szCs w:val="32"/>
          <w:highlight w:val="none"/>
          <w:lang w:eastAsia="zh-CN"/>
        </w:rPr>
        <w:t>主要原因是：在职人员基本工资，基础绩效工资，相应社保、公积金缴费基数提高；退休人员增加</w:t>
      </w:r>
      <w:r>
        <w:rPr>
          <w:rFonts w:hint="eastAsia" w:ascii="仿宋_GB2312" w:eastAsia="仿宋_GB2312"/>
          <w:color w:val="auto"/>
          <w:spacing w:val="0"/>
          <w:sz w:val="32"/>
          <w:szCs w:val="32"/>
          <w:highlight w:val="none"/>
          <w:lang w:val="en-US" w:eastAsia="zh-CN"/>
        </w:rPr>
        <w:t>2人职业年金一次清算，因此职业年金增加，故本年</w:t>
      </w:r>
      <w:r>
        <w:rPr>
          <w:rFonts w:hint="eastAsia" w:ascii="仿宋_GB2312" w:eastAsia="仿宋_GB2312"/>
          <w:color w:val="auto"/>
          <w:spacing w:val="0"/>
          <w:sz w:val="32"/>
          <w:szCs w:val="32"/>
          <w:highlight w:val="none"/>
          <w:lang w:eastAsia="zh-CN"/>
        </w:rPr>
        <w:t>收入</w:t>
      </w:r>
      <w:r>
        <w:rPr>
          <w:rFonts w:hint="eastAsia" w:ascii="仿宋_GB2312" w:eastAsia="仿宋_GB2312"/>
          <w:color w:val="auto"/>
          <w:spacing w:val="0"/>
          <w:sz w:val="32"/>
          <w:szCs w:val="32"/>
          <w:highlight w:val="none"/>
          <w:lang w:val="en-US" w:eastAsia="zh-CN"/>
        </w:rPr>
        <w:t>支出比上年增长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55.33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69.78</w:t>
      </w:r>
      <w:r>
        <w:rPr>
          <w:rFonts w:hint="eastAsia" w:ascii="仿宋_GB2312" w:eastAsia="仿宋_GB2312"/>
          <w:color w:val="auto"/>
          <w:spacing w:val="0"/>
          <w:sz w:val="32"/>
          <w:szCs w:val="32"/>
          <w:highlight w:val="none"/>
          <w:lang w:eastAsia="zh-CN"/>
        </w:rPr>
        <w:t>万元，预决算差异率26.12%，主要原因是：在职人员基本工资，基础绩效工资，相应社保、公积金缴费标准提高；退休人员增加</w:t>
      </w:r>
      <w:r>
        <w:rPr>
          <w:rFonts w:hint="eastAsia" w:ascii="仿宋_GB2312" w:eastAsia="仿宋_GB2312"/>
          <w:color w:val="auto"/>
          <w:spacing w:val="0"/>
          <w:sz w:val="32"/>
          <w:szCs w:val="32"/>
          <w:highlight w:val="none"/>
          <w:lang w:val="en-US" w:eastAsia="zh-CN"/>
        </w:rPr>
        <w:t>2人职业年金一次清算，以上项目为年中追加预算项目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2023年度一般公共预算财政拨款支出69.78万元，占本年支出合计的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增加13.43万元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增长23.83%,</w:t>
      </w:r>
      <w:r>
        <w:rPr>
          <w:rFonts w:hint="eastAsia" w:ascii="仿宋_GB2312" w:eastAsia="仿宋_GB2312"/>
          <w:color w:val="auto"/>
          <w:spacing w:val="0"/>
          <w:sz w:val="32"/>
          <w:szCs w:val="32"/>
          <w:highlight w:val="none"/>
          <w:lang w:eastAsia="zh-CN"/>
        </w:rPr>
        <w:t>主要原因是：在职人员基本工资，基础绩效工资，相应社保、公积金缴费基数提高；退休人员增加</w:t>
      </w:r>
      <w:r>
        <w:rPr>
          <w:rFonts w:hint="eastAsia" w:ascii="仿宋_GB2312" w:eastAsia="仿宋_GB2312"/>
          <w:color w:val="auto"/>
          <w:spacing w:val="0"/>
          <w:sz w:val="32"/>
          <w:szCs w:val="32"/>
          <w:highlight w:val="none"/>
          <w:lang w:val="en-US" w:eastAsia="zh-CN"/>
        </w:rPr>
        <w:t>2人职业年金一次清算，因此职业年金增加故本年支出比上年增长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55.33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69.78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26.12%</w:t>
      </w:r>
      <w:r>
        <w:rPr>
          <w:rFonts w:hint="eastAsia" w:ascii="仿宋_GB2312" w:eastAsia="仿宋_GB2312"/>
          <w:color w:val="auto"/>
          <w:spacing w:val="0"/>
          <w:sz w:val="32"/>
          <w:szCs w:val="32"/>
          <w:highlight w:val="none"/>
          <w:lang w:eastAsia="zh-CN"/>
        </w:rPr>
        <w:t>，主要原因是在职人员基本工资，基础绩效工资，相应社保、公积金缴费基数提高；退休人员增加</w:t>
      </w:r>
      <w:r>
        <w:rPr>
          <w:rFonts w:hint="eastAsia" w:ascii="仿宋_GB2312" w:eastAsia="仿宋_GB2312"/>
          <w:color w:val="auto"/>
          <w:spacing w:val="0"/>
          <w:sz w:val="32"/>
          <w:szCs w:val="32"/>
          <w:highlight w:val="none"/>
          <w:lang w:val="en-US" w:eastAsia="zh-CN"/>
        </w:rPr>
        <w:t>2人职业年金一次清算，以上项目为年中追加预算项目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61.91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88.72%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5.10%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1.卫生健康支出（类）行政事业单位医疗（款）行政单位医疗（项）:支出决算数为2.86万元，比上年决算减少0.81万元，下降22.07%，主要原因是：</w:t>
      </w:r>
      <w:r>
        <w:rPr>
          <w:rFonts w:hint="eastAsia" w:ascii="仿宋_GB2312" w:hAnsi="仿宋_GB2312" w:eastAsia="仿宋_GB2312" w:cs="仿宋_GB2312"/>
          <w:color w:val="auto"/>
          <w:kern w:val="2"/>
          <w:sz w:val="32"/>
          <w:szCs w:val="32"/>
          <w:highlight w:val="none"/>
          <w:lang w:val="zh-CN" w:eastAsia="zh-CN" w:bidi="ar-SA"/>
        </w:rPr>
        <w:t>在职人数比上年减少</w:t>
      </w:r>
      <w:r>
        <w:rPr>
          <w:rFonts w:hint="eastAsia" w:ascii="仿宋_GB2312" w:hAnsi="仿宋_GB2312" w:eastAsia="仿宋_GB2312" w:cs="仿宋_GB2312"/>
          <w:color w:val="auto"/>
          <w:kern w:val="2"/>
          <w:sz w:val="32"/>
          <w:szCs w:val="32"/>
          <w:highlight w:val="none"/>
          <w:lang w:val="en-US" w:eastAsia="zh-CN" w:bidi="ar-SA"/>
        </w:rPr>
        <w:t>1人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2.卫生健康支出（类）行政事业单位医疗（款）公务员医疗补助（项）:支出决算数为1.46万元，比上年决算减少0.37万元，下降20.22%，主要原因是：</w:t>
      </w:r>
      <w:r>
        <w:rPr>
          <w:rFonts w:hint="eastAsia" w:ascii="仿宋_GB2312" w:hAnsi="仿宋_GB2312" w:eastAsia="仿宋_GB2312" w:cs="仿宋_GB2312"/>
          <w:color w:val="auto"/>
          <w:kern w:val="2"/>
          <w:sz w:val="32"/>
          <w:szCs w:val="32"/>
          <w:highlight w:val="none"/>
          <w:lang w:val="zh-CN" w:eastAsia="zh-CN" w:bidi="ar-SA"/>
        </w:rPr>
        <w:t>在职人数比上年减少</w:t>
      </w:r>
      <w:r>
        <w:rPr>
          <w:rFonts w:hint="eastAsia" w:ascii="仿宋_GB2312" w:hAnsi="仿宋_GB2312" w:eastAsia="仿宋_GB2312" w:cs="仿宋_GB2312"/>
          <w:color w:val="auto"/>
          <w:kern w:val="2"/>
          <w:sz w:val="32"/>
          <w:szCs w:val="32"/>
          <w:highlight w:val="none"/>
          <w:lang w:val="en-US" w:eastAsia="zh-CN" w:bidi="ar-SA"/>
        </w:rPr>
        <w:t>1人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3.住房保障支出（类）住房改革支出（款）住房公积金（项）:支出决算数为3.56万元，比上年决算减少0.32万元，下降8.25%，主要原因是：</w:t>
      </w:r>
      <w:r>
        <w:rPr>
          <w:rFonts w:hint="eastAsia" w:ascii="仿宋_GB2312" w:hAnsi="仿宋_GB2312" w:eastAsia="仿宋_GB2312" w:cs="仿宋_GB2312"/>
          <w:color w:val="auto"/>
          <w:kern w:val="2"/>
          <w:sz w:val="32"/>
          <w:szCs w:val="32"/>
          <w:highlight w:val="none"/>
          <w:lang w:val="zh-CN" w:eastAsia="zh-CN" w:bidi="ar-SA"/>
        </w:rPr>
        <w:t>在职人数比上年减少</w:t>
      </w:r>
      <w:r>
        <w:rPr>
          <w:rFonts w:hint="eastAsia" w:ascii="仿宋_GB2312" w:hAnsi="仿宋_GB2312" w:eastAsia="仿宋_GB2312" w:cs="仿宋_GB2312"/>
          <w:color w:val="auto"/>
          <w:kern w:val="2"/>
          <w:sz w:val="32"/>
          <w:szCs w:val="32"/>
          <w:highlight w:val="none"/>
          <w:lang w:val="en-US" w:eastAsia="zh-CN" w:bidi="ar-SA"/>
        </w:rPr>
        <w:t>1人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4.社会保障和就业支出（类）行政事业单位养老支出（款）行政单位离退休（项）:支出决算数为3.06万元，比上年决算增加2.38万元，增长350.00%，主要原因是：</w:t>
      </w:r>
      <w:r>
        <w:rPr>
          <w:rFonts w:hint="eastAsia" w:ascii="仿宋_GB2312" w:hAnsi="仿宋_GB2312" w:eastAsia="仿宋_GB2312" w:cs="仿宋_GB2312"/>
          <w:color w:val="auto"/>
          <w:kern w:val="2"/>
          <w:sz w:val="32"/>
          <w:szCs w:val="32"/>
          <w:highlight w:val="none"/>
          <w:lang w:val="zh-CN" w:eastAsia="zh-CN" w:bidi="ar-SA"/>
        </w:rPr>
        <w:t>退休人数比上年增加</w:t>
      </w:r>
      <w:r>
        <w:rPr>
          <w:rFonts w:hint="eastAsia" w:ascii="仿宋_GB2312" w:hAnsi="仿宋_GB2312" w:eastAsia="仿宋_GB2312" w:cs="仿宋_GB2312"/>
          <w:color w:val="auto"/>
          <w:kern w:val="2"/>
          <w:sz w:val="32"/>
          <w:szCs w:val="32"/>
          <w:highlight w:val="none"/>
          <w:lang w:val="en-US" w:eastAsia="zh-CN" w:bidi="ar-SA"/>
        </w:rPr>
        <w:t>2人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5.社会保障和就业支出（类）红十字事业（款）行政运行（项）:支出决算数为41.20万元，比上年决算减少0.21万元，下降0.51%，主要原因是：</w:t>
      </w:r>
      <w:r>
        <w:rPr>
          <w:rFonts w:hint="eastAsia" w:ascii="仿宋_GB2312" w:hAnsi="仿宋_GB2312" w:eastAsia="仿宋_GB2312" w:cs="仿宋_GB2312"/>
          <w:color w:val="auto"/>
          <w:kern w:val="2"/>
          <w:sz w:val="32"/>
          <w:szCs w:val="32"/>
          <w:highlight w:val="none"/>
          <w:lang w:val="zh-CN" w:eastAsia="zh-CN" w:bidi="ar-SA"/>
        </w:rPr>
        <w:t>在职人数比上年减少</w:t>
      </w:r>
      <w:r>
        <w:rPr>
          <w:rFonts w:hint="eastAsia" w:ascii="仿宋_GB2312" w:hAnsi="仿宋_GB2312" w:eastAsia="仿宋_GB2312" w:cs="仿宋_GB2312"/>
          <w:color w:val="auto"/>
          <w:kern w:val="2"/>
          <w:sz w:val="32"/>
          <w:szCs w:val="32"/>
          <w:highlight w:val="none"/>
          <w:lang w:val="en-US" w:eastAsia="zh-CN" w:bidi="ar-SA"/>
        </w:rPr>
        <w:t>1人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6.社会保障和就业支出（类）行政事业单位养老支出（款）机关事业单位职业年金缴费支出（项）:支出决算数为13.01万元，比上年决算增加13.01万元，增长100%，主要原因是：</w:t>
      </w:r>
      <w:r>
        <w:rPr>
          <w:rFonts w:hint="eastAsia" w:ascii="仿宋_GB2312" w:hAnsi="仿宋_GB2312" w:eastAsia="仿宋_GB2312" w:cs="仿宋_GB2312"/>
          <w:color w:val="auto"/>
          <w:kern w:val="2"/>
          <w:sz w:val="32"/>
          <w:szCs w:val="32"/>
          <w:highlight w:val="none"/>
          <w:lang w:val="zh-CN" w:eastAsia="zh-CN" w:bidi="ar-SA"/>
        </w:rPr>
        <w:t>退休人数比上年增加</w:t>
      </w:r>
      <w:r>
        <w:rPr>
          <w:rFonts w:hint="eastAsia" w:ascii="仿宋_GB2312" w:hAnsi="仿宋_GB2312" w:eastAsia="仿宋_GB2312" w:cs="仿宋_GB2312"/>
          <w:color w:val="auto"/>
          <w:kern w:val="2"/>
          <w:sz w:val="32"/>
          <w:szCs w:val="32"/>
          <w:highlight w:val="none"/>
          <w:lang w:val="en-US" w:eastAsia="zh-CN" w:bidi="ar-SA"/>
        </w:rPr>
        <w:t>2人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4.64万元，比上年决算增加0.23万元，增长5.22%，主要原因是：2022年行政事业人员支出统一核算，2023年行政事业人员支出分开核算，2023年行政单位养老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事业单位离退休（项）:支出决算数为0.00万元，比上年决算减少0.48万元，下降100%，主要原因是：2022年有事业单位退休支出，2023年全部为行政单位退休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69.78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68.19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1.59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办公费、培训费、工会经费。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宋体" w:eastAsia="仿宋_GB2312" w:cs="宋体"/>
          <w:kern w:val="0"/>
          <w:sz w:val="32"/>
          <w:szCs w:val="32"/>
        </w:rPr>
        <w:t>我单位</w:t>
      </w:r>
      <w:r>
        <w:rPr>
          <w:rFonts w:hint="eastAsia" w:ascii="仿宋_GB2312" w:hAnsi="宋体" w:eastAsia="仿宋_GB2312" w:cs="宋体"/>
          <w:kern w:val="0"/>
          <w:sz w:val="32"/>
          <w:szCs w:val="32"/>
          <w:lang w:eastAsia="zh-CN"/>
        </w:rPr>
        <w:t>预算未安排</w:t>
      </w:r>
      <w:r>
        <w:rPr>
          <w:rFonts w:hint="eastAsia" w:ascii="仿宋_GB2312" w:eastAsia="仿宋_GB2312"/>
          <w:color w:val="auto"/>
          <w:sz w:val="32"/>
          <w:szCs w:val="32"/>
          <w:highlight w:val="none"/>
          <w:lang w:val="zh-CN" w:eastAsia="zh-CN"/>
        </w:rPr>
        <w:t>“三公”经费支出。其中：因公出国（境）费支出0.00万元，占0.00%，比上年增加0.00万元，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宋体" w:eastAsia="仿宋_GB2312" w:cs="宋体"/>
          <w:kern w:val="0"/>
          <w:sz w:val="32"/>
          <w:szCs w:val="32"/>
        </w:rPr>
        <w:t>我单位</w:t>
      </w:r>
      <w:r>
        <w:rPr>
          <w:rFonts w:hint="eastAsia" w:ascii="仿宋_GB2312" w:hAnsi="宋体" w:eastAsia="仿宋_GB2312" w:cs="宋体"/>
          <w:kern w:val="0"/>
          <w:sz w:val="32"/>
          <w:szCs w:val="32"/>
          <w:lang w:eastAsia="zh-CN"/>
        </w:rPr>
        <w:t>未安排</w:t>
      </w:r>
      <w:r>
        <w:rPr>
          <w:rFonts w:hint="eastAsia" w:ascii="仿宋_GB2312" w:eastAsia="仿宋_GB2312"/>
          <w:color w:val="auto"/>
          <w:sz w:val="32"/>
          <w:szCs w:val="32"/>
          <w:highlight w:val="none"/>
          <w:lang w:val="zh-CN" w:eastAsia="zh-CN"/>
        </w:rPr>
        <w:t>因公出国（境）费。公务用车购置及运行维护费支出0.00万元，占0.00%，比上年增加0.00万元，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宋体" w:eastAsia="仿宋_GB2312" w:cs="宋体"/>
          <w:kern w:val="0"/>
          <w:sz w:val="32"/>
          <w:szCs w:val="32"/>
        </w:rPr>
        <w:t>我单位</w:t>
      </w:r>
      <w:r>
        <w:rPr>
          <w:rFonts w:hint="eastAsia" w:ascii="仿宋_GB2312" w:hAnsi="宋体" w:eastAsia="仿宋_GB2312" w:cs="宋体"/>
          <w:kern w:val="0"/>
          <w:sz w:val="32"/>
          <w:szCs w:val="32"/>
          <w:lang w:eastAsia="zh-CN"/>
        </w:rPr>
        <w:t>未安排</w:t>
      </w:r>
      <w:r>
        <w:rPr>
          <w:rFonts w:hint="eastAsia" w:ascii="仿宋_GB2312" w:eastAsia="仿宋_GB2312"/>
          <w:color w:val="auto"/>
          <w:sz w:val="32"/>
          <w:szCs w:val="32"/>
          <w:highlight w:val="none"/>
          <w:lang w:val="zh-CN" w:eastAsia="zh-CN"/>
        </w:rPr>
        <w:t>公务用车购置及运行维护费；公务用车购置费0.00万元，公务用车运行维护费0.00万元。公务用车购置数0辆，公务用车保有量0辆。公务接待费支出0.00万元，占0.00%，比上年增加0.00万元，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宋体" w:eastAsia="仿宋_GB2312" w:cs="宋体"/>
          <w:kern w:val="0"/>
          <w:sz w:val="32"/>
          <w:szCs w:val="32"/>
        </w:rPr>
        <w:t>我单位</w:t>
      </w:r>
      <w:r>
        <w:rPr>
          <w:rFonts w:hint="eastAsia" w:ascii="仿宋_GB2312" w:hAnsi="宋体" w:eastAsia="仿宋_GB2312" w:cs="宋体"/>
          <w:kern w:val="0"/>
          <w:sz w:val="32"/>
          <w:szCs w:val="32"/>
          <w:lang w:eastAsia="zh-CN"/>
        </w:rPr>
        <w:t>未安排</w:t>
      </w:r>
      <w:r>
        <w:rPr>
          <w:rFonts w:hint="eastAsia" w:ascii="仿宋_GB2312" w:eastAsia="仿宋_GB2312"/>
          <w:color w:val="auto"/>
          <w:sz w:val="32"/>
          <w:szCs w:val="32"/>
          <w:highlight w:val="none"/>
          <w:lang w:val="zh-CN" w:eastAsia="zh-CN"/>
        </w:rPr>
        <w:t>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hAnsi="宋体" w:eastAsia="仿宋_GB2312" w:cs="宋体"/>
          <w:kern w:val="0"/>
          <w:sz w:val="32"/>
          <w:szCs w:val="32"/>
        </w:rPr>
        <w:t>我</w:t>
      </w:r>
      <w:r>
        <w:rPr>
          <w:rFonts w:hint="eastAsia" w:ascii="仿宋_GB2312" w:hAnsi="宋体" w:eastAsia="仿宋_GB2312" w:cs="宋体"/>
          <w:kern w:val="0"/>
          <w:sz w:val="32"/>
          <w:szCs w:val="32"/>
          <w:lang w:eastAsia="zh-CN"/>
        </w:rPr>
        <w:t>单位无</w:t>
      </w:r>
      <w:r>
        <w:rPr>
          <w:rFonts w:hint="eastAsia" w:ascii="仿宋_GB2312" w:eastAsia="仿宋_GB2312"/>
          <w:color w:val="auto"/>
          <w:sz w:val="32"/>
          <w:szCs w:val="32"/>
          <w:highlight w:val="none"/>
          <w:lang w:val="zh-CN" w:eastAsia="zh-CN"/>
        </w:rPr>
        <w:t>“三公”经费支出。单位全年安排的因公出国（境）团组0个，因公出国（境）0人次。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hAnsi="宋体" w:eastAsia="仿宋_GB2312" w:cs="宋体"/>
          <w:kern w:val="0"/>
          <w:sz w:val="32"/>
          <w:szCs w:val="32"/>
        </w:rPr>
        <w:t>我</w:t>
      </w:r>
      <w:r>
        <w:rPr>
          <w:rFonts w:hint="eastAsia" w:ascii="仿宋_GB2312" w:hAnsi="宋体" w:eastAsia="仿宋_GB2312" w:cs="宋体"/>
          <w:kern w:val="0"/>
          <w:sz w:val="32"/>
          <w:szCs w:val="32"/>
          <w:lang w:eastAsia="zh-CN"/>
        </w:rPr>
        <w:t>该单位无</w:t>
      </w:r>
      <w:r>
        <w:rPr>
          <w:rFonts w:hint="eastAsia" w:ascii="仿宋_GB2312" w:eastAsia="仿宋_GB2312"/>
          <w:color w:val="auto"/>
          <w:sz w:val="32"/>
          <w:szCs w:val="32"/>
          <w:highlight w:val="none"/>
          <w:lang w:val="zh-CN" w:eastAsia="zh-CN"/>
        </w:rPr>
        <w:t>公务用车购置及运行维护费。公务用车购置数0辆，公务用车保有量0辆。国有资产占用情况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公务接待费0.00万元，开支内容包括：我该单位无公务接待费。单位全年安排的国内公务接待0批次，0人次。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0.00万元，决算数0.00万元，预决算差异率0.00%，主要原因是：财政拨款“三公”经费支出预算数和决算数无变化，预决算无差异；公务用车购置费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预算数0.00万元，决算数0.00万元，预决算差异率0.00%，主要原因是：我单位公务接待费预算数和决算数无变化，预决算无差异。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沙湾市红十字会（行政单位和参照公务员法管理事业单位）机关运行经费支出1.59万元，</w:t>
      </w:r>
      <w:r>
        <w:rPr>
          <w:rFonts w:hint="eastAsia" w:ascii="仿宋_GB2312" w:hAnsi="仿宋_GB2312" w:eastAsia="仿宋_GB2312" w:cs="仿宋_GB2312"/>
          <w:color w:val="auto"/>
          <w:sz w:val="32"/>
          <w:szCs w:val="32"/>
          <w:highlight w:val="none"/>
          <w:lang w:val="zh-CN" w:eastAsia="zh-CN"/>
        </w:rPr>
        <w:t>比上年增加0.09万元，增长6.00%，主要原因是：</w:t>
      </w:r>
      <w:r>
        <w:rPr>
          <w:rFonts w:hint="eastAsia" w:ascii="仿宋_GB2312" w:hAnsi="仿宋_GB2312" w:eastAsia="仿宋_GB2312" w:cs="仿宋_GB2312"/>
          <w:color w:val="auto"/>
          <w:sz w:val="32"/>
          <w:szCs w:val="32"/>
          <w:highlight w:val="none"/>
          <w:lang w:val="en-US" w:eastAsia="zh-CN"/>
        </w:rPr>
        <w:t>2023年有工会经费支出，2022年没有工会经费支出</w:t>
      </w:r>
      <w:bookmarkStart w:id="49" w:name="_GoBack"/>
      <w:bookmarkEnd w:id="49"/>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zh-CN" w:eastAsia="zh-CN"/>
        </w:rPr>
      </w:pPr>
      <w:bookmarkStart w:id="26" w:name="_Toc4591"/>
      <w:bookmarkStart w:id="27" w:name="_Toc8391"/>
      <w:r>
        <w:rPr>
          <w:rFonts w:hint="eastAsia" w:ascii="黑体" w:hAnsi="黑体" w:eastAsia="黑体" w:cs="宋体"/>
          <w:bCs/>
          <w:color w:val="auto"/>
          <w:kern w:val="0"/>
          <w:sz w:val="32"/>
          <w:szCs w:val="32"/>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2.80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1个</w:t>
      </w:r>
      <w:r>
        <w:rPr>
          <w:rFonts w:hint="eastAsia" w:ascii="仿宋_GB2312" w:hAnsi="仿宋_GB2312" w:eastAsia="仿宋_GB2312" w:cs="仿宋_GB2312"/>
          <w:color w:val="auto"/>
          <w:kern w:val="0"/>
          <w:sz w:val="32"/>
          <w:szCs w:val="32"/>
          <w:highlight w:val="none"/>
          <w:lang w:val="en-US" w:eastAsia="zh-CN"/>
        </w:rPr>
        <w:t>，全年</w:t>
      </w:r>
      <w:r>
        <w:rPr>
          <w:rFonts w:hint="eastAsia" w:ascii="仿宋_GB2312" w:eastAsia="仿宋_GB2312"/>
          <w:color w:val="auto"/>
          <w:sz w:val="32"/>
          <w:szCs w:val="32"/>
          <w:highlight w:val="none"/>
          <w:lang w:val="en-US" w:eastAsia="zh-CN"/>
        </w:rPr>
        <w:t>预算总额69.78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实际执行总额69.78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预算绩效管理取得的成效：一是绩效项目的实施，确保项目正常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致化管理来保障资金使用的合规、合法性，并据此分析各类资金支出产生的效益，使本单位的绩效监控工作上一个新台阶。</w:t>
      </w:r>
      <w:r>
        <w:rPr>
          <w:rFonts w:hint="eastAsia" w:ascii="仿宋_GB2312" w:eastAsia="仿宋_GB2312"/>
          <w:color w:val="auto"/>
          <w:sz w:val="32"/>
          <w:szCs w:val="32"/>
          <w:highlight w:val="none"/>
          <w:lang w:eastAsia="zh-CN"/>
        </w:rPr>
        <w:t>无预算绩效评价项目。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bookmarkStart w:id="30" w:name="OLE_LINK1"/>
      <w:r>
        <w:rPr>
          <w:rFonts w:hint="eastAsia" w:ascii="仿宋_GB2312" w:hAnsi="仿宋_GB2312" w:eastAsia="仿宋_GB2312" w:cs="仿宋_GB2312"/>
          <w:color w:val="auto"/>
          <w:kern w:val="0"/>
          <w:sz w:val="32"/>
          <w:szCs w:val="32"/>
          <w:highlight w:val="none"/>
          <w:lang w:val="en-US" w:eastAsia="zh-CN"/>
        </w:rPr>
        <w:t>本该单位无政府采购货物、服务、工程，故</w:t>
      </w:r>
      <w:r>
        <w:rPr>
          <w:rFonts w:hint="eastAsia" w:ascii="仿宋_GB2312" w:hAnsi="仿宋_GB2312" w:eastAsia="仿宋_GB2312" w:cs="仿宋_GB2312"/>
          <w:color w:val="auto"/>
          <w:sz w:val="32"/>
          <w:szCs w:val="32"/>
          <w:highlight w:val="none"/>
          <w:lang w:val="zh-CN" w:eastAsia="zh-CN"/>
        </w:rPr>
        <w:t>授予小微企业合同金额为</w:t>
      </w:r>
      <w:r>
        <w:rPr>
          <w:rFonts w:hint="eastAsia" w:ascii="仿宋_GB2312" w:hAnsi="仿宋_GB2312" w:eastAsia="仿宋_GB2312" w:cs="仿宋_GB2312"/>
          <w:color w:val="auto"/>
          <w:sz w:val="32"/>
          <w:szCs w:val="32"/>
          <w:highlight w:val="none"/>
          <w:lang w:val="en-US" w:eastAsia="zh-CN"/>
        </w:rPr>
        <w:t>0。</w:t>
      </w:r>
    </w:p>
    <w:bookmarkEnd w:id="30"/>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1" w:name="_Toc24143"/>
      <w:bookmarkStart w:id="32"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1"/>
      <w:bookmarkEnd w:id="32"/>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3" w:name="_Toc6062"/>
      <w:bookmarkStart w:id="34" w:name="_Toc2183"/>
      <w:r>
        <w:rPr>
          <w:rFonts w:hint="eastAsia" w:ascii="黑体" w:hAnsi="黑体" w:eastAsia="仿宋_GB2312" w:cs="宋体"/>
          <w:bCs/>
          <w:color w:val="auto"/>
          <w:kern w:val="0"/>
          <w:sz w:val="32"/>
          <w:szCs w:val="32"/>
          <w:highlight w:val="none"/>
        </w:rPr>
        <w:t>一、《收入支出决算总表》</w:t>
      </w:r>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30364"/>
      <w:bookmarkStart w:id="36" w:name="_Toc24532"/>
      <w:r>
        <w:rPr>
          <w:rFonts w:hint="eastAsia" w:ascii="黑体" w:hAnsi="黑体" w:eastAsia="仿宋_GB2312" w:cs="宋体"/>
          <w:bCs/>
          <w:color w:val="auto"/>
          <w:kern w:val="0"/>
          <w:sz w:val="32"/>
          <w:szCs w:val="32"/>
          <w:highlight w:val="none"/>
        </w:rPr>
        <w:t>二、《收入决算表》</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32434"/>
      <w:bookmarkStart w:id="38" w:name="_Toc21304"/>
      <w:r>
        <w:rPr>
          <w:rFonts w:hint="eastAsia" w:ascii="黑体" w:hAnsi="黑体" w:eastAsia="仿宋_GB2312" w:cs="宋体"/>
          <w:bCs/>
          <w:color w:val="auto"/>
          <w:kern w:val="0"/>
          <w:sz w:val="32"/>
          <w:szCs w:val="32"/>
          <w:highlight w:val="none"/>
        </w:rPr>
        <w:t>三、《支出决算表》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28786"/>
      <w:bookmarkStart w:id="40" w:name="_Toc14238"/>
      <w:r>
        <w:rPr>
          <w:rFonts w:hint="eastAsia" w:ascii="黑体" w:hAnsi="黑体" w:eastAsia="仿宋_GB2312" w:cs="宋体"/>
          <w:bCs/>
          <w:color w:val="auto"/>
          <w:kern w:val="0"/>
          <w:sz w:val="32"/>
          <w:szCs w:val="32"/>
          <w:highlight w:val="none"/>
        </w:rPr>
        <w:t>四、《财政拨款收入支出决算总表》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0347"/>
      <w:bookmarkStart w:id="42" w:name="_Toc14869"/>
      <w:r>
        <w:rPr>
          <w:rFonts w:hint="eastAsia" w:ascii="黑体" w:hAnsi="黑体" w:eastAsia="仿宋_GB2312" w:cs="宋体"/>
          <w:bCs/>
          <w:color w:val="auto"/>
          <w:kern w:val="0"/>
          <w:sz w:val="32"/>
          <w:szCs w:val="32"/>
          <w:highlight w:val="none"/>
        </w:rPr>
        <w:t>五、《一般公共预算财政拨款支出决算表》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5626"/>
      <w:bookmarkStart w:id="44" w:name="_Toc8884"/>
      <w:r>
        <w:rPr>
          <w:rFonts w:hint="eastAsia" w:ascii="黑体" w:hAnsi="黑体" w:eastAsia="仿宋_GB2312" w:cs="宋体"/>
          <w:bCs/>
          <w:color w:val="auto"/>
          <w:kern w:val="0"/>
          <w:sz w:val="32"/>
          <w:szCs w:val="32"/>
          <w:highlight w:val="none"/>
        </w:rPr>
        <w:t>六、《一般公共预算财政拨款基本支出决算表》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5" w:name="_Toc32663"/>
      <w:bookmarkStart w:id="46" w:name="_Toc29106"/>
      <w:r>
        <w:rPr>
          <w:rFonts w:hint="eastAsia" w:ascii="黑体" w:hAnsi="黑体" w:eastAsia="仿宋_GB2312" w:cs="宋体"/>
          <w:bCs/>
          <w:color w:val="auto"/>
          <w:kern w:val="0"/>
          <w:sz w:val="32"/>
          <w:szCs w:val="32"/>
          <w:highlight w:val="none"/>
        </w:rPr>
        <w:t>《财政拨款“三公”经费支出决算表》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5453"/>
      <w:bookmarkStart w:id="48" w:name="_Toc7643"/>
      <w:r>
        <w:rPr>
          <w:rFonts w:hint="eastAsia" w:ascii="黑体" w:hAnsi="黑体" w:eastAsia="仿宋_GB2312" w:cs="宋体"/>
          <w:bCs/>
          <w:color w:val="auto"/>
          <w:kern w:val="0"/>
          <w:sz w:val="32"/>
          <w:szCs w:val="32"/>
          <w:highlight w:val="none"/>
        </w:rPr>
        <w:t>八、《政府性基金预算财政拨款收入支出决算表》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EE41E0"/>
    <w:rsid w:val="02F73D26"/>
    <w:rsid w:val="034D4FEF"/>
    <w:rsid w:val="035902A1"/>
    <w:rsid w:val="035D1785"/>
    <w:rsid w:val="03950487"/>
    <w:rsid w:val="039F47CE"/>
    <w:rsid w:val="03BD5310"/>
    <w:rsid w:val="03E05CE8"/>
    <w:rsid w:val="03F973EE"/>
    <w:rsid w:val="041C116F"/>
    <w:rsid w:val="043E5B56"/>
    <w:rsid w:val="04C04386"/>
    <w:rsid w:val="04D1736D"/>
    <w:rsid w:val="04D96608"/>
    <w:rsid w:val="04F210E4"/>
    <w:rsid w:val="04FA68C4"/>
    <w:rsid w:val="05325C8E"/>
    <w:rsid w:val="053F5AE6"/>
    <w:rsid w:val="055C5ADD"/>
    <w:rsid w:val="057C0B0F"/>
    <w:rsid w:val="05EF4B48"/>
    <w:rsid w:val="05F76ECA"/>
    <w:rsid w:val="06183A24"/>
    <w:rsid w:val="06792773"/>
    <w:rsid w:val="06CB678E"/>
    <w:rsid w:val="06FD75CA"/>
    <w:rsid w:val="07093795"/>
    <w:rsid w:val="07804730"/>
    <w:rsid w:val="079052BE"/>
    <w:rsid w:val="07A57DA5"/>
    <w:rsid w:val="08145C21"/>
    <w:rsid w:val="08422688"/>
    <w:rsid w:val="085854ED"/>
    <w:rsid w:val="0879188F"/>
    <w:rsid w:val="08A0354D"/>
    <w:rsid w:val="08CD4C49"/>
    <w:rsid w:val="09114954"/>
    <w:rsid w:val="095A5B83"/>
    <w:rsid w:val="095F4CD6"/>
    <w:rsid w:val="096466E3"/>
    <w:rsid w:val="0968304D"/>
    <w:rsid w:val="09AF3D17"/>
    <w:rsid w:val="0A7809B7"/>
    <w:rsid w:val="0A7B4867"/>
    <w:rsid w:val="0A840954"/>
    <w:rsid w:val="0A9928ED"/>
    <w:rsid w:val="0B61769D"/>
    <w:rsid w:val="0B8C3ECC"/>
    <w:rsid w:val="0B9C639D"/>
    <w:rsid w:val="0BB052B2"/>
    <w:rsid w:val="0BD33FFC"/>
    <w:rsid w:val="0BE4663E"/>
    <w:rsid w:val="0BE97AC1"/>
    <w:rsid w:val="0C1C4780"/>
    <w:rsid w:val="0C3613A3"/>
    <w:rsid w:val="0C5C1C37"/>
    <w:rsid w:val="0C5E519C"/>
    <w:rsid w:val="0C5F78FA"/>
    <w:rsid w:val="0C72081C"/>
    <w:rsid w:val="0C7227A7"/>
    <w:rsid w:val="0C966D95"/>
    <w:rsid w:val="0CA52EE8"/>
    <w:rsid w:val="0CBD6988"/>
    <w:rsid w:val="0CD208AC"/>
    <w:rsid w:val="0D172DAA"/>
    <w:rsid w:val="0D4903E8"/>
    <w:rsid w:val="0D7A4A46"/>
    <w:rsid w:val="0E280E74"/>
    <w:rsid w:val="0E4F1945"/>
    <w:rsid w:val="0E640559"/>
    <w:rsid w:val="0F1113DA"/>
    <w:rsid w:val="0F414CAD"/>
    <w:rsid w:val="0F655996"/>
    <w:rsid w:val="0F78534A"/>
    <w:rsid w:val="0F89358A"/>
    <w:rsid w:val="0F8C6D51"/>
    <w:rsid w:val="105B0B5E"/>
    <w:rsid w:val="10C116A4"/>
    <w:rsid w:val="1119000B"/>
    <w:rsid w:val="112E58D0"/>
    <w:rsid w:val="11731CAC"/>
    <w:rsid w:val="119500A0"/>
    <w:rsid w:val="11C0733B"/>
    <w:rsid w:val="11D50D17"/>
    <w:rsid w:val="120E0809"/>
    <w:rsid w:val="1241742F"/>
    <w:rsid w:val="127F665A"/>
    <w:rsid w:val="12F7068C"/>
    <w:rsid w:val="13512919"/>
    <w:rsid w:val="141E5384"/>
    <w:rsid w:val="14207DC0"/>
    <w:rsid w:val="14B932DA"/>
    <w:rsid w:val="150A66AF"/>
    <w:rsid w:val="154C1139"/>
    <w:rsid w:val="158C5B77"/>
    <w:rsid w:val="160D1149"/>
    <w:rsid w:val="163563C0"/>
    <w:rsid w:val="164315EF"/>
    <w:rsid w:val="16557DFE"/>
    <w:rsid w:val="167268FB"/>
    <w:rsid w:val="16770D0A"/>
    <w:rsid w:val="169A0039"/>
    <w:rsid w:val="16D50C50"/>
    <w:rsid w:val="16E120E1"/>
    <w:rsid w:val="16F6451B"/>
    <w:rsid w:val="17385A05"/>
    <w:rsid w:val="173B3901"/>
    <w:rsid w:val="176747F9"/>
    <w:rsid w:val="17954A6E"/>
    <w:rsid w:val="17BE2C86"/>
    <w:rsid w:val="180059E9"/>
    <w:rsid w:val="184510FD"/>
    <w:rsid w:val="190648B0"/>
    <w:rsid w:val="19071D6C"/>
    <w:rsid w:val="19D26CD4"/>
    <w:rsid w:val="19E60D19"/>
    <w:rsid w:val="1A3E3450"/>
    <w:rsid w:val="1A5F0579"/>
    <w:rsid w:val="1AD807E5"/>
    <w:rsid w:val="1B39345B"/>
    <w:rsid w:val="1BC16115"/>
    <w:rsid w:val="1BFB2A1F"/>
    <w:rsid w:val="1C015D4A"/>
    <w:rsid w:val="1C290ED5"/>
    <w:rsid w:val="1C317E4F"/>
    <w:rsid w:val="1C472464"/>
    <w:rsid w:val="1C9E026D"/>
    <w:rsid w:val="1D22799A"/>
    <w:rsid w:val="1D5C1A72"/>
    <w:rsid w:val="1DAF458D"/>
    <w:rsid w:val="1E086ACE"/>
    <w:rsid w:val="1E62130A"/>
    <w:rsid w:val="1E97358B"/>
    <w:rsid w:val="1EAA4A5F"/>
    <w:rsid w:val="1EE869A7"/>
    <w:rsid w:val="1F3F37CF"/>
    <w:rsid w:val="1FA15E62"/>
    <w:rsid w:val="1FED69B6"/>
    <w:rsid w:val="202F26C1"/>
    <w:rsid w:val="2064678E"/>
    <w:rsid w:val="20DC1AB9"/>
    <w:rsid w:val="20DD6197"/>
    <w:rsid w:val="212631E0"/>
    <w:rsid w:val="2138666F"/>
    <w:rsid w:val="214F3477"/>
    <w:rsid w:val="21742080"/>
    <w:rsid w:val="21A53757"/>
    <w:rsid w:val="21F879E1"/>
    <w:rsid w:val="221236C6"/>
    <w:rsid w:val="22D7662C"/>
    <w:rsid w:val="23326B7F"/>
    <w:rsid w:val="2380045B"/>
    <w:rsid w:val="23BC04D2"/>
    <w:rsid w:val="23E32B79"/>
    <w:rsid w:val="23EF1892"/>
    <w:rsid w:val="23F634F5"/>
    <w:rsid w:val="2483647E"/>
    <w:rsid w:val="24A32D55"/>
    <w:rsid w:val="24CE6D9A"/>
    <w:rsid w:val="25292727"/>
    <w:rsid w:val="252E5CA9"/>
    <w:rsid w:val="256F7692"/>
    <w:rsid w:val="25BA2154"/>
    <w:rsid w:val="25C8773F"/>
    <w:rsid w:val="26235823"/>
    <w:rsid w:val="264A7253"/>
    <w:rsid w:val="26F0170C"/>
    <w:rsid w:val="26FE3B9A"/>
    <w:rsid w:val="27201D62"/>
    <w:rsid w:val="27286E73"/>
    <w:rsid w:val="279C425B"/>
    <w:rsid w:val="27A45A4C"/>
    <w:rsid w:val="27CF2642"/>
    <w:rsid w:val="27E777F5"/>
    <w:rsid w:val="27EA1D4C"/>
    <w:rsid w:val="27EA2E41"/>
    <w:rsid w:val="282459E2"/>
    <w:rsid w:val="283A7FE5"/>
    <w:rsid w:val="285F51FF"/>
    <w:rsid w:val="28DA4193"/>
    <w:rsid w:val="28DF2665"/>
    <w:rsid w:val="28E14E72"/>
    <w:rsid w:val="29072599"/>
    <w:rsid w:val="291029F3"/>
    <w:rsid w:val="29CB58F0"/>
    <w:rsid w:val="29EA0A71"/>
    <w:rsid w:val="2A053397"/>
    <w:rsid w:val="2A0742C6"/>
    <w:rsid w:val="2A145E96"/>
    <w:rsid w:val="2A2131BB"/>
    <w:rsid w:val="2A4A5776"/>
    <w:rsid w:val="2A956E93"/>
    <w:rsid w:val="2AE442A8"/>
    <w:rsid w:val="2AF307CC"/>
    <w:rsid w:val="2AF5378F"/>
    <w:rsid w:val="2BB94DBF"/>
    <w:rsid w:val="2BF37410"/>
    <w:rsid w:val="2C6F314E"/>
    <w:rsid w:val="2CB300CB"/>
    <w:rsid w:val="2CC206BE"/>
    <w:rsid w:val="2D1136DF"/>
    <w:rsid w:val="2D20606D"/>
    <w:rsid w:val="2D6729FE"/>
    <w:rsid w:val="2DA764F4"/>
    <w:rsid w:val="2DB87198"/>
    <w:rsid w:val="2DB93C54"/>
    <w:rsid w:val="2DCC5061"/>
    <w:rsid w:val="2DD824C1"/>
    <w:rsid w:val="2E3D144C"/>
    <w:rsid w:val="2E891204"/>
    <w:rsid w:val="2F3F0A28"/>
    <w:rsid w:val="2FBF7029"/>
    <w:rsid w:val="2FD0187F"/>
    <w:rsid w:val="2FD27414"/>
    <w:rsid w:val="2FFE4BB0"/>
    <w:rsid w:val="300E7B60"/>
    <w:rsid w:val="300F6E18"/>
    <w:rsid w:val="30862F5F"/>
    <w:rsid w:val="30A4775A"/>
    <w:rsid w:val="30EA5ABD"/>
    <w:rsid w:val="314029C9"/>
    <w:rsid w:val="31C63837"/>
    <w:rsid w:val="31C82E39"/>
    <w:rsid w:val="32253A87"/>
    <w:rsid w:val="32601BAD"/>
    <w:rsid w:val="329F6389"/>
    <w:rsid w:val="3389023A"/>
    <w:rsid w:val="33CB74FA"/>
    <w:rsid w:val="33F459B6"/>
    <w:rsid w:val="343642F2"/>
    <w:rsid w:val="343F3010"/>
    <w:rsid w:val="345D0A00"/>
    <w:rsid w:val="34713BFD"/>
    <w:rsid w:val="34C13589"/>
    <w:rsid w:val="353369E3"/>
    <w:rsid w:val="35B21E0B"/>
    <w:rsid w:val="35E00D72"/>
    <w:rsid w:val="36965B9D"/>
    <w:rsid w:val="369F7667"/>
    <w:rsid w:val="36A33226"/>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07288D"/>
    <w:rsid w:val="3C242659"/>
    <w:rsid w:val="3C96719C"/>
    <w:rsid w:val="3CA72BE8"/>
    <w:rsid w:val="3CDC1E1E"/>
    <w:rsid w:val="3CF37F8C"/>
    <w:rsid w:val="3D137554"/>
    <w:rsid w:val="3D5275AC"/>
    <w:rsid w:val="3DCC2473"/>
    <w:rsid w:val="3DEB0883"/>
    <w:rsid w:val="3E0A128E"/>
    <w:rsid w:val="3E2527BF"/>
    <w:rsid w:val="3E70484C"/>
    <w:rsid w:val="3E731662"/>
    <w:rsid w:val="3E8168DD"/>
    <w:rsid w:val="3EA7725F"/>
    <w:rsid w:val="3EB03713"/>
    <w:rsid w:val="3EBF1A11"/>
    <w:rsid w:val="3EC52607"/>
    <w:rsid w:val="3EEC6CEF"/>
    <w:rsid w:val="3F183429"/>
    <w:rsid w:val="3FB77A1D"/>
    <w:rsid w:val="3FDC3674"/>
    <w:rsid w:val="3FED7F8A"/>
    <w:rsid w:val="40094AEF"/>
    <w:rsid w:val="401309B6"/>
    <w:rsid w:val="405470BD"/>
    <w:rsid w:val="40794A29"/>
    <w:rsid w:val="40834692"/>
    <w:rsid w:val="40A51472"/>
    <w:rsid w:val="41431AD5"/>
    <w:rsid w:val="414B3C0F"/>
    <w:rsid w:val="417C1CE7"/>
    <w:rsid w:val="41837C0C"/>
    <w:rsid w:val="41900018"/>
    <w:rsid w:val="41944406"/>
    <w:rsid w:val="41CE128F"/>
    <w:rsid w:val="41DA6F12"/>
    <w:rsid w:val="42045698"/>
    <w:rsid w:val="42171FB1"/>
    <w:rsid w:val="427409B6"/>
    <w:rsid w:val="42C10D7B"/>
    <w:rsid w:val="434E6957"/>
    <w:rsid w:val="43BA0E31"/>
    <w:rsid w:val="43C15147"/>
    <w:rsid w:val="43E14DD2"/>
    <w:rsid w:val="43F800E9"/>
    <w:rsid w:val="443A7E4B"/>
    <w:rsid w:val="444A7D08"/>
    <w:rsid w:val="44737870"/>
    <w:rsid w:val="448377E4"/>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9761305"/>
    <w:rsid w:val="4A0A26D2"/>
    <w:rsid w:val="4A2019A5"/>
    <w:rsid w:val="4A241A0B"/>
    <w:rsid w:val="4A422266"/>
    <w:rsid w:val="4A5C2BD7"/>
    <w:rsid w:val="4A7B2875"/>
    <w:rsid w:val="4A934476"/>
    <w:rsid w:val="4AAA220A"/>
    <w:rsid w:val="4AE12E67"/>
    <w:rsid w:val="4B4C0111"/>
    <w:rsid w:val="4B8553A9"/>
    <w:rsid w:val="4BDB3730"/>
    <w:rsid w:val="4C200F7A"/>
    <w:rsid w:val="4C934582"/>
    <w:rsid w:val="4CEE3180"/>
    <w:rsid w:val="4D0F4AF6"/>
    <w:rsid w:val="4DCB717E"/>
    <w:rsid w:val="4DF94F37"/>
    <w:rsid w:val="4E0A1DD5"/>
    <w:rsid w:val="4E3160E5"/>
    <w:rsid w:val="4E4D37AF"/>
    <w:rsid w:val="4E8C6496"/>
    <w:rsid w:val="4EF74654"/>
    <w:rsid w:val="4EFD18DE"/>
    <w:rsid w:val="4EFE74AF"/>
    <w:rsid w:val="4F075836"/>
    <w:rsid w:val="4F144236"/>
    <w:rsid w:val="4F663C87"/>
    <w:rsid w:val="4F7E29A8"/>
    <w:rsid w:val="4F9E1FFC"/>
    <w:rsid w:val="50447CC2"/>
    <w:rsid w:val="50551B43"/>
    <w:rsid w:val="50874A7C"/>
    <w:rsid w:val="50895EE7"/>
    <w:rsid w:val="50921B9D"/>
    <w:rsid w:val="50D16158"/>
    <w:rsid w:val="50DB5F45"/>
    <w:rsid w:val="51025EB1"/>
    <w:rsid w:val="51141503"/>
    <w:rsid w:val="513C450E"/>
    <w:rsid w:val="518D0ED5"/>
    <w:rsid w:val="51F3397F"/>
    <w:rsid w:val="525C687F"/>
    <w:rsid w:val="52A3740A"/>
    <w:rsid w:val="52F647F7"/>
    <w:rsid w:val="52F92565"/>
    <w:rsid w:val="53AE735E"/>
    <w:rsid w:val="53D03877"/>
    <w:rsid w:val="542F73CA"/>
    <w:rsid w:val="5430786D"/>
    <w:rsid w:val="545A1D2A"/>
    <w:rsid w:val="54B7219E"/>
    <w:rsid w:val="54C811C0"/>
    <w:rsid w:val="556A442D"/>
    <w:rsid w:val="55DA564E"/>
    <w:rsid w:val="55E816A3"/>
    <w:rsid w:val="56017E3C"/>
    <w:rsid w:val="5604127D"/>
    <w:rsid w:val="56044E6C"/>
    <w:rsid w:val="56110EA5"/>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052368"/>
    <w:rsid w:val="591B41B2"/>
    <w:rsid w:val="59254A26"/>
    <w:rsid w:val="59326325"/>
    <w:rsid w:val="595C505B"/>
    <w:rsid w:val="595E55C3"/>
    <w:rsid w:val="596E7E20"/>
    <w:rsid w:val="5A5D23AA"/>
    <w:rsid w:val="5A60780B"/>
    <w:rsid w:val="5AB34579"/>
    <w:rsid w:val="5AB40E78"/>
    <w:rsid w:val="5AF80B40"/>
    <w:rsid w:val="5AFC6609"/>
    <w:rsid w:val="5B113480"/>
    <w:rsid w:val="5B4E7220"/>
    <w:rsid w:val="5BD456CE"/>
    <w:rsid w:val="5C0D1F49"/>
    <w:rsid w:val="5CBB0CE2"/>
    <w:rsid w:val="5CC17177"/>
    <w:rsid w:val="5CF306BC"/>
    <w:rsid w:val="5D245A54"/>
    <w:rsid w:val="5D3E28FE"/>
    <w:rsid w:val="5D3F3D64"/>
    <w:rsid w:val="5D833043"/>
    <w:rsid w:val="5DD92690"/>
    <w:rsid w:val="5DDB1CFD"/>
    <w:rsid w:val="5E7E6D93"/>
    <w:rsid w:val="5E82459B"/>
    <w:rsid w:val="5ED44800"/>
    <w:rsid w:val="5F154D4A"/>
    <w:rsid w:val="5F350BDE"/>
    <w:rsid w:val="5F61632C"/>
    <w:rsid w:val="5F676DD6"/>
    <w:rsid w:val="5FA17648"/>
    <w:rsid w:val="5FE705CB"/>
    <w:rsid w:val="6007714E"/>
    <w:rsid w:val="600C2C54"/>
    <w:rsid w:val="603D5080"/>
    <w:rsid w:val="606842D0"/>
    <w:rsid w:val="60D0261B"/>
    <w:rsid w:val="618E3791"/>
    <w:rsid w:val="61947DCA"/>
    <w:rsid w:val="61A46A97"/>
    <w:rsid w:val="61D1382F"/>
    <w:rsid w:val="61F114A2"/>
    <w:rsid w:val="622B0ABA"/>
    <w:rsid w:val="62512BB4"/>
    <w:rsid w:val="625D7D1A"/>
    <w:rsid w:val="62660469"/>
    <w:rsid w:val="62DD7D21"/>
    <w:rsid w:val="63445C14"/>
    <w:rsid w:val="637D586B"/>
    <w:rsid w:val="63A5560B"/>
    <w:rsid w:val="63E9091F"/>
    <w:rsid w:val="64322AF9"/>
    <w:rsid w:val="6443678C"/>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8A351A"/>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053507"/>
    <w:rsid w:val="7111480F"/>
    <w:rsid w:val="71261F49"/>
    <w:rsid w:val="712E6956"/>
    <w:rsid w:val="71473612"/>
    <w:rsid w:val="71504F32"/>
    <w:rsid w:val="7152309F"/>
    <w:rsid w:val="71791507"/>
    <w:rsid w:val="718F7F65"/>
    <w:rsid w:val="71DA6992"/>
    <w:rsid w:val="72311D5A"/>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C41B1A"/>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8AD57C5"/>
    <w:rsid w:val="790A6425"/>
    <w:rsid w:val="790E2D96"/>
    <w:rsid w:val="791B54B2"/>
    <w:rsid w:val="793C0F89"/>
    <w:rsid w:val="795A0A34"/>
    <w:rsid w:val="797339C3"/>
    <w:rsid w:val="79D57D57"/>
    <w:rsid w:val="79F00650"/>
    <w:rsid w:val="7A6242BF"/>
    <w:rsid w:val="7A794513"/>
    <w:rsid w:val="7A83692A"/>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54DEA"/>
    <w:rsid w:val="7E670C75"/>
    <w:rsid w:val="7EE24272"/>
    <w:rsid w:val="7EE423A1"/>
    <w:rsid w:val="7EEA6053"/>
    <w:rsid w:val="7F402631"/>
    <w:rsid w:val="7F487C04"/>
    <w:rsid w:val="7F611CBA"/>
    <w:rsid w:val="7F66160C"/>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13</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2024-11-22T03:52:38Z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