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B269A29">
      <w:pPr>
        <w:keepNext w:val="0"/>
        <w:keepLines w:val="0"/>
        <w:pageBreakBefore w:val="0"/>
        <w:widowControl w:val="0"/>
        <w:kinsoku/>
        <w:wordWrap/>
        <w:overflowPunct/>
        <w:topLinePunct w:val="0"/>
        <w:bidi w:val="0"/>
        <w:adjustRightInd/>
        <w:snapToGrid/>
        <w:spacing w:line="240" w:lineRule="auto"/>
        <w:textAlignment w:val="auto"/>
        <w:rPr>
          <w:rFonts w:ascii="黑体" w:hAnsi="黑体" w:eastAsia="黑体"/>
          <w:color w:val="auto"/>
          <w:sz w:val="32"/>
          <w:szCs w:val="32"/>
          <w:highlight w:val="none"/>
        </w:rPr>
      </w:pPr>
    </w:p>
    <w:p w14:paraId="43ADF559">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p>
    <w:p w14:paraId="0B22523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lang w:val="en-US" w:eastAsia="zh-CN"/>
        </w:rPr>
      </w:pPr>
      <w:r>
        <w:rPr>
          <w:rFonts w:hint="eastAsia" w:ascii="方正小标宋_GBK" w:hAnsi="宋体" w:eastAsia="方正小标宋_GBK"/>
          <w:color w:val="auto"/>
          <w:sz w:val="44"/>
          <w:szCs w:val="44"/>
          <w:highlight w:val="none"/>
          <w:lang w:val="en-US" w:eastAsia="zh-CN"/>
        </w:rPr>
        <w:t>沙湾市疾病预防控制中心</w:t>
      </w:r>
    </w:p>
    <w:p w14:paraId="3DEEA9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lang w:eastAsia="zh-CN"/>
        </w:rPr>
        <w:t xml:space="preserve"> 2023年度</w:t>
      </w:r>
      <w:r>
        <w:rPr>
          <w:rFonts w:hint="eastAsia" w:ascii="方正小标宋_GBK" w:hAnsi="宋体" w:eastAsia="方正小标宋_GBK"/>
          <w:color w:val="auto"/>
          <w:sz w:val="44"/>
          <w:szCs w:val="44"/>
          <w:highlight w:val="none"/>
        </w:rPr>
        <w:t>部门决算</w:t>
      </w:r>
    </w:p>
    <w:p w14:paraId="3369FD6A">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t>公开说明</w:t>
      </w:r>
    </w:p>
    <w:p w14:paraId="1969803E">
      <w:pPr>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br w:type="page"/>
      </w:r>
    </w:p>
    <w:p w14:paraId="3EB6DAD3">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color w:val="auto"/>
          <w:kern w:val="0"/>
          <w:sz w:val="32"/>
          <w:szCs w:val="32"/>
          <w:highlight w:val="none"/>
        </w:rPr>
      </w:pPr>
      <w:r>
        <w:rPr>
          <w:rFonts w:hint="eastAsia" w:ascii="仿宋_GB2312" w:hAnsi="仿宋_GB2312" w:eastAsia="仿宋_GB2312" w:cs="仿宋_GB2312"/>
          <w:b/>
          <w:bCs w:val="0"/>
          <w:color w:val="auto"/>
          <w:kern w:val="0"/>
          <w:sz w:val="36"/>
          <w:szCs w:val="36"/>
          <w:highlight w:val="none"/>
        </w:rPr>
        <w:t>目  录</w:t>
      </w:r>
    </w:p>
    <w:p w14:paraId="63E6D253">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TOC \o "1-3" \n  \h \u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_Toc32314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 xml:space="preserve">第一部分 </w:t>
      </w:r>
      <w:r>
        <w:rPr>
          <w:rFonts w:hint="eastAsia" w:ascii="仿宋_GB2312" w:hAnsi="仿宋_GB2312" w:eastAsia="仿宋_GB2312" w:cs="仿宋_GB2312"/>
          <w:b/>
          <w:bCs/>
          <w:color w:val="auto"/>
          <w:sz w:val="32"/>
          <w:szCs w:val="32"/>
          <w:highlight w:val="none"/>
          <w:lang w:eastAsia="zh-CN"/>
        </w:rPr>
        <w:t>单位</w:t>
      </w:r>
      <w:r>
        <w:rPr>
          <w:rFonts w:hint="eastAsia" w:ascii="仿宋_GB2312" w:hAnsi="仿宋_GB2312" w:eastAsia="仿宋_GB2312" w:cs="仿宋_GB2312"/>
          <w:b/>
          <w:bCs/>
          <w:color w:val="auto"/>
          <w:sz w:val="32"/>
          <w:szCs w:val="32"/>
          <w:highlight w:val="none"/>
        </w:rPr>
        <w:t>概况</w:t>
      </w:r>
      <w:r>
        <w:rPr>
          <w:rFonts w:hint="eastAsia" w:ascii="仿宋_GB2312" w:hAnsi="仿宋_GB2312" w:eastAsia="仿宋_GB2312" w:cs="仿宋_GB2312"/>
          <w:b/>
          <w:bCs/>
          <w:color w:val="auto"/>
          <w:sz w:val="32"/>
          <w:szCs w:val="32"/>
          <w:highlight w:val="none"/>
        </w:rPr>
        <w:fldChar w:fldCharType="end"/>
      </w:r>
    </w:p>
    <w:p w14:paraId="74492CFB">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_Toc30567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一、主要职能</w:t>
      </w:r>
      <w:r>
        <w:rPr>
          <w:rFonts w:hint="eastAsia" w:ascii="仿宋_GB2312" w:hAnsi="仿宋_GB2312" w:eastAsia="仿宋_GB2312" w:cs="仿宋_GB2312"/>
          <w:color w:val="auto"/>
          <w:sz w:val="32"/>
          <w:szCs w:val="32"/>
          <w:highlight w:val="none"/>
        </w:rPr>
        <w:fldChar w:fldCharType="end"/>
      </w:r>
    </w:p>
    <w:p w14:paraId="07C46C70">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二、机构设置</w:t>
      </w:r>
      <w:r>
        <w:rPr>
          <w:rFonts w:hint="eastAsia" w:ascii="仿宋_GB2312" w:hAnsi="仿宋_GB2312" w:eastAsia="仿宋_GB2312" w:cs="仿宋_GB2312"/>
          <w:bCs/>
          <w:color w:val="auto"/>
          <w:kern w:val="0"/>
          <w:sz w:val="32"/>
          <w:szCs w:val="32"/>
          <w:highlight w:val="none"/>
          <w:lang w:eastAsia="zh-CN"/>
        </w:rPr>
        <w:t>及人员</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color w:val="auto"/>
          <w:sz w:val="32"/>
          <w:szCs w:val="32"/>
          <w:highlight w:val="none"/>
        </w:rPr>
        <w:fldChar w:fldCharType="end"/>
      </w:r>
    </w:p>
    <w:p w14:paraId="3A247252">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_Toc29374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第二部分 部门决算情况说明</w:t>
      </w:r>
      <w:r>
        <w:rPr>
          <w:rFonts w:hint="eastAsia" w:ascii="仿宋_GB2312" w:hAnsi="仿宋_GB2312" w:eastAsia="仿宋_GB2312" w:cs="仿宋_GB2312"/>
          <w:b/>
          <w:bCs/>
          <w:color w:val="auto"/>
          <w:sz w:val="32"/>
          <w:szCs w:val="32"/>
          <w:highlight w:val="none"/>
        </w:rPr>
        <w:fldChar w:fldCharType="end"/>
      </w:r>
    </w:p>
    <w:p w14:paraId="1AE8DC89">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_Toc25314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一、收入支出决算总体情况说明</w:t>
      </w:r>
      <w:r>
        <w:rPr>
          <w:rFonts w:hint="eastAsia" w:ascii="仿宋_GB2312" w:hAnsi="仿宋_GB2312" w:eastAsia="仿宋_GB2312" w:cs="仿宋_GB2312"/>
          <w:color w:val="auto"/>
          <w:sz w:val="32"/>
          <w:szCs w:val="32"/>
          <w:highlight w:val="none"/>
        </w:rPr>
        <w:fldChar w:fldCharType="end"/>
      </w:r>
    </w:p>
    <w:p w14:paraId="1363EEBD">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_Toc12142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二、</w:t>
      </w:r>
      <w:r>
        <w:rPr>
          <w:rFonts w:hint="eastAsia" w:ascii="仿宋_GB2312" w:hAnsi="仿宋_GB2312" w:eastAsia="仿宋_GB2312" w:cs="仿宋_GB2312"/>
          <w:bCs/>
          <w:color w:val="auto"/>
          <w:kern w:val="0"/>
          <w:sz w:val="32"/>
          <w:szCs w:val="32"/>
          <w:highlight w:val="none"/>
        </w:rPr>
        <w:t>收入</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情况说明</w:t>
      </w:r>
      <w:r>
        <w:rPr>
          <w:rFonts w:hint="eastAsia" w:ascii="仿宋_GB2312" w:hAnsi="仿宋_GB2312" w:eastAsia="仿宋_GB2312" w:cs="仿宋_GB2312"/>
          <w:color w:val="auto"/>
          <w:sz w:val="32"/>
          <w:szCs w:val="32"/>
          <w:highlight w:val="none"/>
        </w:rPr>
        <w:fldChar w:fldCharType="end"/>
      </w:r>
    </w:p>
    <w:p w14:paraId="0130B5D6">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_Toc13201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三、支出决算情况说明</w:t>
      </w:r>
      <w:r>
        <w:rPr>
          <w:rFonts w:hint="eastAsia" w:ascii="仿宋_GB2312" w:hAnsi="仿宋_GB2312" w:eastAsia="仿宋_GB2312" w:cs="仿宋_GB2312"/>
          <w:color w:val="auto"/>
          <w:sz w:val="32"/>
          <w:szCs w:val="32"/>
          <w:highlight w:val="none"/>
        </w:rPr>
        <w:fldChar w:fldCharType="end"/>
      </w:r>
    </w:p>
    <w:p w14:paraId="4BF88E3A">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_Toc26564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四、财政拨款收入支出决算总体情况说明</w:t>
      </w:r>
      <w:r>
        <w:rPr>
          <w:rFonts w:hint="eastAsia" w:ascii="仿宋_GB2312" w:hAnsi="仿宋_GB2312" w:eastAsia="仿宋_GB2312" w:cs="仿宋_GB2312"/>
          <w:color w:val="auto"/>
          <w:sz w:val="32"/>
          <w:szCs w:val="32"/>
          <w:highlight w:val="none"/>
        </w:rPr>
        <w:fldChar w:fldCharType="end"/>
      </w:r>
    </w:p>
    <w:p w14:paraId="7658764A">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_Toc20360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五、一般公共预算财政拨款支出决算情况说明</w:t>
      </w:r>
      <w:r>
        <w:rPr>
          <w:rFonts w:hint="eastAsia" w:ascii="仿宋_GB2312" w:hAnsi="仿宋_GB2312" w:eastAsia="仿宋_GB2312" w:cs="仿宋_GB2312"/>
          <w:color w:val="auto"/>
          <w:sz w:val="32"/>
          <w:szCs w:val="32"/>
          <w:highlight w:val="none"/>
        </w:rPr>
        <w:fldChar w:fldCharType="end"/>
      </w:r>
    </w:p>
    <w:p w14:paraId="4287AEFE">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_Toc30870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六、一般公共预算财政拨款基本支出决算情况说明</w:t>
      </w:r>
      <w:r>
        <w:rPr>
          <w:rFonts w:hint="eastAsia" w:ascii="仿宋_GB2312" w:hAnsi="仿宋_GB2312" w:eastAsia="仿宋_GB2312" w:cs="仿宋_GB2312"/>
          <w:color w:val="auto"/>
          <w:sz w:val="32"/>
          <w:szCs w:val="32"/>
          <w:highlight w:val="none"/>
        </w:rPr>
        <w:fldChar w:fldCharType="end"/>
      </w:r>
    </w:p>
    <w:p w14:paraId="53A1BAA4">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_Toc21518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七</w:t>
      </w:r>
      <w:r>
        <w:rPr>
          <w:rFonts w:hint="eastAsia" w:ascii="仿宋_GB2312" w:hAnsi="仿宋_GB2312" w:eastAsia="仿宋_GB2312" w:cs="仿宋_GB2312"/>
          <w:bCs/>
          <w:color w:val="auto"/>
          <w:kern w:val="0"/>
          <w:sz w:val="32"/>
          <w:szCs w:val="32"/>
          <w:highlight w:val="none"/>
        </w:rPr>
        <w:t>、</w:t>
      </w:r>
      <w:r>
        <w:rPr>
          <w:rFonts w:hint="eastAsia" w:ascii="仿宋_GB2312" w:hAnsi="仿宋_GB2312" w:eastAsia="仿宋_GB2312" w:cs="仿宋_GB2312"/>
          <w:bCs/>
          <w:color w:val="auto"/>
          <w:kern w:val="0"/>
          <w:sz w:val="32"/>
          <w:szCs w:val="32"/>
          <w:highlight w:val="none"/>
          <w:lang w:eastAsia="zh-CN"/>
        </w:rPr>
        <w:t>财政拨款</w:t>
      </w:r>
      <w:r>
        <w:rPr>
          <w:rFonts w:hint="eastAsia" w:ascii="仿宋_GB2312" w:hAnsi="仿宋_GB2312" w:eastAsia="仿宋_GB2312" w:cs="仿宋_GB2312"/>
          <w:bCs/>
          <w:color w:val="auto"/>
          <w:kern w:val="0"/>
          <w:sz w:val="32"/>
          <w:szCs w:val="32"/>
          <w:highlight w:val="none"/>
        </w:rPr>
        <w:t>“三公”经费支出</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14:paraId="7667EB4B">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lang w:eastAsia="zh-CN"/>
        </w:rPr>
        <w:t>政府性基金预算财政拨款收入支出决算情况说明</w:t>
      </w:r>
      <w:r>
        <w:rPr>
          <w:rFonts w:hint="eastAsia" w:ascii="仿宋_GB2312" w:hAnsi="仿宋_GB2312" w:eastAsia="仿宋_GB2312" w:cs="仿宋_GB2312"/>
          <w:color w:val="auto"/>
          <w:sz w:val="32"/>
          <w:szCs w:val="32"/>
          <w:highlight w:val="none"/>
        </w:rPr>
        <w:fldChar w:fldCharType="end"/>
      </w:r>
    </w:p>
    <w:p w14:paraId="6F7DC112">
      <w:pPr>
        <w:rPr>
          <w:rFonts w:hint="eastAsia"/>
          <w:color w:val="auto"/>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、国有资本经营预算财政拨款收入支出决算情况说明</w:t>
      </w:r>
      <w:r>
        <w:rPr>
          <w:rFonts w:hint="eastAsia" w:ascii="仿宋_GB2312" w:hAnsi="仿宋_GB2312" w:eastAsia="仿宋_GB2312" w:cs="仿宋_GB2312"/>
          <w:color w:val="auto"/>
          <w:sz w:val="32"/>
          <w:szCs w:val="32"/>
          <w:highlight w:val="none"/>
        </w:rPr>
        <w:fldChar w:fldCharType="end"/>
      </w:r>
    </w:p>
    <w:p w14:paraId="5243D12C">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_Toc1235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十</w:t>
      </w:r>
      <w:r>
        <w:rPr>
          <w:rFonts w:hint="eastAsia" w:ascii="仿宋_GB2312" w:hAnsi="仿宋_GB2312" w:eastAsia="仿宋_GB2312" w:cs="仿宋_GB2312"/>
          <w:bCs/>
          <w:color w:val="auto"/>
          <w:kern w:val="0"/>
          <w:sz w:val="32"/>
          <w:szCs w:val="32"/>
          <w:highlight w:val="none"/>
        </w:rPr>
        <w:t>、其他重要事项的情况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14:paraId="76848647">
      <w:pPr>
        <w:pStyle w:val="4"/>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_Toc14519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（一）</w:t>
      </w:r>
      <w:r>
        <w:rPr>
          <w:rFonts w:hint="eastAsia" w:ascii="仿宋_GB2312" w:hAnsi="仿宋_GB2312" w:eastAsia="仿宋_GB2312" w:cs="仿宋_GB2312"/>
          <w:color w:val="auto"/>
          <w:sz w:val="32"/>
          <w:szCs w:val="32"/>
          <w:highlight w:val="none"/>
        </w:rPr>
        <w:t>机关运行经费支出情况</w:t>
      </w:r>
      <w:r>
        <w:rPr>
          <w:rFonts w:hint="eastAsia" w:ascii="仿宋_GB2312" w:hAnsi="仿宋_GB2312" w:eastAsia="仿宋_GB2312" w:cs="仿宋_GB2312"/>
          <w:color w:val="auto"/>
          <w:sz w:val="32"/>
          <w:szCs w:val="32"/>
          <w:highlight w:val="none"/>
        </w:rPr>
        <w:fldChar w:fldCharType="end"/>
      </w:r>
    </w:p>
    <w:p w14:paraId="678C9DF7">
      <w:pPr>
        <w:pStyle w:val="4"/>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_Toc227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（二）政府采购情况</w:t>
      </w:r>
      <w:r>
        <w:rPr>
          <w:rFonts w:hint="eastAsia" w:ascii="仿宋_GB2312" w:hAnsi="仿宋_GB2312" w:eastAsia="仿宋_GB2312" w:cs="仿宋_GB2312"/>
          <w:color w:val="auto"/>
          <w:sz w:val="32"/>
          <w:szCs w:val="32"/>
          <w:highlight w:val="none"/>
        </w:rPr>
        <w:fldChar w:fldCharType="end"/>
      </w:r>
    </w:p>
    <w:p w14:paraId="5B7CA5AF">
      <w:pPr>
        <w:pStyle w:val="4"/>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_Toc8391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（三）国有资产占用情况说明</w:t>
      </w:r>
      <w:r>
        <w:rPr>
          <w:rFonts w:hint="eastAsia" w:ascii="仿宋_GB2312" w:hAnsi="仿宋_GB2312" w:eastAsia="仿宋_GB2312" w:cs="仿宋_GB2312"/>
          <w:color w:val="auto"/>
          <w:sz w:val="32"/>
          <w:szCs w:val="32"/>
          <w:highlight w:val="none"/>
        </w:rPr>
        <w:fldChar w:fldCharType="end"/>
      </w:r>
    </w:p>
    <w:p w14:paraId="1BB35D9C">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_Toc11283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十</w:t>
      </w:r>
      <w:r>
        <w:rPr>
          <w:rFonts w:hint="eastAsia" w:ascii="仿宋_GB2312" w:hAnsi="仿宋_GB2312" w:eastAsia="仿宋_GB2312" w:cs="仿宋_GB2312"/>
          <w:bCs/>
          <w:color w:val="auto"/>
          <w:kern w:val="0"/>
          <w:sz w:val="32"/>
          <w:szCs w:val="32"/>
          <w:highlight w:val="none"/>
          <w:lang w:val="en-US" w:eastAsia="zh-CN"/>
        </w:rPr>
        <w:t>一</w:t>
      </w:r>
      <w:r>
        <w:rPr>
          <w:rFonts w:hint="eastAsia" w:ascii="仿宋_GB2312" w:hAnsi="仿宋_GB2312" w:eastAsia="仿宋_GB2312" w:cs="仿宋_GB2312"/>
          <w:bCs/>
          <w:color w:val="auto"/>
          <w:kern w:val="0"/>
          <w:sz w:val="32"/>
          <w:szCs w:val="32"/>
          <w:highlight w:val="none"/>
          <w:lang w:eastAsia="zh-CN"/>
        </w:rPr>
        <w:t>、预算绩效的情况说明</w:t>
      </w:r>
      <w:r>
        <w:rPr>
          <w:rFonts w:hint="eastAsia" w:ascii="仿宋_GB2312" w:hAnsi="仿宋_GB2312" w:eastAsia="仿宋_GB2312" w:cs="仿宋_GB2312"/>
          <w:color w:val="auto"/>
          <w:sz w:val="32"/>
          <w:szCs w:val="32"/>
          <w:highlight w:val="none"/>
        </w:rPr>
        <w:fldChar w:fldCharType="end"/>
      </w:r>
    </w:p>
    <w:p w14:paraId="260067A4">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十二、其他需说明的事项</w:t>
      </w:r>
    </w:p>
    <w:p w14:paraId="0D9A6F48">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_Toc3250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第三部分 专业名词解释</w:t>
      </w:r>
      <w:r>
        <w:rPr>
          <w:rFonts w:hint="eastAsia" w:ascii="仿宋_GB2312" w:hAnsi="仿宋_GB2312" w:eastAsia="仿宋_GB2312" w:cs="仿宋_GB2312"/>
          <w:b/>
          <w:bCs/>
          <w:color w:val="auto"/>
          <w:sz w:val="32"/>
          <w:szCs w:val="32"/>
          <w:highlight w:val="none"/>
        </w:rPr>
        <w:fldChar w:fldCharType="end"/>
      </w:r>
    </w:p>
    <w:p w14:paraId="46BF1889">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_Toc22784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第四部分 部门决算报表（见附表）</w:t>
      </w:r>
      <w:r>
        <w:rPr>
          <w:rFonts w:hint="eastAsia" w:ascii="仿宋_GB2312" w:hAnsi="仿宋_GB2312" w:eastAsia="仿宋_GB2312" w:cs="仿宋_GB2312"/>
          <w:b/>
          <w:bCs/>
          <w:color w:val="auto"/>
          <w:sz w:val="32"/>
          <w:szCs w:val="32"/>
          <w:highlight w:val="none"/>
        </w:rPr>
        <w:fldChar w:fldCharType="end"/>
      </w:r>
    </w:p>
    <w:p w14:paraId="73FDB6F9">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一、《收入支出决算总表》</w:t>
      </w:r>
      <w:r>
        <w:rPr>
          <w:rFonts w:hint="eastAsia" w:ascii="仿宋_GB2312" w:hAnsi="仿宋_GB2312" w:eastAsia="仿宋_GB2312" w:cs="仿宋_GB2312"/>
          <w:color w:val="auto"/>
          <w:sz w:val="32"/>
          <w:szCs w:val="32"/>
          <w:highlight w:val="none"/>
        </w:rPr>
        <w:fldChar w:fldCharType="end"/>
      </w:r>
    </w:p>
    <w:p w14:paraId="621BCFD2">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_Toc24532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二、《收入决算表》</w:t>
      </w:r>
      <w:r>
        <w:rPr>
          <w:rFonts w:hint="eastAsia" w:ascii="仿宋_GB2312" w:hAnsi="仿宋_GB2312" w:eastAsia="仿宋_GB2312" w:cs="仿宋_GB2312"/>
          <w:color w:val="auto"/>
          <w:sz w:val="32"/>
          <w:szCs w:val="32"/>
          <w:highlight w:val="none"/>
        </w:rPr>
        <w:fldChar w:fldCharType="end"/>
      </w:r>
    </w:p>
    <w:p w14:paraId="004FD8A6">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_Toc32434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三、《支出决算表》</w:t>
      </w:r>
      <w:r>
        <w:rPr>
          <w:rFonts w:hint="eastAsia" w:ascii="仿宋_GB2312" w:hAnsi="仿宋_GB2312" w:eastAsia="仿宋_GB2312" w:cs="仿宋_GB2312"/>
          <w:color w:val="auto"/>
          <w:sz w:val="32"/>
          <w:szCs w:val="32"/>
          <w:highlight w:val="none"/>
        </w:rPr>
        <w:fldChar w:fldCharType="end"/>
      </w:r>
    </w:p>
    <w:p w14:paraId="2451C8E9">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_Toc28786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四、《财政拨款收入支出决算总表》</w:t>
      </w:r>
      <w:r>
        <w:rPr>
          <w:rFonts w:hint="eastAsia" w:ascii="仿宋_GB2312" w:hAnsi="仿宋_GB2312" w:eastAsia="仿宋_GB2312" w:cs="仿宋_GB2312"/>
          <w:color w:val="auto"/>
          <w:sz w:val="32"/>
          <w:szCs w:val="32"/>
          <w:highlight w:val="none"/>
        </w:rPr>
        <w:fldChar w:fldCharType="end"/>
      </w:r>
    </w:p>
    <w:p w14:paraId="3728D2B1">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_Toc14869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五、《一般公共预算财政拨款支出决算表》</w:t>
      </w:r>
      <w:r>
        <w:rPr>
          <w:rFonts w:hint="eastAsia" w:ascii="仿宋_GB2312" w:hAnsi="仿宋_GB2312" w:eastAsia="仿宋_GB2312" w:cs="仿宋_GB2312"/>
          <w:color w:val="auto"/>
          <w:sz w:val="32"/>
          <w:szCs w:val="32"/>
          <w:highlight w:val="none"/>
        </w:rPr>
        <w:fldChar w:fldCharType="end"/>
      </w:r>
    </w:p>
    <w:p w14:paraId="32432567">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_Toc8884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六、《一般公共预算财政拨款基本支出决算表》</w:t>
      </w:r>
      <w:r>
        <w:rPr>
          <w:rFonts w:hint="eastAsia" w:ascii="仿宋_GB2312" w:hAnsi="仿宋_GB2312" w:eastAsia="仿宋_GB2312" w:cs="仿宋_GB2312"/>
          <w:color w:val="auto"/>
          <w:sz w:val="32"/>
          <w:szCs w:val="32"/>
          <w:highlight w:val="none"/>
        </w:rPr>
        <w:fldChar w:fldCharType="end"/>
      </w:r>
    </w:p>
    <w:p w14:paraId="6173F07F">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_Toc29106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七、《财政拨款“三公”经费支出决算表》</w:t>
      </w:r>
      <w:r>
        <w:rPr>
          <w:rFonts w:hint="eastAsia" w:ascii="仿宋_GB2312" w:hAnsi="仿宋_GB2312" w:eastAsia="仿宋_GB2312" w:cs="仿宋_GB2312"/>
          <w:color w:val="auto"/>
          <w:sz w:val="32"/>
          <w:szCs w:val="32"/>
          <w:highlight w:val="none"/>
        </w:rPr>
        <w:fldChar w:fldCharType="end"/>
      </w:r>
    </w:p>
    <w:p w14:paraId="55A53134">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fldChar w:fldCharType="begin"/>
      </w:r>
      <w:r>
        <w:rPr>
          <w:rFonts w:hint="eastAsia" w:ascii="仿宋_GB2312" w:hAnsi="仿宋_GB2312" w:eastAsia="仿宋_GB2312" w:cs="仿宋_GB2312"/>
          <w:bCs/>
          <w:color w:val="auto"/>
          <w:kern w:val="0"/>
          <w:sz w:val="32"/>
          <w:szCs w:val="32"/>
          <w:highlight w:val="none"/>
        </w:rPr>
        <w:instrText xml:space="preserve"> HYPERLINK \l _Toc7643 </w:instrText>
      </w:r>
      <w:r>
        <w:rPr>
          <w:rFonts w:hint="eastAsia" w:ascii="仿宋_GB2312" w:hAnsi="仿宋_GB2312" w:eastAsia="仿宋_GB2312" w:cs="仿宋_GB2312"/>
          <w:bCs/>
          <w:color w:val="auto"/>
          <w:kern w:val="0"/>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rPr>
        <w:t>《政府性基金预算财政拨款收入支出决算表》</w:t>
      </w:r>
      <w:r>
        <w:rPr>
          <w:rFonts w:hint="eastAsia" w:ascii="仿宋_GB2312" w:hAnsi="仿宋_GB2312" w:eastAsia="仿宋_GB2312" w:cs="仿宋_GB2312"/>
          <w:bCs/>
          <w:color w:val="auto"/>
          <w:kern w:val="0"/>
          <w:sz w:val="32"/>
          <w:szCs w:val="32"/>
          <w:highlight w:val="none"/>
        </w:rPr>
        <w:fldChar w:fldCharType="end"/>
      </w:r>
    </w:p>
    <w:p w14:paraId="57B1EDF1">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lang w:eastAsia="zh-CN"/>
        </w:rPr>
      </w:pP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w:t>
      </w:r>
      <w:r>
        <w:rPr>
          <w:rFonts w:hint="eastAsia" w:ascii="仿宋_GB2312" w:hAnsi="仿宋_GB2312" w:eastAsia="仿宋_GB2312" w:cs="仿宋_GB2312"/>
          <w:bCs/>
          <w:color w:val="auto"/>
          <w:kern w:val="0"/>
          <w:sz w:val="32"/>
          <w:szCs w:val="32"/>
          <w:highlight w:val="none"/>
        </w:rPr>
        <w:t>预算财政拨款收入支出决算表</w:t>
      </w:r>
      <w:r>
        <w:rPr>
          <w:rFonts w:hint="eastAsia" w:ascii="仿宋_GB2312" w:hAnsi="仿宋_GB2312" w:eastAsia="仿宋_GB2312" w:cs="仿宋_GB2312"/>
          <w:bCs/>
          <w:color w:val="auto"/>
          <w:kern w:val="0"/>
          <w:sz w:val="32"/>
          <w:szCs w:val="32"/>
          <w:highlight w:val="none"/>
          <w:lang w:eastAsia="zh-CN"/>
        </w:rPr>
        <w:t>》</w:t>
      </w:r>
    </w:p>
    <w:p w14:paraId="06B88226">
      <w:pPr>
        <w:keepNext w:val="0"/>
        <w:keepLines w:val="0"/>
        <w:pageBreakBefore w:val="0"/>
        <w:widowControl w:val="0"/>
        <w:kinsoku/>
        <w:wordWrap/>
        <w:overflowPunct/>
        <w:topLinePunct w:val="0"/>
        <w:autoSpaceDE/>
        <w:autoSpaceDN/>
        <w:bidi w:val="0"/>
        <w:adjustRightInd/>
        <w:snapToGrid/>
        <w:ind w:left="0" w:leftChars="0"/>
        <w:jc w:val="both"/>
        <w:textAlignment w:val="auto"/>
        <w:rPr>
          <w:color w:val="auto"/>
          <w:highlight w:val="none"/>
        </w:rPr>
      </w:pPr>
      <w:r>
        <w:rPr>
          <w:rFonts w:hint="eastAsia" w:ascii="仿宋_GB2312" w:hAnsi="仿宋_GB2312" w:eastAsia="仿宋_GB2312" w:cs="仿宋_GB2312"/>
          <w:color w:val="auto"/>
          <w:sz w:val="32"/>
          <w:szCs w:val="32"/>
          <w:highlight w:val="none"/>
        </w:rPr>
        <w:fldChar w:fldCharType="end"/>
      </w:r>
    </w:p>
    <w:p w14:paraId="16FC3CDF">
      <w:pPr>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br w:type="page"/>
      </w:r>
    </w:p>
    <w:p w14:paraId="444DDE5D">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0" w:name="_Toc24028"/>
      <w:bookmarkStart w:id="1" w:name="_Toc32314"/>
      <w:r>
        <w:rPr>
          <w:rFonts w:hint="eastAsia" w:ascii="黑体" w:hAnsi="黑体" w:eastAsia="黑体"/>
          <w:color w:val="auto"/>
          <w:sz w:val="32"/>
          <w:szCs w:val="32"/>
          <w:highlight w:val="none"/>
        </w:rPr>
        <w:t xml:space="preserve">第一部分 </w:t>
      </w:r>
      <w:r>
        <w:rPr>
          <w:rFonts w:hint="eastAsia" w:ascii="黑体" w:hAnsi="黑体" w:eastAsia="黑体"/>
          <w:color w:val="auto"/>
          <w:sz w:val="32"/>
          <w:szCs w:val="32"/>
          <w:highlight w:val="none"/>
          <w:lang w:eastAsia="zh-CN"/>
        </w:rPr>
        <w:t>单位</w:t>
      </w:r>
      <w:r>
        <w:rPr>
          <w:rFonts w:hint="eastAsia" w:ascii="黑体" w:hAnsi="黑体" w:eastAsia="黑体"/>
          <w:color w:val="auto"/>
          <w:sz w:val="32"/>
          <w:szCs w:val="32"/>
          <w:highlight w:val="none"/>
        </w:rPr>
        <w:t>概况</w:t>
      </w:r>
      <w:bookmarkEnd w:id="0"/>
      <w:bookmarkEnd w:id="1"/>
    </w:p>
    <w:p w14:paraId="44B71F2B">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ascii="黑体" w:hAnsi="黑体" w:eastAsia="黑体" w:cs="宋体"/>
          <w:bCs/>
          <w:color w:val="auto"/>
          <w:kern w:val="0"/>
          <w:sz w:val="32"/>
          <w:szCs w:val="32"/>
          <w:highlight w:val="none"/>
        </w:rPr>
      </w:pPr>
      <w:bookmarkStart w:id="2" w:name="_Toc30738"/>
      <w:bookmarkStart w:id="3" w:name="_Toc30567"/>
      <w:r>
        <w:rPr>
          <w:rFonts w:hint="eastAsia" w:ascii="黑体" w:hAnsi="黑体" w:eastAsia="黑体" w:cs="宋体"/>
          <w:bCs/>
          <w:color w:val="auto"/>
          <w:kern w:val="0"/>
          <w:sz w:val="32"/>
          <w:szCs w:val="32"/>
          <w:highlight w:val="none"/>
        </w:rPr>
        <w:t>一、主要职能</w:t>
      </w:r>
      <w:bookmarkEnd w:id="2"/>
      <w:bookmarkEnd w:id="3"/>
    </w:p>
    <w:p w14:paraId="103D97C3">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bookmarkStart w:id="4" w:name="_Toc31238"/>
      <w:bookmarkStart w:id="5" w:name="_Toc2151"/>
      <w:r>
        <w:rPr>
          <w:rFonts w:hint="eastAsia" w:ascii="仿宋_GB2312" w:eastAsia="仿宋_GB2312"/>
          <w:color w:val="auto"/>
          <w:sz w:val="32"/>
          <w:szCs w:val="32"/>
          <w:highlight w:val="none"/>
          <w:lang w:val="en-US" w:eastAsia="zh-CN"/>
        </w:rPr>
        <w:t>（一）负责疾病预防与控制。开展疾病监测;分析预警传染病、寄生虫病、地方病、非传染性疾病等疾病的分布，探讨疾病的发生、发展的原因和流行规律;提供制定预防控制措施的技术保障;组织实施疾病预防控制工作规划、计划和方案，预防控制相关疾病的发生与流行。</w:t>
      </w:r>
      <w:r>
        <w:rPr>
          <w:rFonts w:hint="eastAsia" w:ascii="仿宋_GB2312" w:eastAsia="仿宋_GB2312"/>
          <w:color w:val="auto"/>
          <w:sz w:val="32"/>
          <w:szCs w:val="32"/>
          <w:highlight w:val="none"/>
          <w:lang w:val="en-US" w:eastAsia="zh-CN"/>
        </w:rPr>
        <w:tab/>
      </w:r>
    </w:p>
    <w:p w14:paraId="1D507E13">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（二）负责突发公共卫生事件应急处置。开展突发公共卫生事件处置和救灾防病的应急准备;对突发公共卫生事件、灾后疫病进行监测报告,提供预警信息;开展现场调查处置和效果评估。</w:t>
      </w:r>
      <w:r>
        <w:rPr>
          <w:rFonts w:hint="eastAsia" w:ascii="仿宋_GB2312" w:eastAsia="仿宋_GB2312"/>
          <w:color w:val="auto"/>
          <w:sz w:val="32"/>
          <w:szCs w:val="32"/>
          <w:highlight w:val="none"/>
          <w:lang w:val="en-US" w:eastAsia="zh-CN"/>
        </w:rPr>
        <w:tab/>
      </w:r>
      <w:r>
        <w:rPr>
          <w:rFonts w:hint="eastAsia" w:ascii="仿宋_GB2312" w:eastAsia="仿宋_GB2312"/>
          <w:color w:val="auto"/>
          <w:sz w:val="32"/>
          <w:szCs w:val="32"/>
          <w:highlight w:val="none"/>
          <w:lang w:val="en-US" w:eastAsia="zh-CN"/>
        </w:rPr>
        <w:t>.</w:t>
      </w:r>
    </w:p>
    <w:p w14:paraId="58BB7E73">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（三）负责疫情及健康相关因素信息管理。管理疾病预防控制信息系统，收集、报告、分析和评价疾病与健康危害因素等公共卫生信息，为疾病预防控制决策提供依据，为社会和公众提供信息服务。</w:t>
      </w:r>
    </w:p>
    <w:p w14:paraId="00FC5C64">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四）负责健康危害因素监测与干预。开展食源性、职业性、辐射性、环境性疾病监测、调查处置和公众营养检测与评价;对生产、生活、工作、学习环境中影响人群健康的危害因素进行监测与评价，提出干预策略与措施，预防控制相关因素对人体健康的危害。</w:t>
      </w:r>
      <w:r>
        <w:rPr>
          <w:rFonts w:hint="eastAsia" w:ascii="仿宋_GB2312" w:eastAsia="仿宋_GB2312"/>
          <w:color w:val="auto"/>
          <w:sz w:val="32"/>
          <w:szCs w:val="32"/>
          <w:highlight w:val="none"/>
          <w:lang w:val="en-US" w:eastAsia="zh-CN"/>
        </w:rPr>
        <w:tab/>
      </w:r>
    </w:p>
    <w:p w14:paraId="1CFADFC8">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五）负责实验室检测检验与评价。研究应用实验室检测与分析技术,开展传染性疾病病原微生物的检测检验，开展疾病和健康危害因素的生物、物理、化学因子的检测、鉴定和评价，为突发公共卫生事件的应急处置、传染性疾病的检测、疾病和健康相关危害因素的预防控制及卫生监督执法等提供技术支撑，为社会提供技术服务。</w:t>
      </w:r>
    </w:p>
    <w:p w14:paraId="37059692">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（六）负责健康教育与健康促进。开展健康教育、健康促进;普及健康防病知识，对公众进行健康指导;协同有关部门和组织，对公众不良健康行为进行干预，促进公众掌握自我保健与防护技能。</w:t>
      </w:r>
      <w:r>
        <w:rPr>
          <w:rFonts w:hint="eastAsia" w:ascii="仿宋_GB2312" w:eastAsia="仿宋_GB2312"/>
          <w:color w:val="auto"/>
          <w:sz w:val="32"/>
          <w:szCs w:val="32"/>
          <w:highlight w:val="none"/>
          <w:lang w:val="en-US" w:eastAsia="zh-CN"/>
        </w:rPr>
        <w:tab/>
      </w:r>
    </w:p>
    <w:p w14:paraId="0609BAA5">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（七）负责技术管理与指导。开展疾病预防控制工作业务与技术培训，提供技术指导、技术支持和技术服务；引进和推广应用新技术、新方法;指导和开展疾病预防控制工作绩效考核与评估。</w:t>
      </w:r>
    </w:p>
    <w:p w14:paraId="5F502EAC">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（八）承担市委、市政府以及卫生行政部门（疾病预防控制局）和上级业务部门交办的其它事项。</w:t>
      </w:r>
    </w:p>
    <w:p w14:paraId="2303FBCB">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r>
        <w:rPr>
          <w:rFonts w:hint="eastAsia" w:ascii="黑体" w:hAnsi="黑体" w:eastAsia="黑体" w:cs="宋体"/>
          <w:bCs/>
          <w:color w:val="auto"/>
          <w:kern w:val="0"/>
          <w:sz w:val="32"/>
          <w:szCs w:val="32"/>
          <w:highlight w:val="none"/>
        </w:rPr>
        <w:t>二、机构设置</w:t>
      </w:r>
      <w:r>
        <w:rPr>
          <w:rFonts w:hint="eastAsia" w:ascii="黑体" w:hAnsi="黑体" w:eastAsia="黑体" w:cs="宋体"/>
          <w:bCs/>
          <w:color w:val="auto"/>
          <w:kern w:val="0"/>
          <w:sz w:val="32"/>
          <w:szCs w:val="32"/>
          <w:highlight w:val="none"/>
          <w:lang w:eastAsia="zh-CN"/>
        </w:rPr>
        <w:t>及</w:t>
      </w:r>
      <w:bookmarkEnd w:id="4"/>
      <w:r>
        <w:rPr>
          <w:rFonts w:hint="eastAsia" w:ascii="黑体" w:hAnsi="黑体" w:eastAsia="黑体" w:cs="宋体"/>
          <w:bCs/>
          <w:color w:val="auto"/>
          <w:kern w:val="0"/>
          <w:sz w:val="32"/>
          <w:szCs w:val="32"/>
          <w:highlight w:val="none"/>
          <w:lang w:eastAsia="zh-CN"/>
        </w:rPr>
        <w:t>人员</w:t>
      </w:r>
      <w:r>
        <w:rPr>
          <w:rFonts w:hint="eastAsia" w:ascii="黑体" w:hAnsi="黑体" w:eastAsia="黑体" w:cs="宋体"/>
          <w:bCs/>
          <w:color w:val="auto"/>
          <w:kern w:val="0"/>
          <w:sz w:val="32"/>
          <w:szCs w:val="32"/>
          <w:highlight w:val="none"/>
        </w:rPr>
        <w:t>情况</w:t>
      </w:r>
      <w:bookmarkEnd w:id="5"/>
    </w:p>
    <w:p w14:paraId="667B972F">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b/>
          <w:color w:val="auto"/>
          <w:sz w:val="32"/>
          <w:szCs w:val="32"/>
          <w:highlight w:val="none"/>
        </w:rPr>
      </w:pPr>
      <w:r>
        <w:rPr>
          <w:rFonts w:hint="eastAsia" w:ascii="仿宋_GB2312" w:eastAsia="仿宋_GB2312"/>
          <w:color w:val="auto"/>
          <w:sz w:val="32"/>
          <w:szCs w:val="32"/>
          <w:highlight w:val="none"/>
          <w:lang w:val="en-US" w:eastAsia="zh-CN"/>
        </w:rPr>
        <w:t>沙湾市疾病预防控制中心</w:t>
      </w:r>
      <w:r>
        <w:rPr>
          <w:rFonts w:hint="eastAsia" w:ascii="仿宋_GB2312" w:eastAsia="仿宋_GB2312"/>
          <w:color w:val="auto"/>
          <w:sz w:val="32"/>
          <w:szCs w:val="32"/>
          <w:highlight w:val="none"/>
          <w:lang w:eastAsia="zh-CN"/>
        </w:rPr>
        <w:t>2023年度，</w:t>
      </w:r>
      <w:r>
        <w:rPr>
          <w:rFonts w:hint="eastAsia" w:ascii="仿宋_GB2312" w:eastAsia="仿宋_GB2312"/>
          <w:color w:val="auto"/>
          <w:sz w:val="32"/>
          <w:szCs w:val="32"/>
          <w:highlight w:val="none"/>
        </w:rPr>
        <w:t>实有人数</w:t>
      </w:r>
      <w:r>
        <w:rPr>
          <w:rFonts w:hint="eastAsia" w:ascii="仿宋_GB2312" w:eastAsia="仿宋_GB2312"/>
          <w:color w:val="auto"/>
          <w:sz w:val="32"/>
          <w:szCs w:val="32"/>
          <w:highlight w:val="none"/>
          <w:lang w:val="zh-CN" w:eastAsia="zh-CN"/>
        </w:rPr>
        <w:t>90</w:t>
      </w:r>
      <w:r>
        <w:rPr>
          <w:rFonts w:hint="eastAsia" w:ascii="仿宋_GB2312" w:eastAsia="仿宋_GB2312"/>
          <w:color w:val="auto"/>
          <w:sz w:val="32"/>
          <w:szCs w:val="32"/>
          <w:highlight w:val="none"/>
        </w:rPr>
        <w:t>人，其中：在职人员</w:t>
      </w:r>
      <w:r>
        <w:rPr>
          <w:rFonts w:hint="eastAsia" w:ascii="仿宋_GB2312" w:eastAsia="仿宋_GB2312"/>
          <w:color w:val="auto"/>
          <w:sz w:val="32"/>
          <w:szCs w:val="32"/>
          <w:highlight w:val="none"/>
          <w:lang w:val="zh-CN" w:eastAsia="zh-CN"/>
        </w:rPr>
        <w:t>49</w:t>
      </w:r>
      <w:r>
        <w:rPr>
          <w:rFonts w:hint="eastAsia" w:ascii="仿宋_GB2312" w:eastAsia="仿宋_GB2312"/>
          <w:color w:val="auto"/>
          <w:sz w:val="32"/>
          <w:szCs w:val="32"/>
          <w:highlight w:val="none"/>
        </w:rPr>
        <w:t>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离休人员</w:t>
      </w:r>
      <w:r>
        <w:rPr>
          <w:rFonts w:hint="eastAsia" w:ascii="仿宋_GB2312" w:eastAsia="仿宋_GB2312"/>
          <w:color w:val="auto"/>
          <w:sz w:val="32"/>
          <w:szCs w:val="32"/>
          <w:highlight w:val="none"/>
          <w:lang w:val="zh-CN" w:eastAsia="zh-CN"/>
        </w:rPr>
        <w:t>0</w:t>
      </w:r>
      <w:r>
        <w:rPr>
          <w:rFonts w:hint="eastAsia" w:ascii="仿宋_GB2312" w:eastAsia="仿宋_GB2312"/>
          <w:color w:val="auto"/>
          <w:sz w:val="32"/>
          <w:szCs w:val="32"/>
          <w:highlight w:val="none"/>
        </w:rPr>
        <w:t>人，退休人员</w:t>
      </w:r>
      <w:r>
        <w:rPr>
          <w:rFonts w:hint="eastAsia" w:ascii="仿宋_GB2312" w:eastAsia="仿宋_GB2312"/>
          <w:color w:val="auto"/>
          <w:sz w:val="32"/>
          <w:szCs w:val="32"/>
          <w:highlight w:val="none"/>
          <w:lang w:val="zh-CN" w:eastAsia="zh-CN"/>
        </w:rPr>
        <w:t>41</w:t>
      </w:r>
      <w:r>
        <w:rPr>
          <w:rFonts w:hint="eastAsia" w:ascii="仿宋_GB2312" w:eastAsia="仿宋_GB2312"/>
          <w:color w:val="auto"/>
          <w:sz w:val="32"/>
          <w:szCs w:val="32"/>
          <w:highlight w:val="none"/>
        </w:rPr>
        <w:t>人。</w:t>
      </w:r>
    </w:p>
    <w:p w14:paraId="1C04B168">
      <w:pPr>
        <w:keepNext w:val="0"/>
        <w:keepLines w:val="0"/>
        <w:pageBreakBefore w:val="0"/>
        <w:widowControl w:val="0"/>
        <w:kinsoku/>
        <w:wordWrap/>
        <w:overflowPunct/>
        <w:topLinePunct w:val="0"/>
        <w:adjustRightInd/>
        <w:snapToGrid/>
        <w:spacing w:line="240" w:lineRule="auto"/>
        <w:ind w:firstLine="640" w:firstLineChars="200"/>
        <w:jc w:val="both"/>
        <w:textAlignment w:val="auto"/>
        <w:rPr>
          <w:rFonts w:hint="eastAsia" w:ascii="黑体" w:hAnsi="黑体" w:eastAsia="黑体"/>
          <w:color w:val="auto"/>
          <w:sz w:val="32"/>
          <w:szCs w:val="32"/>
          <w:highlight w:val="none"/>
        </w:rPr>
      </w:pPr>
      <w:bookmarkStart w:id="6" w:name="_Toc29374"/>
      <w:bookmarkStart w:id="7" w:name="_Toc3092"/>
      <w:r>
        <w:rPr>
          <w:rFonts w:hint="eastAsia" w:ascii="仿宋_GB2312" w:eastAsia="仿宋_GB2312"/>
          <w:sz w:val="32"/>
          <w:szCs w:val="32"/>
          <w:highlight w:val="none"/>
          <w:lang w:eastAsia="zh-CN"/>
        </w:rPr>
        <w:t>单位无下属预算单位，下设</w:t>
      </w:r>
      <w:r>
        <w:rPr>
          <w:rFonts w:hint="eastAsia" w:ascii="仿宋_GB2312" w:eastAsia="仿宋_GB2312"/>
          <w:sz w:val="32"/>
          <w:szCs w:val="32"/>
          <w:highlight w:val="none"/>
          <w:lang w:val="en-US" w:eastAsia="zh-CN"/>
        </w:rPr>
        <w:t>8</w:t>
      </w:r>
      <w:r>
        <w:rPr>
          <w:rFonts w:hint="eastAsia" w:ascii="仿宋_GB2312" w:eastAsia="仿宋_GB2312"/>
          <w:sz w:val="32"/>
          <w:szCs w:val="32"/>
          <w:highlight w:val="none"/>
          <w:lang w:eastAsia="zh-CN"/>
        </w:rPr>
        <w:t>个处室，分别是：慢病科、疾控科、性艾科、结防科、卫生科、地病科、办公室、检验科。</w:t>
      </w:r>
      <w:r>
        <w:rPr>
          <w:rFonts w:hint="eastAsia" w:ascii="黑体" w:hAnsi="黑体" w:eastAsia="黑体"/>
          <w:color w:val="auto"/>
          <w:sz w:val="32"/>
          <w:szCs w:val="32"/>
          <w:highlight w:val="none"/>
        </w:rPr>
        <w:br w:type="page"/>
      </w:r>
    </w:p>
    <w:p w14:paraId="316E9C46">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二</w:t>
      </w:r>
      <w:r>
        <w:rPr>
          <w:rFonts w:hint="eastAsia" w:ascii="黑体" w:hAnsi="黑体" w:eastAsia="黑体"/>
          <w:color w:val="auto"/>
          <w:sz w:val="32"/>
          <w:szCs w:val="32"/>
          <w:highlight w:val="none"/>
        </w:rPr>
        <w:t>部分 部门决算情况说明</w:t>
      </w:r>
      <w:bookmarkEnd w:id="6"/>
      <w:bookmarkEnd w:id="7"/>
    </w:p>
    <w:p w14:paraId="6B9C8A30">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bookmarkStart w:id="8" w:name="_Toc12566"/>
      <w:bookmarkStart w:id="9" w:name="_Toc25314"/>
      <w:r>
        <w:rPr>
          <w:rFonts w:hint="eastAsia" w:ascii="黑体" w:hAnsi="黑体" w:eastAsia="黑体" w:cs="宋体"/>
          <w:bCs/>
          <w:color w:val="auto"/>
          <w:kern w:val="0"/>
          <w:sz w:val="32"/>
          <w:szCs w:val="32"/>
          <w:highlight w:val="none"/>
        </w:rPr>
        <w:t>一、收入支出决算总体情况说明</w:t>
      </w:r>
      <w:bookmarkEnd w:id="8"/>
      <w:bookmarkEnd w:id="9"/>
    </w:p>
    <w:p w14:paraId="3DE31FF8">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pacing w:val="0"/>
          <w:sz w:val="32"/>
          <w:szCs w:val="32"/>
          <w:highlight w:val="none"/>
          <w:lang w:val="en-US" w:eastAsia="zh-CN"/>
        </w:rPr>
        <w:t>收入总计</w:t>
      </w:r>
      <w:r>
        <w:rPr>
          <w:rFonts w:hint="eastAsia" w:ascii="仿宋_GB2312" w:eastAsia="仿宋_GB2312"/>
          <w:color w:val="auto"/>
          <w:spacing w:val="0"/>
          <w:sz w:val="32"/>
          <w:szCs w:val="32"/>
          <w:highlight w:val="none"/>
          <w:lang w:eastAsia="zh-CN"/>
        </w:rPr>
        <w:t>1,371.97万元，</w:t>
      </w:r>
      <w:r>
        <w:rPr>
          <w:rFonts w:hint="eastAsia" w:ascii="仿宋_GB2312" w:eastAsia="仿宋_GB2312"/>
          <w:color w:val="auto"/>
          <w:spacing w:val="0"/>
          <w:sz w:val="32"/>
          <w:szCs w:val="32"/>
          <w:highlight w:val="none"/>
          <w:lang w:val="en-US" w:eastAsia="zh-CN"/>
        </w:rPr>
        <w:t>其中：本年收入合计</w:t>
      </w:r>
      <w:r>
        <w:rPr>
          <w:rFonts w:hint="eastAsia" w:ascii="仿宋_GB2312" w:eastAsia="仿宋_GB2312"/>
          <w:color w:val="auto"/>
          <w:spacing w:val="0"/>
          <w:sz w:val="32"/>
          <w:szCs w:val="32"/>
          <w:highlight w:val="none"/>
          <w:lang w:eastAsia="zh-CN"/>
        </w:rPr>
        <w:t>1,371.97万元，使用非财政拨款结余0.00万元，年初结转和结余0.00万元。</w:t>
      </w:r>
    </w:p>
    <w:p w14:paraId="3085AE54">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val="en-US" w:eastAsia="zh-CN"/>
        </w:rPr>
        <w:t>2023</w:t>
      </w:r>
      <w:r>
        <w:rPr>
          <w:rFonts w:hint="eastAsia" w:ascii="仿宋_GB2312" w:eastAsia="仿宋_GB2312"/>
          <w:color w:val="auto"/>
          <w:spacing w:val="0"/>
          <w:sz w:val="32"/>
          <w:szCs w:val="32"/>
          <w:highlight w:val="none"/>
          <w:lang w:eastAsia="zh-CN"/>
        </w:rPr>
        <w:t>年</w:t>
      </w:r>
      <w:r>
        <w:rPr>
          <w:rFonts w:hint="eastAsia" w:ascii="仿宋_GB2312" w:eastAsia="仿宋_GB2312"/>
          <w:color w:val="auto"/>
          <w:spacing w:val="0"/>
          <w:sz w:val="32"/>
          <w:szCs w:val="32"/>
          <w:highlight w:val="none"/>
          <w:lang w:val="en-US" w:eastAsia="zh-CN"/>
        </w:rPr>
        <w:t>度</w:t>
      </w:r>
      <w:r>
        <w:rPr>
          <w:rFonts w:hint="eastAsia" w:ascii="仿宋_GB2312" w:eastAsia="仿宋_GB2312"/>
          <w:color w:val="auto"/>
          <w:spacing w:val="0"/>
          <w:sz w:val="32"/>
          <w:szCs w:val="32"/>
          <w:highlight w:val="none"/>
          <w:lang w:eastAsia="zh-CN"/>
        </w:rPr>
        <w:t>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eastAsia="zh-CN"/>
        </w:rPr>
        <w:t>1,371.97万元，</w:t>
      </w:r>
      <w:r>
        <w:rPr>
          <w:rFonts w:hint="eastAsia" w:ascii="仿宋_GB2312" w:eastAsia="仿宋_GB2312"/>
          <w:color w:val="auto"/>
          <w:spacing w:val="0"/>
          <w:sz w:val="32"/>
          <w:szCs w:val="32"/>
          <w:highlight w:val="none"/>
          <w:lang w:val="en-US" w:eastAsia="zh-CN"/>
        </w:rPr>
        <w:t>其中：本年支出合计</w:t>
      </w:r>
      <w:r>
        <w:rPr>
          <w:rFonts w:hint="eastAsia" w:ascii="仿宋_GB2312" w:eastAsia="仿宋_GB2312"/>
          <w:color w:val="auto"/>
          <w:spacing w:val="0"/>
          <w:sz w:val="32"/>
          <w:szCs w:val="32"/>
          <w:highlight w:val="none"/>
          <w:lang w:eastAsia="zh-CN"/>
        </w:rPr>
        <w:t>1,371.97万元，</w:t>
      </w:r>
      <w:r>
        <w:rPr>
          <w:rFonts w:hint="eastAsia" w:ascii="仿宋_GB2312" w:eastAsia="仿宋_GB2312"/>
          <w:color w:val="auto"/>
          <w:spacing w:val="0"/>
          <w:sz w:val="32"/>
          <w:szCs w:val="32"/>
          <w:highlight w:val="none"/>
          <w:lang w:val="en-US" w:eastAsia="zh-CN"/>
        </w:rPr>
        <w:t>结余分配</w:t>
      </w:r>
      <w:r>
        <w:rPr>
          <w:rFonts w:hint="eastAsia" w:ascii="仿宋_GB2312" w:eastAsia="仿宋_GB2312"/>
          <w:color w:val="auto"/>
          <w:spacing w:val="0"/>
          <w:sz w:val="32"/>
          <w:szCs w:val="32"/>
          <w:highlight w:val="none"/>
          <w:lang w:eastAsia="zh-CN"/>
        </w:rPr>
        <w:t>0.00万元，年末结转和结余0.00万元。</w:t>
      </w:r>
    </w:p>
    <w:p w14:paraId="0709A688">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default"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val="en-US" w:eastAsia="zh-CN"/>
        </w:rPr>
        <w:t>收入支出总体与上年相比</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减少30.45万元</w:t>
      </w:r>
      <w:r>
        <w:rPr>
          <w:rFonts w:hint="eastAsia" w:ascii="仿宋_GB2312" w:eastAsia="仿宋_GB2312"/>
          <w:color w:val="auto"/>
          <w:spacing w:val="0"/>
          <w:sz w:val="32"/>
          <w:szCs w:val="32"/>
          <w:highlight w:val="none"/>
          <w:lang w:eastAsia="zh-CN"/>
        </w:rPr>
        <w:t>，下降2.17%，主要原因是：</w:t>
      </w:r>
      <w:r>
        <w:rPr>
          <w:rFonts w:hint="eastAsia" w:ascii="仿宋_GB2312" w:hAnsi="仿宋" w:eastAsia="仿宋_GB2312"/>
          <w:sz w:val="32"/>
          <w:szCs w:val="24"/>
        </w:rPr>
        <w:t>项目支出</w:t>
      </w:r>
      <w:r>
        <w:rPr>
          <w:rFonts w:hint="eastAsia" w:ascii="仿宋_GB2312" w:hAnsi="仿宋" w:eastAsia="仿宋_GB2312"/>
          <w:sz w:val="32"/>
          <w:szCs w:val="24"/>
          <w:lang w:eastAsia="zh-CN"/>
        </w:rPr>
        <w:t>中</w:t>
      </w:r>
      <w:r>
        <w:rPr>
          <w:rFonts w:hint="eastAsia" w:ascii="仿宋_GB2312" w:hAnsi="仿宋" w:eastAsia="仿宋_GB2312"/>
          <w:sz w:val="32"/>
          <w:szCs w:val="24"/>
          <w:lang w:val="en-US" w:eastAsia="zh-CN"/>
        </w:rPr>
        <w:t>基本公共卫生服务项目资金、突发公共卫生事件应急处理项目资金、其他公共卫生支出项目资金减少。</w:t>
      </w:r>
    </w:p>
    <w:p w14:paraId="614EC3D8">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rPr>
      </w:pPr>
      <w:bookmarkStart w:id="10" w:name="_Toc12142"/>
      <w:bookmarkStart w:id="11" w:name="_Toc1979"/>
      <w:r>
        <w:rPr>
          <w:rFonts w:hint="eastAsia" w:ascii="黑体" w:hAnsi="黑体" w:eastAsia="黑体" w:cs="宋体"/>
          <w:bCs/>
          <w:color w:val="auto"/>
          <w:kern w:val="0"/>
          <w:sz w:val="32"/>
          <w:szCs w:val="32"/>
          <w:highlight w:val="none"/>
          <w:lang w:eastAsia="zh-CN"/>
        </w:rPr>
        <w:t>二、</w:t>
      </w:r>
      <w:r>
        <w:rPr>
          <w:rFonts w:hint="eastAsia" w:ascii="黑体" w:hAnsi="黑体" w:eastAsia="黑体" w:cs="宋体"/>
          <w:bCs/>
          <w:color w:val="auto"/>
          <w:kern w:val="0"/>
          <w:sz w:val="32"/>
          <w:szCs w:val="32"/>
          <w:highlight w:val="none"/>
        </w:rPr>
        <w:t>收入</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情况说明</w:t>
      </w:r>
      <w:bookmarkEnd w:id="10"/>
      <w:bookmarkEnd w:id="11"/>
    </w:p>
    <w:p w14:paraId="7007C93E">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本年收入</w:t>
      </w:r>
      <w:r>
        <w:rPr>
          <w:rFonts w:hint="eastAsia" w:ascii="仿宋_GB2312" w:eastAsia="仿宋_GB2312"/>
          <w:color w:val="auto"/>
          <w:sz w:val="32"/>
          <w:szCs w:val="32"/>
          <w:highlight w:val="none"/>
          <w:lang w:eastAsia="zh-CN"/>
        </w:rPr>
        <w:t>1,371.97</w:t>
      </w:r>
      <w:r>
        <w:rPr>
          <w:rFonts w:hint="eastAsia" w:ascii="仿宋_GB2312" w:eastAsia="仿宋_GB2312"/>
          <w:color w:val="auto"/>
          <w:sz w:val="32"/>
          <w:szCs w:val="32"/>
          <w:highlight w:val="none"/>
        </w:rPr>
        <w:t>万元，其中：财政拨款收入</w:t>
      </w:r>
      <w:r>
        <w:rPr>
          <w:rFonts w:hint="eastAsia" w:ascii="仿宋_GB2312" w:eastAsia="仿宋_GB2312"/>
          <w:color w:val="auto"/>
          <w:sz w:val="32"/>
          <w:szCs w:val="32"/>
          <w:highlight w:val="none"/>
          <w:lang w:val="zh-CN"/>
        </w:rPr>
        <w:t>1,371.97</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100.00%</w:t>
      </w:r>
      <w:r>
        <w:rPr>
          <w:rFonts w:hint="eastAsia" w:ascii="仿宋_GB2312" w:eastAsia="仿宋_GB2312"/>
          <w:color w:val="auto"/>
          <w:sz w:val="32"/>
          <w:szCs w:val="32"/>
          <w:highlight w:val="none"/>
        </w:rPr>
        <w:t>；上级补助收入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；事业收入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；经营收入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eastAsia="zh-CN"/>
        </w:rPr>
        <w:t>附属单位上缴收入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；其他收入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w:t>
      </w:r>
    </w:p>
    <w:p w14:paraId="40CEE2DE">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2" w:name="_Toc13201"/>
      <w:bookmarkStart w:id="13" w:name="_Toc27961"/>
      <w:r>
        <w:rPr>
          <w:rFonts w:hint="eastAsia" w:ascii="黑体" w:hAnsi="黑体" w:eastAsia="黑体" w:cs="宋体"/>
          <w:bCs/>
          <w:color w:val="auto"/>
          <w:kern w:val="0"/>
          <w:sz w:val="32"/>
          <w:szCs w:val="32"/>
          <w:highlight w:val="none"/>
          <w:lang w:eastAsia="zh-CN"/>
        </w:rPr>
        <w:t>三、支出决算情况说明</w:t>
      </w:r>
      <w:bookmarkEnd w:id="12"/>
      <w:bookmarkEnd w:id="13"/>
    </w:p>
    <w:p w14:paraId="4DB6E485">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lang w:val="zh-CN" w:eastAsia="zh-CN"/>
        </w:rPr>
      </w:pPr>
      <w:r>
        <w:rPr>
          <w:rFonts w:hint="eastAsia" w:ascii="仿宋_GB2312" w:hAnsi="仿宋_GB2312" w:eastAsia="仿宋_GB2312" w:cs="仿宋_GB2312"/>
          <w:color w:val="auto"/>
          <w:sz w:val="32"/>
          <w:szCs w:val="32"/>
          <w:highlight w:val="none"/>
          <w:lang w:val="zh-CN" w:eastAsia="zh-CN"/>
        </w:rPr>
        <w:t>本年支出1,371.97万元，其中：基本支出1,010.87万元，占73.68%；项目支出361.10万元，占26.32%；上缴上级支出0.00万元，占0.00%；经营支出0.00万元，占0.00%；对附属单位补助支出0.00万元，占0.00%。</w:t>
      </w:r>
    </w:p>
    <w:p w14:paraId="4841A25B">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4" w:name="_Toc26564"/>
      <w:bookmarkStart w:id="15" w:name="_Toc4393"/>
      <w:r>
        <w:rPr>
          <w:rFonts w:hint="eastAsia" w:ascii="黑体" w:hAnsi="黑体" w:eastAsia="黑体" w:cs="宋体"/>
          <w:bCs/>
          <w:color w:val="auto"/>
          <w:kern w:val="0"/>
          <w:sz w:val="32"/>
          <w:szCs w:val="32"/>
          <w:highlight w:val="none"/>
          <w:lang w:eastAsia="zh-CN"/>
        </w:rPr>
        <w:t>四、财政拨款收入支出决算总体情况说明</w:t>
      </w:r>
      <w:bookmarkEnd w:id="14"/>
      <w:bookmarkEnd w:id="15"/>
    </w:p>
    <w:p w14:paraId="27A7EA8B">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2023年度财政拨款收入</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1,371.97</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其中：年初财政拨款结转和结余</w:t>
      </w:r>
      <w:r>
        <w:rPr>
          <w:rFonts w:hint="eastAsia" w:ascii="仿宋_GB2312" w:eastAsia="仿宋_GB2312"/>
          <w:color w:val="auto"/>
          <w:spacing w:val="0"/>
          <w:sz w:val="32"/>
          <w:szCs w:val="32"/>
          <w:highlight w:val="none"/>
          <w:lang w:val="zh-CN" w:eastAsia="zh-CN"/>
        </w:rPr>
        <w:t>0.00</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本年财政拨款收入</w:t>
      </w:r>
      <w:r>
        <w:rPr>
          <w:rFonts w:hint="eastAsia" w:ascii="仿宋_GB2312" w:eastAsia="仿宋_GB2312"/>
          <w:color w:val="auto"/>
          <w:spacing w:val="0"/>
          <w:sz w:val="32"/>
          <w:szCs w:val="32"/>
          <w:highlight w:val="none"/>
          <w:lang w:val="zh-CN" w:eastAsia="zh-CN"/>
        </w:rPr>
        <w:t>1,371.97</w:t>
      </w:r>
      <w:r>
        <w:rPr>
          <w:rFonts w:hint="eastAsia" w:ascii="仿宋_GB2312" w:eastAsia="仿宋_GB2312"/>
          <w:color w:val="auto"/>
          <w:spacing w:val="0"/>
          <w:sz w:val="32"/>
          <w:szCs w:val="32"/>
          <w:highlight w:val="none"/>
          <w:lang w:eastAsia="zh-CN"/>
        </w:rPr>
        <w:t>万元。财政拨款支出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1,371.97</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其中：年末财政拨款结转和结余</w:t>
      </w:r>
      <w:r>
        <w:rPr>
          <w:rFonts w:hint="eastAsia" w:ascii="仿宋_GB2312" w:eastAsia="仿宋_GB2312"/>
          <w:color w:val="auto"/>
          <w:spacing w:val="0"/>
          <w:sz w:val="32"/>
          <w:szCs w:val="32"/>
          <w:highlight w:val="none"/>
          <w:lang w:val="zh-CN" w:eastAsia="zh-CN"/>
        </w:rPr>
        <w:t>0.00</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本年财政拨款支出</w:t>
      </w:r>
      <w:r>
        <w:rPr>
          <w:rFonts w:hint="eastAsia" w:ascii="仿宋_GB2312" w:eastAsia="仿宋_GB2312"/>
          <w:color w:val="auto"/>
          <w:spacing w:val="0"/>
          <w:sz w:val="32"/>
          <w:szCs w:val="32"/>
          <w:highlight w:val="none"/>
          <w:lang w:val="zh-CN" w:eastAsia="zh-CN"/>
        </w:rPr>
        <w:t>1,371.97</w:t>
      </w:r>
      <w:r>
        <w:rPr>
          <w:rFonts w:hint="eastAsia" w:ascii="仿宋_GB2312" w:eastAsia="仿宋_GB2312"/>
          <w:color w:val="auto"/>
          <w:spacing w:val="0"/>
          <w:sz w:val="32"/>
          <w:szCs w:val="32"/>
          <w:highlight w:val="none"/>
          <w:lang w:eastAsia="zh-CN"/>
        </w:rPr>
        <w:t>万元。</w:t>
      </w:r>
    </w:p>
    <w:p w14:paraId="5FDA92F5">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财政拨款收入支出总体与上年相比</w:t>
      </w:r>
      <w:r>
        <w:rPr>
          <w:rFonts w:hint="eastAsia" w:ascii="仿宋_GB2312" w:eastAsia="仿宋_GB2312"/>
          <w:color w:val="auto"/>
          <w:spacing w:val="0"/>
          <w:sz w:val="32"/>
          <w:szCs w:val="32"/>
          <w:highlight w:val="none"/>
          <w:lang w:val="en-US" w:eastAsia="zh-CN"/>
        </w:rPr>
        <w:t>,</w:t>
      </w:r>
      <w:r>
        <w:rPr>
          <w:rFonts w:hint="eastAsia" w:ascii="仿宋_GB2312" w:eastAsia="仿宋_GB2312"/>
          <w:color w:val="auto"/>
          <w:spacing w:val="0"/>
          <w:sz w:val="32"/>
          <w:szCs w:val="32"/>
          <w:highlight w:val="none"/>
          <w:lang w:val="zh-CN" w:eastAsia="zh-CN"/>
        </w:rPr>
        <w:t>减少30.45万元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en-US" w:eastAsia="zh-CN"/>
        </w:rPr>
        <w:t>下降2.17%,</w:t>
      </w:r>
      <w:r>
        <w:rPr>
          <w:rFonts w:hint="eastAsia" w:ascii="仿宋_GB2312" w:eastAsia="仿宋_GB2312"/>
          <w:color w:val="auto"/>
          <w:spacing w:val="0"/>
          <w:sz w:val="32"/>
          <w:szCs w:val="32"/>
          <w:highlight w:val="none"/>
          <w:lang w:eastAsia="zh-CN"/>
        </w:rPr>
        <w:t>主要原因是</w:t>
      </w:r>
      <w:r>
        <w:rPr>
          <w:rFonts w:hint="eastAsia" w:ascii="仿宋_GB2312" w:hAnsi="仿宋" w:eastAsia="仿宋_GB2312"/>
          <w:sz w:val="32"/>
          <w:szCs w:val="24"/>
          <w:lang w:eastAsia="zh-CN"/>
        </w:rPr>
        <w:t>：</w:t>
      </w:r>
      <w:r>
        <w:rPr>
          <w:rFonts w:hint="eastAsia" w:ascii="仿宋_GB2312" w:hAnsi="仿宋" w:eastAsia="仿宋_GB2312"/>
          <w:sz w:val="32"/>
          <w:szCs w:val="24"/>
        </w:rPr>
        <w:t>项目支出</w:t>
      </w:r>
      <w:r>
        <w:rPr>
          <w:rFonts w:hint="eastAsia" w:ascii="仿宋_GB2312" w:hAnsi="仿宋" w:eastAsia="仿宋_GB2312"/>
          <w:sz w:val="32"/>
          <w:szCs w:val="24"/>
          <w:lang w:eastAsia="zh-CN"/>
        </w:rPr>
        <w:t>中</w:t>
      </w:r>
      <w:r>
        <w:rPr>
          <w:rFonts w:hint="eastAsia" w:ascii="仿宋_GB2312" w:hAnsi="仿宋" w:eastAsia="仿宋_GB2312"/>
          <w:sz w:val="32"/>
          <w:szCs w:val="24"/>
          <w:lang w:val="en-US" w:eastAsia="zh-CN"/>
        </w:rPr>
        <w:t>基本公共卫生服务项目资金、突发公共卫生事件应急处理项目资金、其他公共卫生支出项目资金减少。</w:t>
      </w:r>
    </w:p>
    <w:p w14:paraId="001E608B">
      <w:pPr>
        <w:ind w:firstLine="640" w:firstLineChars="200"/>
        <w:jc w:val="left"/>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eastAsia="zh-CN"/>
        </w:rPr>
        <w:t>与年初预算相比，年初预算数</w:t>
      </w:r>
      <w:r>
        <w:rPr>
          <w:rFonts w:hint="eastAsia" w:ascii="仿宋_GB2312" w:eastAsia="仿宋_GB2312"/>
          <w:color w:val="auto"/>
          <w:spacing w:val="0"/>
          <w:sz w:val="32"/>
          <w:szCs w:val="32"/>
          <w:highlight w:val="none"/>
          <w:lang w:val="zh-CN" w:eastAsia="zh-CN"/>
        </w:rPr>
        <w:t>1,051.22</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1,371.97</w:t>
      </w:r>
      <w:r>
        <w:rPr>
          <w:rFonts w:hint="eastAsia" w:ascii="仿宋_GB2312" w:eastAsia="仿宋_GB2312"/>
          <w:color w:val="auto"/>
          <w:spacing w:val="0"/>
          <w:sz w:val="32"/>
          <w:szCs w:val="32"/>
          <w:highlight w:val="none"/>
          <w:lang w:eastAsia="zh-CN"/>
        </w:rPr>
        <w:t>万元，预决算差异率30.51%，主要原因是：</w:t>
      </w:r>
      <w:r>
        <w:rPr>
          <w:rFonts w:hint="eastAsia" w:ascii="仿宋_GB2312" w:hAnsi="仿宋" w:eastAsia="仿宋_GB2312"/>
          <w:sz w:val="32"/>
          <w:szCs w:val="24"/>
          <w:lang w:val="en-US" w:eastAsia="zh-CN"/>
        </w:rPr>
        <w:t>2023年增加工资、津补贴、医保及社保缴费，</w:t>
      </w:r>
      <w:r>
        <w:rPr>
          <w:rFonts w:hint="eastAsia" w:ascii="仿宋_GB2312" w:eastAsia="仿宋_GB2312"/>
          <w:color w:val="auto"/>
          <w:spacing w:val="0"/>
          <w:sz w:val="32"/>
          <w:szCs w:val="32"/>
          <w:highlight w:val="none"/>
          <w:lang w:val="en-US" w:eastAsia="zh-CN"/>
        </w:rPr>
        <w:t>项目支出</w:t>
      </w:r>
      <w:r>
        <w:rPr>
          <w:rFonts w:hint="eastAsia" w:ascii="仿宋_GB2312" w:hAnsi="仿宋" w:eastAsia="仿宋_GB2312"/>
          <w:sz w:val="32"/>
          <w:szCs w:val="24"/>
        </w:rPr>
        <w:t>上级下达专项资金增加</w:t>
      </w:r>
      <w:r>
        <w:rPr>
          <w:rFonts w:hint="eastAsia" w:ascii="仿宋_GB2312" w:hAnsi="仿宋" w:eastAsia="仿宋_GB2312"/>
          <w:sz w:val="32"/>
          <w:szCs w:val="24"/>
          <w:lang w:eastAsia="zh-CN"/>
        </w:rPr>
        <w:t>，</w:t>
      </w:r>
      <w:r>
        <w:rPr>
          <w:rFonts w:hint="eastAsia" w:ascii="仿宋_GB2312" w:hAnsi="仿宋" w:eastAsia="仿宋_GB2312"/>
          <w:sz w:val="32"/>
          <w:szCs w:val="24"/>
          <w:lang w:val="en-US" w:eastAsia="zh-CN"/>
        </w:rPr>
        <w:t>追加办公楼主体及附属工程项目资金、重大公共卫生服务项目资金、突发公共卫生事件应急处理项目资金</w:t>
      </w:r>
      <w:r>
        <w:rPr>
          <w:rFonts w:hint="eastAsia" w:ascii="仿宋_GB2312" w:eastAsia="仿宋_GB2312"/>
          <w:color w:val="auto"/>
          <w:spacing w:val="0"/>
          <w:sz w:val="32"/>
          <w:szCs w:val="32"/>
          <w:highlight w:val="none"/>
          <w:lang w:eastAsia="zh-CN"/>
        </w:rPr>
        <w:t>。</w:t>
      </w:r>
    </w:p>
    <w:p w14:paraId="7982C123">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6" w:name="_Toc20360"/>
      <w:bookmarkStart w:id="17" w:name="_Toc13833"/>
      <w:r>
        <w:rPr>
          <w:rFonts w:hint="eastAsia" w:ascii="黑体" w:hAnsi="黑体" w:eastAsia="黑体" w:cs="宋体"/>
          <w:bCs/>
          <w:color w:val="auto"/>
          <w:kern w:val="0"/>
          <w:sz w:val="32"/>
          <w:szCs w:val="32"/>
          <w:highlight w:val="none"/>
          <w:lang w:eastAsia="zh-CN"/>
        </w:rPr>
        <w:t>五、一般公共预算财政拨款支出决算情况说明</w:t>
      </w:r>
      <w:bookmarkEnd w:id="16"/>
      <w:bookmarkEnd w:id="17"/>
    </w:p>
    <w:p w14:paraId="2045BA60">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（一）一般公共预算财政拨款支出决算总体情况</w:t>
      </w:r>
    </w:p>
    <w:p w14:paraId="2BD84F77">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sz w:val="32"/>
          <w:szCs w:val="32"/>
          <w:highlight w:val="none"/>
        </w:rPr>
      </w:pPr>
      <w:r>
        <w:rPr>
          <w:rFonts w:hint="eastAsia" w:ascii="仿宋_GB2312" w:eastAsia="仿宋_GB2312"/>
          <w:color w:val="auto"/>
          <w:spacing w:val="0"/>
          <w:sz w:val="32"/>
          <w:szCs w:val="32"/>
          <w:highlight w:val="none"/>
          <w:lang w:eastAsia="zh-CN"/>
        </w:rPr>
        <w:t>2023年度一般公共预算财政拨款支出1,371.97万元，占本年支出合计的</w:t>
      </w:r>
      <w:r>
        <w:rPr>
          <w:rFonts w:hint="eastAsia" w:ascii="仿宋_GB2312" w:eastAsia="仿宋_GB2312"/>
          <w:color w:val="auto"/>
          <w:spacing w:val="0"/>
          <w:sz w:val="32"/>
          <w:szCs w:val="32"/>
          <w:highlight w:val="none"/>
          <w:lang w:val="zh-CN" w:eastAsia="zh-CN"/>
        </w:rPr>
        <w:t>100.00%</w:t>
      </w:r>
      <w:r>
        <w:rPr>
          <w:rFonts w:hint="eastAsia" w:ascii="仿宋_GB2312" w:eastAsia="仿宋_GB2312"/>
          <w:color w:val="auto"/>
          <w:spacing w:val="0"/>
          <w:sz w:val="32"/>
          <w:szCs w:val="32"/>
          <w:highlight w:val="none"/>
          <w:lang w:eastAsia="zh-CN"/>
        </w:rPr>
        <w:t>。与上年相比，</w:t>
      </w:r>
      <w:r>
        <w:rPr>
          <w:rFonts w:hint="eastAsia" w:ascii="仿宋_GB2312" w:eastAsia="仿宋_GB2312"/>
          <w:color w:val="auto"/>
          <w:spacing w:val="0"/>
          <w:sz w:val="32"/>
          <w:szCs w:val="32"/>
          <w:highlight w:val="none"/>
          <w:lang w:val="zh-CN" w:eastAsia="zh-CN"/>
        </w:rPr>
        <w:t>减少30.45万元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en-US" w:eastAsia="zh-CN"/>
        </w:rPr>
        <w:t>下降2.17%,</w:t>
      </w:r>
      <w:r>
        <w:rPr>
          <w:rFonts w:hint="eastAsia" w:ascii="仿宋_GB2312" w:eastAsia="仿宋_GB2312"/>
          <w:color w:val="auto"/>
          <w:spacing w:val="0"/>
          <w:sz w:val="32"/>
          <w:szCs w:val="32"/>
          <w:highlight w:val="none"/>
          <w:lang w:eastAsia="zh-CN"/>
        </w:rPr>
        <w:t>主要原因是：</w:t>
      </w:r>
      <w:r>
        <w:rPr>
          <w:rFonts w:hint="eastAsia" w:ascii="仿宋_GB2312" w:hAnsi="仿宋" w:eastAsia="仿宋_GB2312"/>
          <w:sz w:val="32"/>
          <w:szCs w:val="24"/>
        </w:rPr>
        <w:t>项目支出</w:t>
      </w:r>
      <w:r>
        <w:rPr>
          <w:rFonts w:hint="eastAsia" w:ascii="仿宋_GB2312" w:hAnsi="仿宋" w:eastAsia="仿宋_GB2312"/>
          <w:sz w:val="32"/>
          <w:szCs w:val="24"/>
          <w:lang w:eastAsia="zh-CN"/>
        </w:rPr>
        <w:t>中</w:t>
      </w:r>
      <w:r>
        <w:rPr>
          <w:rFonts w:hint="eastAsia" w:ascii="仿宋_GB2312" w:hAnsi="仿宋" w:eastAsia="仿宋_GB2312"/>
          <w:sz w:val="32"/>
          <w:szCs w:val="24"/>
          <w:lang w:val="en-US" w:eastAsia="zh-CN"/>
        </w:rPr>
        <w:t>基本公共卫生服务项目资金、突发公共卫生事件应急处理项目资金、其他公共卫生支出项目资金减少。</w:t>
      </w:r>
      <w:r>
        <w:rPr>
          <w:rFonts w:hint="eastAsia" w:ascii="仿宋_GB2312" w:eastAsia="仿宋_GB2312"/>
          <w:color w:val="auto"/>
          <w:spacing w:val="0"/>
          <w:sz w:val="32"/>
          <w:szCs w:val="32"/>
          <w:highlight w:val="none"/>
          <w:lang w:eastAsia="zh-CN"/>
        </w:rPr>
        <w:t>与年初预算相比，年初预算数</w:t>
      </w:r>
      <w:r>
        <w:rPr>
          <w:rFonts w:hint="eastAsia" w:ascii="仿宋_GB2312" w:eastAsia="仿宋_GB2312"/>
          <w:color w:val="auto"/>
          <w:spacing w:val="0"/>
          <w:sz w:val="32"/>
          <w:szCs w:val="32"/>
          <w:highlight w:val="none"/>
          <w:lang w:val="zh-CN" w:eastAsia="zh-CN"/>
        </w:rPr>
        <w:t>1,051.22</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1,371.97</w:t>
      </w:r>
      <w:r>
        <w:rPr>
          <w:rFonts w:hint="eastAsia" w:ascii="仿宋_GB2312" w:eastAsia="仿宋_GB2312"/>
          <w:color w:val="auto"/>
          <w:spacing w:val="0"/>
          <w:sz w:val="32"/>
          <w:szCs w:val="32"/>
          <w:highlight w:val="none"/>
          <w:lang w:eastAsia="zh-CN"/>
        </w:rPr>
        <w:t>万元，预决算差异率</w:t>
      </w:r>
      <w:r>
        <w:rPr>
          <w:rFonts w:hint="eastAsia" w:ascii="仿宋_GB2312" w:eastAsia="仿宋_GB2312"/>
          <w:color w:val="auto"/>
          <w:spacing w:val="0"/>
          <w:sz w:val="32"/>
          <w:szCs w:val="32"/>
          <w:highlight w:val="none"/>
          <w:lang w:val="zh-CN" w:eastAsia="zh-CN"/>
        </w:rPr>
        <w:t>30.51%</w:t>
      </w:r>
      <w:r>
        <w:rPr>
          <w:rFonts w:hint="eastAsia" w:ascii="仿宋_GB2312" w:eastAsia="仿宋_GB2312"/>
          <w:color w:val="auto"/>
          <w:spacing w:val="0"/>
          <w:sz w:val="32"/>
          <w:szCs w:val="32"/>
          <w:highlight w:val="none"/>
          <w:lang w:eastAsia="zh-CN"/>
        </w:rPr>
        <w:t>，主要原因是：</w:t>
      </w:r>
      <w:r>
        <w:rPr>
          <w:rFonts w:hint="eastAsia" w:ascii="仿宋_GB2312" w:hAnsi="仿宋" w:eastAsia="仿宋_GB2312"/>
          <w:sz w:val="32"/>
          <w:szCs w:val="24"/>
          <w:lang w:val="en-US" w:eastAsia="zh-CN"/>
        </w:rPr>
        <w:t>2023年增加工资、津补贴、医保及社保缴费，</w:t>
      </w:r>
      <w:r>
        <w:rPr>
          <w:rFonts w:hint="eastAsia" w:ascii="仿宋_GB2312" w:eastAsia="仿宋_GB2312"/>
          <w:color w:val="auto"/>
          <w:spacing w:val="0"/>
          <w:sz w:val="32"/>
          <w:szCs w:val="32"/>
          <w:highlight w:val="none"/>
          <w:lang w:val="en-US" w:eastAsia="zh-CN"/>
        </w:rPr>
        <w:t>项目支出</w:t>
      </w:r>
      <w:r>
        <w:rPr>
          <w:rFonts w:hint="eastAsia" w:ascii="仿宋_GB2312" w:hAnsi="仿宋" w:eastAsia="仿宋_GB2312"/>
          <w:sz w:val="32"/>
          <w:szCs w:val="24"/>
        </w:rPr>
        <w:t>上级下达专项资金增加</w:t>
      </w:r>
      <w:r>
        <w:rPr>
          <w:rFonts w:hint="eastAsia" w:ascii="仿宋_GB2312" w:hAnsi="仿宋" w:eastAsia="仿宋_GB2312"/>
          <w:sz w:val="32"/>
          <w:szCs w:val="24"/>
          <w:lang w:eastAsia="zh-CN"/>
        </w:rPr>
        <w:t>，</w:t>
      </w:r>
      <w:r>
        <w:rPr>
          <w:rFonts w:hint="eastAsia" w:ascii="仿宋_GB2312" w:hAnsi="仿宋" w:eastAsia="仿宋_GB2312"/>
          <w:sz w:val="32"/>
          <w:szCs w:val="24"/>
          <w:lang w:val="en-US" w:eastAsia="zh-CN"/>
        </w:rPr>
        <w:t>追加办公楼主体及附属工程项目资金、重大公共卫生服务项目资金、突发公共卫生事件应急处理项目资金</w:t>
      </w:r>
      <w:r>
        <w:rPr>
          <w:rFonts w:hint="eastAsia" w:ascii="仿宋_GB2312" w:eastAsia="仿宋_GB2312"/>
          <w:color w:val="auto"/>
          <w:spacing w:val="0"/>
          <w:sz w:val="32"/>
          <w:szCs w:val="32"/>
          <w:highlight w:val="none"/>
          <w:lang w:eastAsia="zh-CN"/>
        </w:rPr>
        <w:t>。</w:t>
      </w:r>
    </w:p>
    <w:p w14:paraId="6D4F519D">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（二）一般公共预算</w:t>
      </w:r>
      <w:r>
        <w:rPr>
          <w:rFonts w:hint="eastAsia" w:ascii="黑体" w:hAnsi="黑体" w:eastAsia="黑体"/>
          <w:color w:val="auto"/>
          <w:sz w:val="32"/>
          <w:szCs w:val="32"/>
          <w:highlight w:val="none"/>
          <w:lang w:val="en-US" w:eastAsia="zh-CN"/>
        </w:rPr>
        <w:t>财政拨款支出决算</w:t>
      </w:r>
      <w:r>
        <w:rPr>
          <w:rFonts w:hint="eastAsia" w:ascii="黑体" w:hAnsi="黑体" w:eastAsia="黑体"/>
          <w:color w:val="auto"/>
          <w:sz w:val="32"/>
          <w:szCs w:val="32"/>
          <w:highlight w:val="none"/>
          <w:lang w:eastAsia="zh-CN"/>
        </w:rPr>
        <w:t>结构情况</w:t>
      </w:r>
    </w:p>
    <w:p w14:paraId="5F229450">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default" w:ascii="仿宋_GB2312" w:hAnsi="Times New Roman" w:eastAsia="仿宋_GB2312" w:cs="Times New Roman"/>
          <w:color w:val="auto"/>
          <w:spacing w:val="0"/>
          <w:kern w:val="2"/>
          <w:sz w:val="32"/>
          <w:szCs w:val="32"/>
          <w:highlight w:val="none"/>
          <w:lang w:val="zh-CN" w:eastAsia="zh-CN" w:bidi="ar-SA"/>
        </w:rPr>
        <w:t>1.社会保障和就业支出（类）</w:t>
      </w:r>
      <w:r>
        <w:rPr>
          <w:rFonts w:hint="eastAsia" w:ascii="仿宋_GB2312" w:hAnsi="Times New Roman" w:eastAsia="仿宋_GB2312" w:cs="Times New Roman"/>
          <w:color w:val="auto"/>
          <w:spacing w:val="0"/>
          <w:kern w:val="2"/>
          <w:sz w:val="32"/>
          <w:szCs w:val="32"/>
          <w:highlight w:val="none"/>
          <w:lang w:val="zh-CN" w:eastAsia="zh-CN" w:bidi="ar-SA"/>
        </w:rPr>
        <w:t>109.82</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eastAsia="仿宋_GB2312" w:cs="Times New Roman"/>
          <w:color w:val="auto"/>
          <w:spacing w:val="0"/>
          <w:kern w:val="2"/>
          <w:sz w:val="32"/>
          <w:szCs w:val="32"/>
          <w:highlight w:val="none"/>
          <w:lang w:val="zh-CN" w:eastAsia="zh-CN" w:bidi="ar-SA"/>
        </w:rPr>
        <w:t>8.00%</w:t>
      </w:r>
      <w:r>
        <w:rPr>
          <w:rFonts w:hint="default" w:ascii="仿宋_GB2312" w:hAnsi="Times New Roman" w:eastAsia="仿宋_GB2312" w:cs="Times New Roman"/>
          <w:color w:val="auto"/>
          <w:spacing w:val="0"/>
          <w:kern w:val="2"/>
          <w:sz w:val="32"/>
          <w:szCs w:val="32"/>
          <w:highlight w:val="none"/>
          <w:lang w:val="zh-CN" w:eastAsia="zh-CN" w:bidi="ar-SA"/>
        </w:rPr>
        <w:t>；</w:t>
      </w:r>
    </w:p>
    <w:p w14:paraId="1FBB4602">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highlight w:val="none"/>
          <w:lang w:val="en-US" w:eastAsia="zh-CN" w:bidi="ar-SA"/>
        </w:rPr>
        <w:t>2</w:t>
      </w:r>
      <w:r>
        <w:rPr>
          <w:rFonts w:hint="default" w:ascii="仿宋_GB2312" w:hAnsi="Times New Roman" w:eastAsia="仿宋_GB2312" w:cs="Times New Roman"/>
          <w:color w:val="auto"/>
          <w:spacing w:val="0"/>
          <w:kern w:val="2"/>
          <w:sz w:val="32"/>
          <w:szCs w:val="32"/>
          <w:highlight w:val="none"/>
          <w:lang w:val="zh-CN" w:eastAsia="zh-CN" w:bidi="ar-SA"/>
        </w:rPr>
        <w:t>.卫生健康支出（类）</w:t>
      </w:r>
      <w:r>
        <w:rPr>
          <w:rFonts w:hint="eastAsia" w:ascii="仿宋_GB2312" w:hAnsi="Times New Roman" w:eastAsia="仿宋_GB2312" w:cs="Times New Roman"/>
          <w:color w:val="auto"/>
          <w:spacing w:val="0"/>
          <w:kern w:val="2"/>
          <w:sz w:val="32"/>
          <w:szCs w:val="32"/>
          <w:highlight w:val="none"/>
          <w:lang w:val="zh-CN" w:eastAsia="zh-CN" w:bidi="ar-SA"/>
        </w:rPr>
        <w:t>1,185.58</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eastAsia="仿宋_GB2312" w:cs="Times New Roman"/>
          <w:color w:val="auto"/>
          <w:spacing w:val="0"/>
          <w:kern w:val="2"/>
          <w:sz w:val="32"/>
          <w:szCs w:val="32"/>
          <w:highlight w:val="none"/>
          <w:lang w:val="zh-CN" w:eastAsia="zh-CN" w:bidi="ar-SA"/>
        </w:rPr>
        <w:t>86.4</w:t>
      </w:r>
      <w:r>
        <w:rPr>
          <w:rFonts w:hint="eastAsia" w:ascii="仿宋_GB2312" w:eastAsia="仿宋_GB2312" w:cs="Times New Roman"/>
          <w:color w:val="auto"/>
          <w:spacing w:val="0"/>
          <w:kern w:val="2"/>
          <w:sz w:val="32"/>
          <w:szCs w:val="32"/>
          <w:highlight w:val="none"/>
          <w:lang w:val="en-US" w:eastAsia="zh-CN" w:bidi="ar-SA"/>
        </w:rPr>
        <w:t>2</w:t>
      </w:r>
      <w:r>
        <w:rPr>
          <w:rFonts w:hint="eastAsia" w:ascii="仿宋_GB2312" w:eastAsia="仿宋_GB2312" w:cs="Times New Roman"/>
          <w:color w:val="auto"/>
          <w:spacing w:val="0"/>
          <w:kern w:val="2"/>
          <w:sz w:val="32"/>
          <w:szCs w:val="32"/>
          <w:highlight w:val="none"/>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w:t>
      </w:r>
    </w:p>
    <w:p w14:paraId="26F4FB28">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highlight w:val="none"/>
          <w:lang w:val="en-US" w:eastAsia="zh-CN" w:bidi="ar-SA"/>
        </w:rPr>
        <w:t>3</w:t>
      </w:r>
      <w:r>
        <w:rPr>
          <w:rFonts w:hint="default" w:ascii="仿宋_GB2312" w:hAnsi="Times New Roman" w:eastAsia="仿宋_GB2312" w:cs="Times New Roman"/>
          <w:color w:val="auto"/>
          <w:spacing w:val="0"/>
          <w:kern w:val="2"/>
          <w:sz w:val="32"/>
          <w:szCs w:val="32"/>
          <w:highlight w:val="none"/>
          <w:lang w:val="zh-CN" w:eastAsia="zh-CN" w:bidi="ar-SA"/>
        </w:rPr>
        <w:t>.住房保障支出（类）</w:t>
      </w:r>
      <w:r>
        <w:rPr>
          <w:rFonts w:hint="eastAsia" w:ascii="仿宋_GB2312" w:hAnsi="Times New Roman" w:eastAsia="仿宋_GB2312" w:cs="Times New Roman"/>
          <w:color w:val="auto"/>
          <w:spacing w:val="0"/>
          <w:kern w:val="2"/>
          <w:sz w:val="32"/>
          <w:szCs w:val="32"/>
          <w:highlight w:val="none"/>
          <w:lang w:val="zh-CN" w:eastAsia="zh-CN" w:bidi="ar-SA"/>
        </w:rPr>
        <w:t>66.57</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eastAsia="仿宋_GB2312" w:cs="Times New Roman"/>
          <w:color w:val="auto"/>
          <w:spacing w:val="0"/>
          <w:kern w:val="2"/>
          <w:sz w:val="32"/>
          <w:szCs w:val="32"/>
          <w:highlight w:val="none"/>
          <w:lang w:val="zh-CN" w:eastAsia="zh-CN" w:bidi="ar-SA"/>
        </w:rPr>
        <w:t>4.85%</w:t>
      </w:r>
      <w:r>
        <w:rPr>
          <w:rFonts w:hint="default" w:ascii="仿宋_GB2312" w:hAnsi="Times New Roman" w:eastAsia="仿宋_GB2312" w:cs="Times New Roman"/>
          <w:color w:val="auto"/>
          <w:spacing w:val="0"/>
          <w:kern w:val="2"/>
          <w:sz w:val="32"/>
          <w:szCs w:val="32"/>
          <w:highlight w:val="none"/>
          <w:lang w:val="zh-CN" w:eastAsia="zh-CN" w:bidi="ar-SA"/>
        </w:rPr>
        <w:t>；</w:t>
      </w:r>
    </w:p>
    <w:p w14:paraId="609E5FC2">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highlight w:val="none"/>
          <w:lang w:val="en-US" w:eastAsia="zh-CN" w:bidi="ar-SA"/>
        </w:rPr>
        <w:t>4</w:t>
      </w:r>
      <w:r>
        <w:rPr>
          <w:rFonts w:hint="default" w:ascii="仿宋_GB2312" w:hAnsi="Times New Roman" w:eastAsia="仿宋_GB2312" w:cs="Times New Roman"/>
          <w:color w:val="auto"/>
          <w:spacing w:val="0"/>
          <w:kern w:val="2"/>
          <w:sz w:val="32"/>
          <w:szCs w:val="32"/>
          <w:highlight w:val="none"/>
          <w:lang w:val="zh-CN" w:eastAsia="zh-CN" w:bidi="ar-SA"/>
        </w:rPr>
        <w:t>其他支出（类）</w:t>
      </w:r>
      <w:r>
        <w:rPr>
          <w:rFonts w:hint="eastAsia" w:ascii="仿宋_GB2312" w:hAnsi="Times New Roman" w:eastAsia="仿宋_GB2312" w:cs="Times New Roman"/>
          <w:color w:val="auto"/>
          <w:spacing w:val="0"/>
          <w:kern w:val="2"/>
          <w:sz w:val="32"/>
          <w:szCs w:val="32"/>
          <w:highlight w:val="none"/>
          <w:lang w:val="zh-CN" w:eastAsia="zh-CN" w:bidi="ar-SA"/>
        </w:rPr>
        <w:t>10.00</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eastAsia="仿宋_GB2312" w:cs="Times New Roman"/>
          <w:color w:val="auto"/>
          <w:spacing w:val="0"/>
          <w:kern w:val="2"/>
          <w:sz w:val="32"/>
          <w:szCs w:val="32"/>
          <w:highlight w:val="none"/>
          <w:lang w:val="zh-CN" w:eastAsia="zh-CN" w:bidi="ar-SA"/>
        </w:rPr>
        <w:t>0.73%</w:t>
      </w:r>
      <w:r>
        <w:rPr>
          <w:rFonts w:hint="default" w:ascii="仿宋_GB2312" w:hAnsi="Times New Roman" w:eastAsia="仿宋_GB2312" w:cs="Times New Roman"/>
          <w:color w:val="auto"/>
          <w:spacing w:val="0"/>
          <w:kern w:val="2"/>
          <w:sz w:val="32"/>
          <w:szCs w:val="32"/>
          <w:highlight w:val="none"/>
          <w:lang w:val="zh-CN" w:eastAsia="zh-CN" w:bidi="ar-SA"/>
        </w:rPr>
        <w:t>；</w:t>
      </w:r>
    </w:p>
    <w:p w14:paraId="1FF8E06F">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（三）一般公共预算财政拨款支出决算具体情况</w:t>
      </w:r>
    </w:p>
    <w:p w14:paraId="14CC336A">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eastAsia="仿宋_GB2312"/>
          <w:sz w:val="32"/>
          <w:szCs w:val="32"/>
          <w:highlight w:val="none"/>
          <w:lang w:eastAsia="zh-CN"/>
        </w:rPr>
      </w:pPr>
      <w:r>
        <w:rPr>
          <w:rFonts w:hint="eastAsia" w:ascii="仿宋_GB2312" w:hAnsi="仿宋_GB2312" w:eastAsia="仿宋_GB2312" w:cs="仿宋_GB2312"/>
          <w:color w:val="auto"/>
          <w:kern w:val="2"/>
          <w:sz w:val="32"/>
          <w:szCs w:val="32"/>
          <w:highlight w:val="none"/>
          <w:lang w:val="en-US" w:eastAsia="zh-CN" w:bidi="ar-SA"/>
        </w:rPr>
        <w:t>1.卫生健康支出（类）行政事业单位医疗（款）事业单位医疗（项）:支出决算数为36.57万元，比上年决算减少19.67万元，下降34.98%，主要原因是：</w:t>
      </w:r>
      <w:r>
        <w:rPr>
          <w:rFonts w:hint="eastAsia" w:ascii="仿宋_GB2312" w:hAnsi="仿宋_GB2312" w:eastAsia="仿宋_GB2312" w:cs="仿宋_GB2312"/>
          <w:color w:val="000000" w:themeColor="text1"/>
          <w:kern w:val="2"/>
          <w:sz w:val="32"/>
          <w:szCs w:val="32"/>
          <w:highlight w:val="none"/>
          <w:lang w:val="en-US" w:eastAsia="zh-CN" w:bidi="ar-SA"/>
          <w14:textFill>
            <w14:solidFill>
              <w14:schemeClr w14:val="tx1"/>
            </w14:solidFill>
          </w14:textFill>
        </w:rPr>
        <w:t>因医保部门要求2023年退休人员暂未缴纳医保金，</w:t>
      </w:r>
      <w:r>
        <w:rPr>
          <w:rFonts w:hint="eastAsia" w:ascii="仿宋_GB2312" w:hAnsi="仿宋_GB2312" w:eastAsia="仿宋_GB2312" w:cs="仿宋_GB2312"/>
          <w:color w:val="000000" w:themeColor="text1"/>
          <w:kern w:val="2"/>
          <w:sz w:val="32"/>
          <w:szCs w:val="32"/>
          <w:highlight w:val="none"/>
          <w:lang w:val="zh-CN" w:eastAsia="zh-CN" w:bidi="ar-SA"/>
          <w14:textFill>
            <w14:solidFill>
              <w14:schemeClr w14:val="tx1"/>
            </w14:solidFill>
          </w14:textFill>
        </w:rPr>
        <w:t>所以较</w:t>
      </w:r>
      <w:r>
        <w:rPr>
          <w:rFonts w:hint="eastAsia" w:ascii="仿宋_GB2312" w:hAnsi="仿宋_GB2312" w:eastAsia="仿宋_GB2312" w:cs="仿宋_GB2312"/>
          <w:color w:val="000000" w:themeColor="text1"/>
          <w:kern w:val="2"/>
          <w:sz w:val="32"/>
          <w:szCs w:val="32"/>
          <w:highlight w:val="none"/>
          <w:lang w:val="en-US" w:eastAsia="zh-CN" w:bidi="ar-SA"/>
          <w14:textFill>
            <w14:solidFill>
              <w14:schemeClr w14:val="tx1"/>
            </w14:solidFill>
          </w14:textFill>
        </w:rPr>
        <w:t>2022年相比决算数减少。</w:t>
      </w:r>
    </w:p>
    <w:p w14:paraId="23A663E8">
      <w:pPr>
        <w:keepNext w:val="0"/>
        <w:keepLines w:val="0"/>
        <w:pageBreakBefore w:val="0"/>
        <w:widowControl w:val="0"/>
        <w:kinsoku/>
        <w:wordWrap/>
        <w:overflowPunct/>
        <w:topLinePunct w:val="0"/>
        <w:adjustRightInd/>
        <w:snapToGrid/>
        <w:spacing w:line="240" w:lineRule="auto"/>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2.卫生健康支出（类）公共卫生（款）突发公共卫生事件应急处理（项）:支出决算数为5.76万元，比上年决算减少213.89万元，下降97.38%，主要原因是：</w:t>
      </w:r>
      <w:r>
        <w:rPr>
          <w:rFonts w:hint="eastAsia" w:ascii="仿宋_GB2312" w:hAnsi="仿宋" w:eastAsia="仿宋_GB2312"/>
          <w:sz w:val="32"/>
          <w:szCs w:val="24"/>
        </w:rPr>
        <w:t>上级下达专项</w:t>
      </w:r>
      <w:r>
        <w:rPr>
          <w:rFonts w:hint="eastAsia" w:ascii="仿宋_GB2312" w:hAnsi="仿宋" w:eastAsia="仿宋_GB2312"/>
          <w:sz w:val="32"/>
          <w:szCs w:val="24"/>
          <w:highlight w:val="none"/>
        </w:rPr>
        <w:t>资金</w:t>
      </w:r>
      <w:r>
        <w:rPr>
          <w:rFonts w:hint="eastAsia" w:ascii="仿宋_GB2312" w:hAnsi="仿宋" w:eastAsia="仿宋_GB2312"/>
          <w:sz w:val="32"/>
          <w:szCs w:val="24"/>
          <w:highlight w:val="none"/>
          <w:lang w:eastAsia="zh-CN"/>
        </w:rPr>
        <w:t>减少，</w:t>
      </w:r>
      <w:r>
        <w:rPr>
          <w:rFonts w:hint="eastAsia" w:ascii="仿宋_GB2312" w:hAnsi="仿宋" w:eastAsia="仿宋_GB2312"/>
          <w:color w:val="auto"/>
          <w:sz w:val="32"/>
          <w:szCs w:val="24"/>
          <w:highlight w:val="none"/>
          <w:lang w:eastAsia="zh-CN"/>
        </w:rPr>
        <w:t>其中</w:t>
      </w:r>
      <w:r>
        <w:rPr>
          <w:rFonts w:hint="eastAsia" w:ascii="仿宋_GB2312" w:hAnsi="仿宋" w:eastAsia="仿宋_GB2312"/>
          <w:color w:val="auto"/>
          <w:sz w:val="32"/>
          <w:szCs w:val="24"/>
          <w:highlight w:val="none"/>
          <w:lang w:val="en-US" w:eastAsia="zh-CN"/>
        </w:rPr>
        <w:t>突发公共卫生事件应急处理项目资金-核酸检测试剂耗材及人员补助支出减少</w:t>
      </w:r>
      <w:r>
        <w:rPr>
          <w:rFonts w:hint="eastAsia" w:ascii="仿宋_GB2312" w:hAnsi="仿宋" w:eastAsia="仿宋_GB2312"/>
          <w:color w:val="auto"/>
          <w:sz w:val="32"/>
          <w:szCs w:val="24"/>
          <w:lang w:val="en-US" w:eastAsia="zh-CN"/>
        </w:rPr>
        <w:t>。</w:t>
      </w:r>
    </w:p>
    <w:p w14:paraId="2C17BC17">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3.卫生健康支出（类）公共卫生（款）疾病预防控制机构（项）:支出决算数为904.72万元，比上年决算增加77.47万元，增长9.36%，主要原因是：</w:t>
      </w:r>
      <w:r>
        <w:rPr>
          <w:rFonts w:hint="eastAsia" w:ascii="仿宋_GB2312" w:eastAsia="仿宋_GB2312"/>
          <w:sz w:val="32"/>
          <w:szCs w:val="32"/>
          <w:highlight w:val="none"/>
          <w:lang w:val="en-US" w:eastAsia="zh-CN"/>
        </w:rPr>
        <w:t>人员调增工资，调增并补发基础绩效工资。</w:t>
      </w:r>
    </w:p>
    <w:p w14:paraId="120ABAFA">
      <w:pPr>
        <w:keepNext w:val="0"/>
        <w:keepLines w:val="0"/>
        <w:pageBreakBefore w:val="0"/>
        <w:widowControl w:val="0"/>
        <w:kinsoku/>
        <w:wordWrap/>
        <w:overflowPunct/>
        <w:topLinePunct w:val="0"/>
        <w:adjustRightInd/>
        <w:snapToGrid/>
        <w:spacing w:line="240" w:lineRule="auto"/>
        <w:ind w:firstLine="640" w:firstLineChars="200"/>
        <w:textAlignment w:val="auto"/>
        <w:rPr>
          <w:rFonts w:hint="eastAsia" w:ascii="仿宋_GB2312" w:eastAsia="仿宋_GB2312"/>
          <w:sz w:val="32"/>
          <w:szCs w:val="32"/>
          <w:highlight w:val="none"/>
          <w:lang w:eastAsia="zh-CN"/>
        </w:rPr>
      </w:pPr>
      <w:r>
        <w:rPr>
          <w:rFonts w:hint="eastAsia" w:ascii="仿宋_GB2312" w:hAnsi="仿宋_GB2312" w:eastAsia="仿宋_GB2312" w:cs="仿宋_GB2312"/>
          <w:color w:val="auto"/>
          <w:kern w:val="2"/>
          <w:sz w:val="32"/>
          <w:szCs w:val="32"/>
          <w:highlight w:val="none"/>
          <w:lang w:val="en-US" w:eastAsia="zh-CN" w:bidi="ar-SA"/>
        </w:rPr>
        <w:t>4.住房保障支出（类）住房改革支出（款）住房公积金（项）:支出决算数为66.57万元，比上年决算增加1.47万元，增长2.26%，主要原因是：</w:t>
      </w:r>
      <w:r>
        <w:rPr>
          <w:rFonts w:hint="eastAsia" w:ascii="仿宋_GB2312" w:eastAsia="仿宋_GB2312"/>
          <w:sz w:val="32"/>
          <w:szCs w:val="32"/>
          <w:highlight w:val="none"/>
          <w:lang w:val="en-US" w:eastAsia="zh-CN"/>
        </w:rPr>
        <w:t>住房公积金基数调增，住房公积金缴费增加。</w:t>
      </w:r>
    </w:p>
    <w:p w14:paraId="429BBBB0">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5.社会保障和就业支出（类）行政事业单位养老支出（款）事业单位离退休（项）:支出决算数为24.55万元，比上年决算增加6.03万元，增长32.56%，主要原因是补发在职转退休</w:t>
      </w:r>
      <w:r>
        <w:rPr>
          <w:rFonts w:hint="eastAsia" w:ascii="仿宋_GB2312" w:hAnsi="仿宋_GB2312" w:eastAsia="仿宋_GB2312" w:cs="仿宋_GB2312"/>
          <w:sz w:val="32"/>
          <w:szCs w:val="32"/>
          <w:lang w:val="en-US" w:eastAsia="zh-CN"/>
        </w:rPr>
        <w:t>人员绩效工资</w:t>
      </w:r>
      <w:r>
        <w:rPr>
          <w:rFonts w:hint="eastAsia" w:ascii="仿宋_GB2312" w:hAnsi="仿宋_GB2312" w:eastAsia="仿宋_GB2312" w:cs="仿宋_GB2312"/>
          <w:color w:val="000000" w:themeColor="text1"/>
          <w:kern w:val="2"/>
          <w:sz w:val="32"/>
          <w:szCs w:val="32"/>
          <w:highlight w:val="none"/>
          <w:lang w:val="zh-CN" w:eastAsia="zh-CN" w:bidi="ar-SA"/>
          <w14:textFill>
            <w14:solidFill>
              <w14:schemeClr w14:val="tx1"/>
            </w14:solidFill>
          </w14:textFill>
        </w:rPr>
        <w:t>。</w:t>
      </w:r>
    </w:p>
    <w:p w14:paraId="2599D5B4">
      <w:pPr>
        <w:keepNext w:val="0"/>
        <w:keepLines w:val="0"/>
        <w:pageBreakBefore w:val="0"/>
        <w:widowControl w:val="0"/>
        <w:kinsoku/>
        <w:wordWrap/>
        <w:overflowPunct/>
        <w:topLinePunct w:val="0"/>
        <w:adjustRightInd/>
        <w:snapToGrid/>
        <w:spacing w:line="240" w:lineRule="auto"/>
        <w:ind w:firstLine="640" w:firstLineChars="200"/>
        <w:textAlignment w:val="auto"/>
        <w:rPr>
          <w:rFonts w:hint="eastAsia" w:ascii="仿宋_GB2312" w:hAnsi="仿宋_GB2312" w:eastAsia="仿宋_GB2312" w:cs="仿宋_GB2312"/>
          <w:color w:val="auto"/>
          <w:kern w:val="2"/>
          <w:sz w:val="32"/>
          <w:szCs w:val="32"/>
          <w:highlight w:val="yellow"/>
          <w:lang w:val="zh-CN" w:eastAsia="zh-CN" w:bidi="ar-SA"/>
        </w:rPr>
      </w:pPr>
      <w:r>
        <w:rPr>
          <w:rFonts w:hint="eastAsia" w:ascii="仿宋_GB2312" w:hAnsi="仿宋_GB2312" w:eastAsia="仿宋_GB2312" w:cs="仿宋_GB2312"/>
          <w:color w:val="auto"/>
          <w:kern w:val="2"/>
          <w:sz w:val="32"/>
          <w:szCs w:val="32"/>
          <w:highlight w:val="none"/>
          <w:lang w:val="en-US" w:eastAsia="zh-CN" w:bidi="ar-SA"/>
        </w:rPr>
        <w:t>6.卫生健康支出（类）公共卫生（款）基本公共卫生服务（项）:支出决算数为25.51万元，比上年决算减少23.95万元，下降48.42%，主要原因是：2023年</w:t>
      </w:r>
      <w:r>
        <w:rPr>
          <w:rFonts w:hint="eastAsia" w:ascii="仿宋_GB2312" w:eastAsia="仿宋_GB2312"/>
          <w:sz w:val="32"/>
          <w:szCs w:val="32"/>
          <w:highlight w:val="none"/>
          <w:lang w:val="en-US" w:eastAsia="zh-CN"/>
        </w:rPr>
        <w:t>基本公共卫生服务补助资金-饮用水水质检测及鼠疫监测费用减少。</w:t>
      </w:r>
    </w:p>
    <w:p w14:paraId="703F354E">
      <w:pPr>
        <w:keepNext w:val="0"/>
        <w:keepLines w:val="0"/>
        <w:pageBreakBefore w:val="0"/>
        <w:widowControl w:val="0"/>
        <w:kinsoku/>
        <w:wordWrap/>
        <w:overflowPunct/>
        <w:topLinePunct w:val="0"/>
        <w:adjustRightInd/>
        <w:snapToGrid/>
        <w:spacing w:line="240" w:lineRule="auto"/>
        <w:ind w:firstLine="640" w:firstLineChars="200"/>
        <w:textAlignment w:val="auto"/>
        <w:rPr>
          <w:rFonts w:hint="eastAsia" w:ascii="仿宋_GB2312" w:hAnsi="仿宋_GB2312" w:eastAsia="仿宋_GB2312" w:cs="仿宋_GB2312"/>
          <w:color w:val="auto"/>
          <w:kern w:val="2"/>
          <w:sz w:val="32"/>
          <w:szCs w:val="32"/>
          <w:highlight w:val="yellow"/>
          <w:lang w:val="zh-CN" w:eastAsia="zh-CN" w:bidi="ar-SA"/>
        </w:rPr>
      </w:pPr>
      <w:r>
        <w:rPr>
          <w:rFonts w:hint="eastAsia" w:ascii="仿宋_GB2312" w:hAnsi="仿宋_GB2312" w:eastAsia="仿宋_GB2312" w:cs="仿宋_GB2312"/>
          <w:color w:val="auto"/>
          <w:kern w:val="2"/>
          <w:sz w:val="32"/>
          <w:szCs w:val="32"/>
          <w:highlight w:val="none"/>
          <w:lang w:val="en-US" w:eastAsia="zh-CN" w:bidi="ar-SA"/>
        </w:rPr>
        <w:t>7.卫生健康支出（类）公共卫生（款）重大公共卫生服务（项）:支出决算数为213.02万元，比上年决算增加144.17万元，增长209.40%，主要原因是：</w:t>
      </w:r>
      <w:r>
        <w:rPr>
          <w:rFonts w:hint="eastAsia" w:ascii="仿宋_GB2312" w:hAnsi="仿宋" w:eastAsia="仿宋_GB2312"/>
          <w:sz w:val="32"/>
          <w:szCs w:val="24"/>
          <w:highlight w:val="none"/>
        </w:rPr>
        <w:t>上级下达专项资金增加</w:t>
      </w:r>
      <w:r>
        <w:rPr>
          <w:rFonts w:hint="eastAsia" w:ascii="仿宋_GB2312" w:hAnsi="仿宋" w:eastAsia="仿宋_GB2312"/>
          <w:sz w:val="32"/>
          <w:szCs w:val="24"/>
          <w:highlight w:val="none"/>
          <w:lang w:eastAsia="zh-CN"/>
        </w:rPr>
        <w:t>，其中：</w:t>
      </w:r>
      <w:r>
        <w:rPr>
          <w:rFonts w:hint="eastAsia" w:ascii="仿宋_GB2312" w:hAnsi="仿宋" w:eastAsia="仿宋_GB2312"/>
          <w:sz w:val="32"/>
          <w:szCs w:val="24"/>
          <w:highlight w:val="none"/>
          <w:lang w:val="en-US" w:eastAsia="zh-CN"/>
        </w:rPr>
        <w:t>重大公共卫生服务项目资金-流感、结核、免疫规划等项目资金增加。</w:t>
      </w:r>
    </w:p>
    <w:p w14:paraId="42B831A0">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8.其他支出（类）其他支出（款）其他支出（项）:支出决算数为10.00万元，比上年决算增加0.00万元，增长0.00%，主要原因是：</w:t>
      </w:r>
      <w:r>
        <w:rPr>
          <w:rFonts w:hint="eastAsia" w:ascii="仿宋_GB2312" w:hAnsi="仿宋_GB2312" w:eastAsia="仿宋_GB2312" w:cs="仿宋_GB2312"/>
          <w:color w:val="auto"/>
          <w:kern w:val="2"/>
          <w:sz w:val="32"/>
          <w:szCs w:val="32"/>
          <w:highlight w:val="none"/>
          <w:lang w:val="zh-CN" w:eastAsia="zh-CN" w:bidi="ar-SA"/>
        </w:rPr>
        <w:t>与上年相比无增减变动。</w:t>
      </w:r>
    </w:p>
    <w:p w14:paraId="6DFC7984">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eastAsia="仿宋_GB2312"/>
          <w:sz w:val="32"/>
          <w:szCs w:val="32"/>
          <w:highlight w:val="none"/>
          <w:lang w:eastAsia="zh-CN"/>
        </w:rPr>
      </w:pPr>
      <w:r>
        <w:rPr>
          <w:rFonts w:hint="eastAsia" w:ascii="仿宋_GB2312" w:hAnsi="仿宋_GB2312" w:eastAsia="仿宋_GB2312" w:cs="仿宋_GB2312"/>
          <w:color w:val="auto"/>
          <w:kern w:val="2"/>
          <w:sz w:val="32"/>
          <w:szCs w:val="32"/>
          <w:highlight w:val="none"/>
          <w:lang w:val="en-US" w:eastAsia="zh-CN" w:bidi="ar-SA"/>
        </w:rPr>
        <w:t>9.社会保障和就业支出（类）行政事业单位养老支出（款）机关事业单位基本养老保险缴费支出（项）:支出决算数为85.27万元，比上年决算增加12.55万元，增长17.26%，主要原因是：</w:t>
      </w:r>
      <w:r>
        <w:rPr>
          <w:rFonts w:hint="eastAsia" w:ascii="仿宋_GB2312" w:hAnsi="仿宋_GB2312" w:eastAsia="仿宋_GB2312" w:cs="仿宋_GB2312"/>
          <w:color w:val="000000" w:themeColor="text1"/>
          <w:kern w:val="2"/>
          <w:sz w:val="32"/>
          <w:szCs w:val="32"/>
          <w:highlight w:val="none"/>
          <w:lang w:val="zh-CN" w:eastAsia="zh-CN" w:bidi="ar-SA"/>
          <w14:textFill>
            <w14:solidFill>
              <w14:schemeClr w14:val="tx1"/>
            </w14:solidFill>
          </w14:textFill>
        </w:rPr>
        <w:t>工资增资缴费基数增大，基本养老保险缴费支出增加。</w:t>
      </w:r>
    </w:p>
    <w:p w14:paraId="652E7E21">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仿宋_GB2312" w:hAnsi="仿宋_GB2312"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kern w:val="2"/>
          <w:sz w:val="32"/>
          <w:szCs w:val="32"/>
          <w:highlight w:val="none"/>
          <w:lang w:val="en-US" w:eastAsia="zh-CN" w:bidi="ar-SA"/>
        </w:rPr>
        <w:t>10.社会保障和就业支出（类）行政事业单位养老支出（款）机关事业单位职业年金缴费支出（项）:支出决算数为0.00万元，比上年决算减少5.06万元，下降100%，主要原因是：</w:t>
      </w:r>
      <w:r>
        <w:rPr>
          <w:rFonts w:hint="eastAsia" w:ascii="仿宋_GB2312" w:hAnsi="仿宋_GB2312" w:eastAsia="仿宋_GB2312" w:cs="仿宋_GB2312"/>
          <w:color w:val="0D0D0D" w:themeColor="text1" w:themeTint="F2"/>
          <w:kern w:val="2"/>
          <w:sz w:val="32"/>
          <w:szCs w:val="32"/>
          <w:highlight w:val="none"/>
          <w:lang w:val="en-US" w:eastAsia="zh-CN" w:bidi="ar-SA"/>
          <w14:textFill>
            <w14:solidFill>
              <w14:schemeClr w14:val="tx1">
                <w14:lumMod w14:val="95000"/>
                <w14:lumOff w14:val="5000"/>
              </w14:schemeClr>
            </w14:solidFill>
          </w14:textFill>
        </w:rPr>
        <w:t>因本年度没有辞职人员，所以职业年金缴费下降。</w:t>
      </w:r>
    </w:p>
    <w:p w14:paraId="645EEDEB">
      <w:pPr>
        <w:keepNext w:val="0"/>
        <w:keepLines w:val="0"/>
        <w:pageBreakBefore w:val="0"/>
        <w:widowControl w:val="0"/>
        <w:kinsoku/>
        <w:wordWrap/>
        <w:overflowPunct/>
        <w:topLinePunct w:val="0"/>
        <w:adjustRightInd/>
        <w:snapToGrid/>
        <w:spacing w:line="240" w:lineRule="auto"/>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11.卫生健康支出（类）公共卫生（款）其他公共卫生支出（项）:支出决算数为0.00万元，比上年决算减少9.57万元，下降100%，主要原因是：</w:t>
      </w:r>
      <w:r>
        <w:rPr>
          <w:rFonts w:hint="eastAsia" w:ascii="仿宋_GB2312" w:hAnsi="仿宋" w:eastAsia="仿宋_GB2312"/>
          <w:sz w:val="32"/>
          <w:szCs w:val="24"/>
          <w:lang w:val="en-US" w:eastAsia="zh-CN"/>
        </w:rPr>
        <w:t>2023年减少了鼠疫防控项目资金，导致项目资金减少</w:t>
      </w:r>
      <w:r>
        <w:rPr>
          <w:rFonts w:hint="eastAsia" w:ascii="仿宋_GB2312" w:eastAsia="仿宋_GB2312"/>
          <w:sz w:val="32"/>
          <w:szCs w:val="32"/>
          <w:highlight w:val="none"/>
          <w:lang w:val="en-US" w:eastAsia="zh-CN"/>
        </w:rPr>
        <w:t>。</w:t>
      </w:r>
    </w:p>
    <w:p w14:paraId="35372FD5">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六、一般公共预算财政拨款基本支出决算情况说明</w:t>
      </w:r>
    </w:p>
    <w:p w14:paraId="1C5B847D">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z w:val="32"/>
          <w:szCs w:val="32"/>
          <w:highlight w:val="none"/>
        </w:rPr>
        <w:t>一般公共预算财政拨款基本支出</w:t>
      </w:r>
      <w:r>
        <w:rPr>
          <w:rFonts w:hint="eastAsia" w:ascii="仿宋_GB2312" w:eastAsia="仿宋_GB2312"/>
          <w:color w:val="auto"/>
          <w:sz w:val="32"/>
          <w:szCs w:val="32"/>
          <w:highlight w:val="none"/>
          <w:lang w:eastAsia="zh-CN"/>
        </w:rPr>
        <w:t>1,010.87</w:t>
      </w:r>
      <w:r>
        <w:rPr>
          <w:rFonts w:hint="eastAsia" w:ascii="仿宋_GB2312" w:eastAsia="仿宋_GB2312"/>
          <w:color w:val="auto"/>
          <w:sz w:val="32"/>
          <w:szCs w:val="32"/>
          <w:highlight w:val="none"/>
        </w:rPr>
        <w:t>万元，其中：人员经费</w:t>
      </w:r>
      <w:r>
        <w:rPr>
          <w:rFonts w:hint="eastAsia" w:ascii="仿宋_GB2312" w:eastAsia="仿宋_GB2312"/>
          <w:color w:val="auto"/>
          <w:sz w:val="32"/>
          <w:szCs w:val="32"/>
          <w:highlight w:val="none"/>
          <w:lang w:eastAsia="zh-CN"/>
        </w:rPr>
        <w:t>984.96</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基本工资、津贴补贴、奖金、绩效工资、机关事业单位基本养老保险缴费、职工基本医疗保险缴费、其他社会保障缴费、住房公积金、其他工资福利支出、退休费、抚恤金、其他对个人和家庭的补助。</w:t>
      </w:r>
    </w:p>
    <w:p w14:paraId="0CDEBCED">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default" w:ascii="仿宋_GB2312" w:eastAsia="仿宋_GB2312"/>
          <w:color w:val="auto"/>
          <w:sz w:val="32"/>
          <w:szCs w:val="32"/>
          <w:highlight w:val="none"/>
          <w:lang w:val="en-US" w:eastAsia="zh-CN"/>
        </w:rPr>
      </w:pPr>
      <w:r>
        <w:rPr>
          <w:rFonts w:hint="eastAsia" w:ascii="仿宋_GB2312" w:eastAsia="仿宋_GB2312"/>
          <w:color w:val="auto"/>
          <w:sz w:val="32"/>
          <w:szCs w:val="32"/>
          <w:highlight w:val="none"/>
        </w:rPr>
        <w:t>公用经费</w:t>
      </w:r>
      <w:r>
        <w:rPr>
          <w:rFonts w:hint="eastAsia" w:ascii="仿宋_GB2312" w:eastAsia="仿宋_GB2312"/>
          <w:color w:val="auto"/>
          <w:sz w:val="32"/>
          <w:szCs w:val="32"/>
          <w:highlight w:val="none"/>
          <w:lang w:eastAsia="zh-CN"/>
        </w:rPr>
        <w:t>25.91</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办公费、电费、邮电费、差旅费、劳务费、工会经费、其他交通费用。</w:t>
      </w:r>
    </w:p>
    <w:p w14:paraId="46AC26BC">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七、</w:t>
      </w:r>
      <w:r>
        <w:rPr>
          <w:rFonts w:hint="eastAsia" w:ascii="黑体" w:hAnsi="黑体" w:eastAsia="黑体" w:cs="宋体"/>
          <w:bCs/>
          <w:color w:val="auto"/>
          <w:kern w:val="0"/>
          <w:sz w:val="32"/>
          <w:szCs w:val="32"/>
          <w:highlight w:val="none"/>
          <w:lang w:eastAsia="zh-CN"/>
        </w:rPr>
        <w:t>财政拨款</w:t>
      </w:r>
      <w:r>
        <w:rPr>
          <w:rFonts w:hint="eastAsia" w:ascii="黑体" w:hAnsi="黑体" w:eastAsia="黑体" w:cs="宋体"/>
          <w:bCs/>
          <w:color w:val="auto"/>
          <w:kern w:val="0"/>
          <w:sz w:val="32"/>
          <w:szCs w:val="32"/>
          <w:highlight w:val="none"/>
        </w:rPr>
        <w:t>“三公”经费支出</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w:t>
      </w:r>
      <w:r>
        <w:rPr>
          <w:rFonts w:hint="eastAsia" w:ascii="黑体" w:hAnsi="黑体" w:eastAsia="黑体" w:cs="宋体"/>
          <w:bCs/>
          <w:color w:val="auto"/>
          <w:kern w:val="0"/>
          <w:sz w:val="32"/>
          <w:szCs w:val="32"/>
          <w:highlight w:val="none"/>
          <w:lang w:eastAsia="zh-CN"/>
        </w:rPr>
        <w:t>说明</w:t>
      </w:r>
    </w:p>
    <w:p w14:paraId="34DBA2CD">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2023年度</w:t>
      </w:r>
      <w:r>
        <w:rPr>
          <w:rFonts w:hint="eastAsia" w:ascii="仿宋_GB2312" w:eastAsia="仿宋_GB2312"/>
          <w:color w:val="auto"/>
          <w:sz w:val="32"/>
          <w:szCs w:val="32"/>
          <w:highlight w:val="none"/>
          <w:lang w:val="en-US" w:eastAsia="zh-CN"/>
        </w:rPr>
        <w:t>财政拨款</w:t>
      </w:r>
      <w:r>
        <w:rPr>
          <w:rFonts w:hint="eastAsia" w:ascii="仿宋_GB2312" w:eastAsia="仿宋_GB2312"/>
          <w:color w:val="auto"/>
          <w:sz w:val="32"/>
          <w:szCs w:val="32"/>
          <w:highlight w:val="none"/>
          <w:lang w:val="zh-CN" w:eastAsia="zh-CN"/>
        </w:rPr>
        <w:t>“三公”经费支出0.00万元，</w:t>
      </w:r>
      <w:r>
        <w:rPr>
          <w:rFonts w:hint="eastAsia" w:ascii="仿宋_GB2312" w:eastAsia="仿宋_GB2312"/>
          <w:color w:val="auto"/>
          <w:sz w:val="32"/>
          <w:szCs w:val="32"/>
          <w:highlight w:val="none"/>
          <w:lang w:val="en-US" w:eastAsia="zh-CN"/>
        </w:rPr>
        <w:t>比上年</w:t>
      </w:r>
      <w:r>
        <w:rPr>
          <w:rFonts w:hint="eastAsia" w:ascii="仿宋_GB2312" w:eastAsia="仿宋_GB2312"/>
          <w:color w:val="auto"/>
          <w:sz w:val="32"/>
          <w:szCs w:val="32"/>
          <w:highlight w:val="none"/>
          <w:lang w:val="zh-CN" w:eastAsia="zh-CN"/>
        </w:rPr>
        <w:t>减少12.00万元，</w:t>
      </w:r>
      <w:r>
        <w:rPr>
          <w:rFonts w:hint="eastAsia" w:ascii="仿宋_GB2312" w:eastAsia="仿宋_GB2312"/>
          <w:color w:val="auto"/>
          <w:spacing w:val="0"/>
          <w:sz w:val="32"/>
          <w:szCs w:val="32"/>
          <w:highlight w:val="none"/>
          <w:lang w:val="en-US" w:eastAsia="zh-CN"/>
        </w:rPr>
        <w:t>下降100.00%,</w:t>
      </w:r>
      <w:r>
        <w:rPr>
          <w:rFonts w:hint="eastAsia" w:ascii="仿宋_GB2312" w:eastAsia="仿宋_GB2312"/>
          <w:color w:val="auto"/>
          <w:sz w:val="32"/>
          <w:szCs w:val="32"/>
          <w:highlight w:val="none"/>
          <w:lang w:val="zh-CN" w:eastAsia="zh-CN"/>
        </w:rPr>
        <w:t>主要原因是：</w:t>
      </w:r>
      <w:r>
        <w:rPr>
          <w:rFonts w:hint="eastAsia" w:ascii="仿宋_GB2312" w:eastAsia="仿宋_GB2312"/>
          <w:sz w:val="32"/>
          <w:szCs w:val="32"/>
          <w:highlight w:val="none"/>
        </w:rPr>
        <w:t>我单位2022年有4辆专业技术用车，“三公”经费支出决算12万元都是车辆运行费用，都是单位开展项目工作发生的车辆运行费用，全部从项目资金中支出的，是2021年底做2022年预算时，将部门经济科目用错造成公务用车购置及运行维护费账务支出12万元。</w:t>
      </w:r>
      <w:r>
        <w:rPr>
          <w:rFonts w:hint="eastAsia" w:ascii="仿宋_GB2312" w:eastAsia="仿宋_GB2312"/>
          <w:color w:val="auto"/>
          <w:sz w:val="32"/>
          <w:szCs w:val="32"/>
          <w:highlight w:val="none"/>
          <w:lang w:val="zh-CN" w:eastAsia="zh-CN"/>
        </w:rPr>
        <w:t>其中：因公出国（境）费支出0.00万元，占0.00%，比上年增加0.00万元，</w:t>
      </w:r>
      <w:r>
        <w:rPr>
          <w:rFonts w:hint="eastAsia" w:ascii="仿宋_GB2312" w:eastAsia="仿宋_GB2312"/>
          <w:color w:val="auto"/>
          <w:spacing w:val="0"/>
          <w:sz w:val="32"/>
          <w:szCs w:val="32"/>
          <w:highlight w:val="none"/>
          <w:lang w:val="en-US" w:eastAsia="zh-CN"/>
        </w:rPr>
        <w:t>增长0.00%,</w:t>
      </w:r>
      <w:r>
        <w:rPr>
          <w:rFonts w:hint="eastAsia" w:ascii="仿宋_GB2312" w:eastAsia="仿宋_GB2312"/>
          <w:color w:val="auto"/>
          <w:sz w:val="32"/>
          <w:szCs w:val="32"/>
          <w:highlight w:val="none"/>
          <w:lang w:val="zh-CN" w:eastAsia="zh-CN"/>
        </w:rPr>
        <w:t>主要原因是：</w:t>
      </w:r>
      <w:r>
        <w:rPr>
          <w:rFonts w:hint="eastAsia" w:ascii="仿宋_GB2312" w:eastAsia="仿宋_GB2312"/>
          <w:sz w:val="32"/>
          <w:szCs w:val="32"/>
          <w:highlight w:val="none"/>
        </w:rPr>
        <w:t>我单位无因公出国（境）费支出</w:t>
      </w:r>
      <w:r>
        <w:rPr>
          <w:rFonts w:hint="eastAsia" w:ascii="仿宋_GB2312" w:eastAsia="仿宋_GB2312"/>
          <w:color w:val="auto"/>
          <w:sz w:val="32"/>
          <w:szCs w:val="32"/>
          <w:highlight w:val="none"/>
          <w:lang w:val="zh-CN" w:eastAsia="zh-CN"/>
        </w:rPr>
        <w:t>；公务用车购置及运行维护费支出0.00万元，占0.00%，比上年减少12.00万元，</w:t>
      </w:r>
      <w:r>
        <w:rPr>
          <w:rFonts w:hint="eastAsia" w:ascii="仿宋_GB2312" w:eastAsia="仿宋_GB2312"/>
          <w:color w:val="auto"/>
          <w:spacing w:val="0"/>
          <w:sz w:val="32"/>
          <w:szCs w:val="32"/>
          <w:highlight w:val="none"/>
          <w:lang w:val="en-US" w:eastAsia="zh-CN"/>
        </w:rPr>
        <w:t>下降100.00%,</w:t>
      </w:r>
      <w:r>
        <w:rPr>
          <w:rFonts w:hint="eastAsia" w:ascii="仿宋_GB2312" w:eastAsia="仿宋_GB2312"/>
          <w:color w:val="auto"/>
          <w:sz w:val="32"/>
          <w:szCs w:val="32"/>
          <w:highlight w:val="none"/>
          <w:lang w:val="zh-CN" w:eastAsia="zh-CN"/>
        </w:rPr>
        <w:t>主要原因是：</w:t>
      </w:r>
      <w:r>
        <w:rPr>
          <w:rFonts w:hint="eastAsia" w:ascii="仿宋_GB2312" w:eastAsia="仿宋_GB2312"/>
          <w:sz w:val="32"/>
          <w:szCs w:val="32"/>
          <w:highlight w:val="none"/>
        </w:rPr>
        <w:t>我单位2022年有4辆专业技术用车，“三公”经费支出决算12万元都是车辆运行费用，是单位开展项目工作发生的车辆运行费用，全部从项目资金中支出的，是2021年年底做2022年预算时，将部门经济科目用错造成公务用车购置及运行维护费账务支出12万元</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2022年我单位“三公”经费支出决算实际数是0万元；</w:t>
      </w:r>
      <w:r>
        <w:rPr>
          <w:rFonts w:hint="eastAsia" w:ascii="仿宋_GB2312" w:eastAsia="仿宋_GB2312"/>
          <w:color w:val="auto"/>
          <w:sz w:val="32"/>
          <w:szCs w:val="32"/>
          <w:highlight w:val="none"/>
          <w:lang w:val="zh-CN" w:eastAsia="zh-CN"/>
        </w:rPr>
        <w:t>公务接待费支出0.00万元，占0.00%，比上年增加0.00万元，</w:t>
      </w:r>
      <w:r>
        <w:rPr>
          <w:rFonts w:hint="eastAsia" w:ascii="仿宋_GB2312" w:eastAsia="仿宋_GB2312"/>
          <w:color w:val="auto"/>
          <w:spacing w:val="0"/>
          <w:sz w:val="32"/>
          <w:szCs w:val="32"/>
          <w:highlight w:val="none"/>
          <w:lang w:val="en-US" w:eastAsia="zh-CN"/>
        </w:rPr>
        <w:t>增长0.00%,</w:t>
      </w:r>
      <w:r>
        <w:rPr>
          <w:rFonts w:hint="eastAsia" w:ascii="仿宋_GB2312" w:eastAsia="仿宋_GB2312"/>
          <w:color w:val="auto"/>
          <w:sz w:val="32"/>
          <w:szCs w:val="32"/>
          <w:highlight w:val="none"/>
          <w:lang w:val="zh-CN" w:eastAsia="zh-CN"/>
        </w:rPr>
        <w:t>主要原因是：</w:t>
      </w:r>
      <w:r>
        <w:rPr>
          <w:rFonts w:hint="eastAsia" w:ascii="仿宋_GB2312" w:eastAsia="仿宋_GB2312"/>
          <w:sz w:val="32"/>
          <w:szCs w:val="32"/>
          <w:highlight w:val="none"/>
        </w:rPr>
        <w:t>我单位无公务接待费支出。</w:t>
      </w:r>
    </w:p>
    <w:p w14:paraId="205DDE00">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具体情况如下：</w:t>
      </w:r>
    </w:p>
    <w:p w14:paraId="753281D3">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因公出国（境）费支出0.00万元，开支内容包括</w:t>
      </w:r>
      <w:r>
        <w:rPr>
          <w:rFonts w:hint="eastAsia" w:ascii="仿宋_GB2312" w:eastAsia="仿宋_GB2312"/>
          <w:sz w:val="32"/>
          <w:szCs w:val="32"/>
          <w:highlight w:val="none"/>
        </w:rPr>
        <w:t>我单位无因公出国（境）费支出。</w:t>
      </w:r>
      <w:r>
        <w:rPr>
          <w:rFonts w:hint="eastAsia" w:ascii="仿宋_GB2312" w:eastAsia="仿宋_GB2312"/>
          <w:color w:val="auto"/>
          <w:sz w:val="32"/>
          <w:szCs w:val="32"/>
          <w:highlight w:val="none"/>
          <w:lang w:val="zh-CN" w:eastAsia="zh-CN"/>
        </w:rPr>
        <w:t>单位全年安排的因公出国（境）团组0个，因公出国（境）0人次。</w:t>
      </w:r>
    </w:p>
    <w:p w14:paraId="3AEE7F6E">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zh-CN" w:eastAsia="zh-CN"/>
        </w:rPr>
        <w:t>公务用车购置及运行维护费0.00万元，其中：公务用车购置费0.00万元，公务用车运行维护费0.00万元。公务用车运行维护费开支内容包括</w:t>
      </w:r>
      <w:r>
        <w:rPr>
          <w:rFonts w:hint="eastAsia" w:ascii="仿宋_GB2312" w:eastAsia="仿宋_GB2312"/>
          <w:sz w:val="32"/>
          <w:szCs w:val="32"/>
          <w:highlight w:val="none"/>
        </w:rPr>
        <w:t>我单位无</w:t>
      </w:r>
      <w:r>
        <w:rPr>
          <w:rFonts w:hint="eastAsia" w:ascii="仿宋_GB2312" w:eastAsia="仿宋_GB2312"/>
          <w:color w:val="auto"/>
          <w:sz w:val="32"/>
          <w:szCs w:val="32"/>
          <w:highlight w:val="none"/>
          <w:lang w:val="zh-CN" w:eastAsia="zh-CN"/>
        </w:rPr>
        <w:t>公务用车购置及运行维护费。公务用车购置数0辆，公务用车保有量0辆。国有资产占用情况</w:t>
      </w:r>
      <w:r>
        <w:rPr>
          <w:rFonts w:hint="eastAsia" w:ascii="仿宋_GB2312" w:eastAsia="仿宋_GB2312"/>
          <w:color w:val="auto"/>
          <w:sz w:val="32"/>
          <w:szCs w:val="32"/>
          <w:highlight w:val="none"/>
          <w:lang w:val="en-US" w:eastAsia="zh-CN"/>
        </w:rPr>
        <w:t>中固定资产车辆</w:t>
      </w:r>
      <w:r>
        <w:rPr>
          <w:rFonts w:hint="eastAsia" w:ascii="仿宋_GB2312" w:eastAsia="仿宋_GB2312"/>
          <w:color w:val="auto"/>
          <w:sz w:val="32"/>
          <w:szCs w:val="32"/>
          <w:highlight w:val="none"/>
          <w:lang w:val="zh-CN" w:eastAsia="zh-CN"/>
        </w:rPr>
        <w:t>5辆，</w:t>
      </w:r>
      <w:r>
        <w:rPr>
          <w:rFonts w:hint="eastAsia" w:ascii="仿宋_GB2312" w:eastAsia="仿宋_GB2312"/>
          <w:color w:val="auto"/>
          <w:sz w:val="32"/>
          <w:szCs w:val="32"/>
          <w:highlight w:val="none"/>
          <w:lang w:val="en-US" w:eastAsia="zh-CN"/>
        </w:rPr>
        <w:t>与</w:t>
      </w:r>
      <w:r>
        <w:rPr>
          <w:rFonts w:hint="eastAsia" w:ascii="仿宋_GB2312" w:eastAsia="仿宋_GB2312"/>
          <w:color w:val="auto"/>
          <w:sz w:val="32"/>
          <w:szCs w:val="32"/>
          <w:highlight w:val="none"/>
          <w:lang w:val="zh-CN" w:eastAsia="zh-CN"/>
        </w:rPr>
        <w:t>公务用车</w:t>
      </w:r>
      <w:r>
        <w:rPr>
          <w:rFonts w:hint="eastAsia" w:ascii="仿宋_GB2312" w:eastAsia="仿宋_GB2312"/>
          <w:color w:val="auto"/>
          <w:sz w:val="32"/>
          <w:szCs w:val="32"/>
          <w:highlight w:val="none"/>
          <w:lang w:val="en-US" w:eastAsia="zh-CN"/>
        </w:rPr>
        <w:t>保有量差异</w:t>
      </w:r>
      <w:r>
        <w:rPr>
          <w:rFonts w:hint="eastAsia" w:ascii="仿宋_GB2312" w:eastAsia="仿宋_GB2312"/>
          <w:color w:val="auto"/>
          <w:sz w:val="32"/>
          <w:szCs w:val="32"/>
          <w:highlight w:val="none"/>
          <w:lang w:val="zh-CN" w:eastAsia="zh-CN"/>
        </w:rPr>
        <w:t>原因是：</w:t>
      </w:r>
      <w:r>
        <w:rPr>
          <w:rFonts w:hint="eastAsia" w:ascii="仿宋_GB2312" w:eastAsia="仿宋_GB2312"/>
          <w:color w:val="auto"/>
          <w:sz w:val="32"/>
          <w:szCs w:val="32"/>
          <w:highlight w:val="none"/>
          <w:lang w:val="en-US" w:eastAsia="zh-CN"/>
        </w:rPr>
        <w:t>5辆车为我单位业务用车</w:t>
      </w:r>
      <w:r>
        <w:rPr>
          <w:rFonts w:hint="eastAsia" w:ascii="仿宋_GB2312" w:eastAsia="仿宋_GB2312"/>
          <w:color w:val="auto"/>
          <w:sz w:val="32"/>
          <w:szCs w:val="32"/>
          <w:highlight w:val="none"/>
          <w:lang w:val="zh-CN" w:eastAsia="zh-CN"/>
        </w:rPr>
        <w:t>。</w:t>
      </w:r>
    </w:p>
    <w:p w14:paraId="0F5D1B26">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公务接待费0.00万元，开支内容包括</w:t>
      </w:r>
      <w:r>
        <w:rPr>
          <w:rFonts w:hint="eastAsia" w:ascii="仿宋_GB2312" w:eastAsia="仿宋_GB2312"/>
          <w:sz w:val="32"/>
          <w:szCs w:val="32"/>
          <w:highlight w:val="none"/>
        </w:rPr>
        <w:t>我单位无公务接待费。</w:t>
      </w:r>
      <w:r>
        <w:rPr>
          <w:rFonts w:hint="eastAsia" w:ascii="仿宋_GB2312" w:eastAsia="仿宋_GB2312"/>
          <w:color w:val="auto"/>
          <w:sz w:val="32"/>
          <w:szCs w:val="32"/>
          <w:highlight w:val="none"/>
          <w:lang w:val="zh-CN" w:eastAsia="zh-CN"/>
        </w:rPr>
        <w:t>单位全年安排的国内公务接待0批次，0人次。</w:t>
      </w:r>
    </w:p>
    <w:p w14:paraId="76530A7C">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与</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预算相比</w:t>
      </w:r>
      <w:r>
        <w:rPr>
          <w:rFonts w:hint="eastAsia" w:ascii="仿宋_GB2312" w:eastAsia="仿宋_GB2312"/>
          <w:color w:val="auto"/>
          <w:sz w:val="32"/>
          <w:szCs w:val="32"/>
          <w:highlight w:val="none"/>
          <w:lang w:val="en-US" w:eastAsia="zh-CN"/>
        </w:rPr>
        <w:t>,</w:t>
      </w:r>
      <w:r>
        <w:rPr>
          <w:rFonts w:hint="eastAsia" w:ascii="仿宋_GB2312" w:eastAsia="仿宋_GB2312"/>
          <w:color w:val="auto"/>
          <w:sz w:val="32"/>
          <w:szCs w:val="32"/>
          <w:highlight w:val="none"/>
          <w:lang w:val="zh-CN" w:eastAsia="zh-CN"/>
        </w:rPr>
        <w:t>财政拨款“三公”经费支出</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w:t>
      </w:r>
      <w:r>
        <w:rPr>
          <w:rFonts w:hint="eastAsia" w:ascii="仿宋_GB2312" w:eastAsia="仿宋_GB2312"/>
          <w:color w:val="auto"/>
          <w:sz w:val="32"/>
          <w:szCs w:val="32"/>
          <w:highlight w:val="none"/>
          <w:lang w:val="en-US" w:eastAsia="zh-CN"/>
        </w:rPr>
        <w:t>0.00</w:t>
      </w:r>
      <w:r>
        <w:rPr>
          <w:rFonts w:hint="eastAsia" w:ascii="仿宋_GB2312" w:eastAsia="仿宋_GB2312"/>
          <w:color w:val="auto"/>
          <w:sz w:val="32"/>
          <w:szCs w:val="32"/>
          <w:highlight w:val="none"/>
          <w:lang w:val="zh-CN" w:eastAsia="zh-CN"/>
        </w:rPr>
        <w:t>万元，决算数0.00万元，预决算差异率</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lang w:val="zh-CN" w:eastAsia="zh-CN"/>
        </w:rPr>
        <w:t>.00%，主要原因是：我单位未安排“三公”经费支出</w:t>
      </w:r>
      <w:r>
        <w:rPr>
          <w:rFonts w:hint="eastAsia" w:ascii="仿宋_GB2312" w:eastAsia="仿宋_GB2312"/>
          <w:color w:val="auto"/>
          <w:sz w:val="32"/>
          <w:szCs w:val="32"/>
          <w:highlight w:val="none"/>
          <w:lang w:val="en-US" w:eastAsia="zh-CN"/>
        </w:rPr>
        <w:t>。</w:t>
      </w:r>
      <w:r>
        <w:rPr>
          <w:rFonts w:hint="eastAsia" w:ascii="仿宋_GB2312" w:eastAsia="仿宋_GB2312"/>
          <w:color w:val="auto"/>
          <w:sz w:val="32"/>
          <w:szCs w:val="32"/>
          <w:highlight w:val="none"/>
          <w:lang w:val="zh-CN" w:eastAsia="zh-CN"/>
        </w:rPr>
        <w:t>其中：因公出国（境）费</w:t>
      </w:r>
      <w:r>
        <w:rPr>
          <w:rFonts w:hint="eastAsia" w:ascii="仿宋_GB2312" w:eastAsia="仿宋_GB2312"/>
          <w:color w:val="auto"/>
          <w:sz w:val="32"/>
          <w:szCs w:val="32"/>
          <w:highlight w:val="none"/>
          <w:lang w:val="en-US" w:eastAsia="zh-CN"/>
        </w:rPr>
        <w:t>全年预算数</w:t>
      </w:r>
      <w:r>
        <w:rPr>
          <w:rFonts w:hint="eastAsia" w:ascii="仿宋_GB2312" w:eastAsia="仿宋_GB2312"/>
          <w:color w:val="auto"/>
          <w:sz w:val="32"/>
          <w:szCs w:val="32"/>
          <w:highlight w:val="none"/>
          <w:lang w:val="zh-CN" w:eastAsia="zh-CN"/>
        </w:rPr>
        <w:t>0.00万元，决算数0.00万元，预决算差异率0.00%，主要原因是：</w:t>
      </w:r>
      <w:r>
        <w:rPr>
          <w:rFonts w:hint="eastAsia" w:ascii="仿宋_GB2312" w:eastAsia="仿宋_GB2312"/>
          <w:sz w:val="32"/>
          <w:szCs w:val="32"/>
          <w:highlight w:val="none"/>
          <w:lang w:eastAsia="zh-CN"/>
        </w:rPr>
        <w:t>我单位未安排因公出国（境）费，预决算无差异；</w:t>
      </w:r>
      <w:r>
        <w:rPr>
          <w:rFonts w:hint="eastAsia" w:ascii="仿宋_GB2312" w:eastAsia="仿宋_GB2312"/>
          <w:color w:val="auto"/>
          <w:sz w:val="32"/>
          <w:szCs w:val="32"/>
          <w:highlight w:val="none"/>
          <w:lang w:val="zh-CN" w:eastAsia="zh-CN"/>
        </w:rPr>
        <w:t>公务用车购置费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eastAsia="仿宋_GB2312"/>
          <w:sz w:val="32"/>
          <w:szCs w:val="32"/>
          <w:highlight w:val="none"/>
        </w:rPr>
        <w:t>我单位未安排公务用车购置费，预决算无差异；</w:t>
      </w:r>
      <w:r>
        <w:rPr>
          <w:rFonts w:hint="eastAsia" w:ascii="仿宋_GB2312" w:eastAsia="仿宋_GB2312"/>
          <w:color w:val="auto"/>
          <w:sz w:val="32"/>
          <w:szCs w:val="32"/>
          <w:highlight w:val="none"/>
          <w:lang w:val="zh-CN" w:eastAsia="zh-CN"/>
        </w:rPr>
        <w:t>公务用车运行费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w:t>
      </w:r>
      <w:r>
        <w:rPr>
          <w:rFonts w:hint="eastAsia" w:ascii="仿宋_GB2312" w:eastAsia="仿宋_GB2312"/>
          <w:color w:val="auto"/>
          <w:sz w:val="32"/>
          <w:szCs w:val="32"/>
          <w:highlight w:val="none"/>
          <w:lang w:val="en-US" w:eastAsia="zh-CN"/>
        </w:rPr>
        <w:t>0.00</w:t>
      </w:r>
      <w:r>
        <w:rPr>
          <w:rFonts w:hint="eastAsia" w:ascii="仿宋_GB2312" w:eastAsia="仿宋_GB2312"/>
          <w:color w:val="auto"/>
          <w:sz w:val="32"/>
          <w:szCs w:val="32"/>
          <w:highlight w:val="none"/>
          <w:lang w:val="zh-CN" w:eastAsia="zh-CN"/>
        </w:rPr>
        <w:t>万元，决算数0.00万元，预决算差异率</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lang w:val="zh-CN" w:eastAsia="zh-CN"/>
        </w:rPr>
        <w:t>.00%，主要原因是：</w:t>
      </w:r>
      <w:r>
        <w:rPr>
          <w:rFonts w:hint="eastAsia" w:ascii="仿宋_GB2312" w:eastAsia="仿宋_GB2312"/>
          <w:sz w:val="32"/>
          <w:szCs w:val="32"/>
          <w:highlight w:val="none"/>
        </w:rPr>
        <w:t>我单位未安排</w:t>
      </w:r>
      <w:r>
        <w:rPr>
          <w:rFonts w:hint="eastAsia" w:ascii="仿宋_GB2312" w:eastAsia="仿宋_GB2312"/>
          <w:color w:val="auto"/>
          <w:sz w:val="32"/>
          <w:szCs w:val="32"/>
          <w:highlight w:val="none"/>
          <w:lang w:val="zh-CN" w:eastAsia="zh-CN"/>
        </w:rPr>
        <w:t>公务用车运行费支出</w:t>
      </w:r>
      <w:r>
        <w:rPr>
          <w:rFonts w:hint="eastAsia" w:ascii="仿宋_GB2312" w:eastAsia="仿宋_GB2312"/>
          <w:color w:val="auto"/>
          <w:sz w:val="32"/>
          <w:szCs w:val="32"/>
          <w:highlight w:val="none"/>
          <w:lang w:val="en-US" w:eastAsia="zh-CN"/>
        </w:rPr>
        <w:t>;</w:t>
      </w:r>
      <w:r>
        <w:rPr>
          <w:rFonts w:hint="eastAsia" w:ascii="仿宋_GB2312" w:eastAsia="仿宋_GB2312"/>
          <w:color w:val="auto"/>
          <w:sz w:val="32"/>
          <w:szCs w:val="32"/>
          <w:highlight w:val="none"/>
          <w:lang w:val="zh-CN" w:eastAsia="zh-CN"/>
        </w:rPr>
        <w:t>公务接待费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w:t>
      </w:r>
      <w:r>
        <w:rPr>
          <w:rFonts w:hint="eastAsia" w:ascii="仿宋_GB2312" w:eastAsia="仿宋_GB2312"/>
          <w:color w:val="auto"/>
          <w:sz w:val="32"/>
          <w:szCs w:val="32"/>
          <w:highlight w:val="none"/>
          <w:lang w:val="en-US" w:eastAsia="zh-CN"/>
        </w:rPr>
        <w:t>0.00</w:t>
      </w:r>
      <w:r>
        <w:rPr>
          <w:rFonts w:hint="eastAsia" w:ascii="仿宋_GB2312" w:eastAsia="仿宋_GB2312"/>
          <w:color w:val="auto"/>
          <w:sz w:val="32"/>
          <w:szCs w:val="32"/>
          <w:highlight w:val="none"/>
          <w:lang w:val="zh-CN" w:eastAsia="zh-CN"/>
        </w:rPr>
        <w:t>万元，决算数0.00万元，预决算差异率0.00%，主要原因是：</w:t>
      </w:r>
      <w:r>
        <w:rPr>
          <w:rFonts w:hint="eastAsia" w:ascii="仿宋_GB2312" w:eastAsia="仿宋_GB2312"/>
          <w:sz w:val="32"/>
          <w:szCs w:val="32"/>
          <w:highlight w:val="none"/>
        </w:rPr>
        <w:t>我单位</w:t>
      </w:r>
      <w:bookmarkStart w:id="48" w:name="_GoBack"/>
      <w:bookmarkEnd w:id="48"/>
      <w:r>
        <w:rPr>
          <w:rFonts w:hint="eastAsia" w:ascii="仿宋_GB2312" w:eastAsia="仿宋_GB2312"/>
          <w:sz w:val="32"/>
          <w:szCs w:val="32"/>
          <w:highlight w:val="none"/>
        </w:rPr>
        <w:t>未安排公务接待费</w:t>
      </w:r>
      <w:r>
        <w:rPr>
          <w:rFonts w:hint="eastAsia" w:ascii="仿宋_GB2312" w:eastAsia="仿宋_GB2312"/>
          <w:sz w:val="32"/>
          <w:szCs w:val="32"/>
          <w:highlight w:val="none"/>
          <w:lang w:eastAsia="zh-CN"/>
        </w:rPr>
        <w:t>支出。</w:t>
      </w:r>
    </w:p>
    <w:p w14:paraId="761C1337">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8" w:name="_Toc5810"/>
      <w:bookmarkStart w:id="19" w:name="_Toc7927"/>
      <w:r>
        <w:rPr>
          <w:rFonts w:hint="eastAsia" w:ascii="黑体" w:hAnsi="黑体" w:eastAsia="黑体" w:cs="宋体"/>
          <w:bCs/>
          <w:color w:val="auto"/>
          <w:kern w:val="0"/>
          <w:sz w:val="32"/>
          <w:szCs w:val="32"/>
          <w:highlight w:val="none"/>
          <w:lang w:val="en-US" w:eastAsia="zh-CN"/>
        </w:rPr>
        <w:t>八</w:t>
      </w:r>
      <w:r>
        <w:rPr>
          <w:rFonts w:hint="eastAsia" w:ascii="黑体" w:hAnsi="黑体" w:eastAsia="黑体" w:cs="宋体"/>
          <w:bCs/>
          <w:color w:val="auto"/>
          <w:kern w:val="0"/>
          <w:sz w:val="32"/>
          <w:szCs w:val="32"/>
          <w:highlight w:val="none"/>
          <w:lang w:eastAsia="zh-CN"/>
        </w:rPr>
        <w:t>、政府性基金预算财政拨款收入支出决算情况说明</w:t>
      </w:r>
      <w:bookmarkEnd w:id="18"/>
      <w:bookmarkEnd w:id="19"/>
    </w:p>
    <w:p w14:paraId="482A16A1">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本年度无政府性基金预算财政拨款收入、支出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政府性基金预算财政拨款收入支出决算表为空表。</w:t>
      </w:r>
    </w:p>
    <w:p w14:paraId="3E207B43">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九</w:t>
      </w:r>
      <w:r>
        <w:rPr>
          <w:rFonts w:hint="eastAsia" w:ascii="黑体" w:hAnsi="黑体" w:eastAsia="黑体" w:cs="宋体"/>
          <w:bCs/>
          <w:color w:val="auto"/>
          <w:kern w:val="0"/>
          <w:sz w:val="32"/>
          <w:szCs w:val="32"/>
          <w:highlight w:val="none"/>
          <w:lang w:eastAsia="zh-CN"/>
        </w:rPr>
        <w:t>、国有资本经营预算财政拨款收入支出决算情况说明</w:t>
      </w:r>
    </w:p>
    <w:p w14:paraId="2828CE84">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本年度无国有资本经营预算财政拨款收入、支出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，国有资本经营</w:t>
      </w:r>
      <w:r>
        <w:rPr>
          <w:rFonts w:hint="eastAsia" w:ascii="仿宋_GB2312" w:eastAsia="仿宋_GB2312"/>
          <w:color w:val="auto"/>
          <w:sz w:val="32"/>
          <w:szCs w:val="32"/>
          <w:highlight w:val="none"/>
        </w:rPr>
        <w:t>预算财政拨款收入支出决算表为空表。</w:t>
      </w:r>
    </w:p>
    <w:p w14:paraId="0A63D1BD">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0" w:name="_Toc7314"/>
      <w:bookmarkStart w:id="21" w:name="_Toc1235"/>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rPr>
        <w:t>、其他重要事项的情况</w:t>
      </w:r>
      <w:r>
        <w:rPr>
          <w:rFonts w:hint="eastAsia" w:ascii="黑体" w:hAnsi="黑体" w:eastAsia="黑体" w:cs="宋体"/>
          <w:bCs/>
          <w:color w:val="auto"/>
          <w:kern w:val="0"/>
          <w:sz w:val="32"/>
          <w:szCs w:val="32"/>
          <w:highlight w:val="none"/>
          <w:lang w:eastAsia="zh-CN"/>
        </w:rPr>
        <w:t>说明</w:t>
      </w:r>
      <w:bookmarkEnd w:id="20"/>
      <w:bookmarkEnd w:id="21"/>
    </w:p>
    <w:p w14:paraId="52FDBCA7">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rPr>
      </w:pPr>
      <w:bookmarkStart w:id="22" w:name="_Toc13105"/>
      <w:bookmarkStart w:id="23" w:name="_Toc14519"/>
      <w:r>
        <w:rPr>
          <w:rFonts w:hint="eastAsia" w:ascii="黑体" w:hAnsi="黑体" w:eastAsia="黑体"/>
          <w:color w:val="auto"/>
          <w:sz w:val="32"/>
          <w:szCs w:val="32"/>
          <w:highlight w:val="none"/>
          <w:lang w:eastAsia="zh-CN"/>
        </w:rPr>
        <w:t>（一）</w:t>
      </w:r>
      <w:r>
        <w:rPr>
          <w:rFonts w:hint="eastAsia" w:ascii="黑体" w:hAnsi="黑体" w:eastAsia="黑体"/>
          <w:color w:val="auto"/>
          <w:sz w:val="32"/>
          <w:szCs w:val="32"/>
          <w:highlight w:val="none"/>
        </w:rPr>
        <w:t>机关运行经费支出情况</w:t>
      </w:r>
      <w:bookmarkEnd w:id="22"/>
      <w:bookmarkEnd w:id="23"/>
    </w:p>
    <w:p w14:paraId="7EC7B425">
      <w:pPr>
        <w:keepNext w:val="0"/>
        <w:keepLines w:val="0"/>
        <w:pageBreakBefore w:val="0"/>
        <w:widowControl w:val="0"/>
        <w:kinsoku/>
        <w:wordWrap/>
        <w:overflowPunct/>
        <w:topLinePunct w:val="0"/>
        <w:adjustRightInd/>
        <w:snapToGrid/>
        <w:spacing w:line="240" w:lineRule="auto"/>
        <w:ind w:firstLine="640" w:firstLineChars="200"/>
        <w:textAlignment w:val="auto"/>
        <w:rPr>
          <w:rFonts w:hint="eastAsia" w:ascii="仿宋_GB2312" w:hAnsi="仿宋_GB2312" w:eastAsia="仿宋_GB2312" w:cs="仿宋_GB2312"/>
          <w:color w:val="auto"/>
          <w:sz w:val="32"/>
          <w:szCs w:val="32"/>
          <w:highlight w:val="none"/>
          <w:lang w:val="en-US" w:eastAsia="zh-CN"/>
        </w:rPr>
      </w:pPr>
      <w:bookmarkStart w:id="24" w:name="_Toc227"/>
      <w:bookmarkStart w:id="25" w:name="_Toc26704"/>
      <w:r>
        <w:rPr>
          <w:rFonts w:hint="eastAsia" w:ascii="仿宋_GB2312" w:hAnsi="仿宋_GB2312" w:eastAsia="仿宋_GB2312" w:cs="仿宋_GB2312"/>
          <w:color w:val="auto"/>
          <w:sz w:val="32"/>
          <w:szCs w:val="32"/>
          <w:highlight w:val="none"/>
          <w:lang w:val="zh-CN" w:eastAsia="zh-CN"/>
        </w:rPr>
        <w:t>2023年度</w:t>
      </w:r>
      <w:r>
        <w:rPr>
          <w:rFonts w:hint="eastAsia" w:ascii="仿宋_GB2312" w:hAnsi="仿宋_GB2312" w:eastAsia="仿宋_GB2312" w:cs="仿宋_GB2312"/>
          <w:color w:val="auto"/>
          <w:sz w:val="32"/>
          <w:szCs w:val="32"/>
          <w:highlight w:val="none"/>
          <w:lang w:val="en-US" w:eastAsia="zh-CN"/>
        </w:rPr>
        <w:t>沙湾市疾病预防控制中心（事业单位）公用经费支出25.91万元，</w:t>
      </w:r>
      <w:r>
        <w:rPr>
          <w:rFonts w:hint="eastAsia" w:ascii="仿宋_GB2312" w:hAnsi="仿宋_GB2312" w:eastAsia="仿宋_GB2312" w:cs="仿宋_GB2312"/>
          <w:color w:val="auto"/>
          <w:sz w:val="32"/>
          <w:szCs w:val="32"/>
          <w:highlight w:val="none"/>
          <w:lang w:val="zh-CN" w:eastAsia="zh-CN"/>
        </w:rPr>
        <w:t>比上年减少3.12万元，下降10.75%，主要原因是：</w:t>
      </w:r>
      <w:r>
        <w:rPr>
          <w:rFonts w:hint="eastAsia" w:ascii="仿宋_GB2312" w:eastAsia="仿宋_GB2312"/>
          <w:sz w:val="32"/>
          <w:szCs w:val="32"/>
          <w:highlight w:val="none"/>
        </w:rPr>
        <w:t>执行</w:t>
      </w:r>
      <w:r>
        <w:rPr>
          <w:rFonts w:hint="eastAsia" w:ascii="仿宋_GB2312" w:eastAsia="仿宋_GB2312"/>
          <w:sz w:val="32"/>
          <w:szCs w:val="32"/>
          <w:highlight w:val="none"/>
          <w:lang w:eastAsia="zh-CN"/>
        </w:rPr>
        <w:t>中央八项规定</w:t>
      </w:r>
      <w:r>
        <w:rPr>
          <w:rFonts w:hint="eastAsia" w:ascii="仿宋_GB2312" w:eastAsia="仿宋_GB2312"/>
          <w:sz w:val="32"/>
          <w:szCs w:val="32"/>
          <w:highlight w:val="none"/>
        </w:rPr>
        <w:t>厉行节约，压缩开支。</w:t>
      </w:r>
    </w:p>
    <w:p w14:paraId="39622153">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黑体" w:cs="Times New Roman"/>
          <w:color w:val="auto"/>
          <w:sz w:val="32"/>
          <w:szCs w:val="30"/>
          <w:highlight w:val="none"/>
          <w:lang w:val="zh-CN" w:eastAsia="zh-CN"/>
        </w:rPr>
      </w:pPr>
      <w:r>
        <w:rPr>
          <w:rFonts w:hint="eastAsia" w:ascii="Times New Roman" w:hAnsi="Times New Roman" w:eastAsia="黑体" w:cs="Times New Roman"/>
          <w:color w:val="auto"/>
          <w:sz w:val="32"/>
          <w:szCs w:val="30"/>
          <w:highlight w:val="none"/>
          <w:lang w:val="zh-CN" w:eastAsia="zh-CN"/>
        </w:rPr>
        <w:t>（二）政府采购情况</w:t>
      </w:r>
      <w:bookmarkEnd w:id="24"/>
      <w:bookmarkEnd w:id="25"/>
    </w:p>
    <w:p w14:paraId="2B8A4973">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lang w:val="zh-CN"/>
        </w:rPr>
      </w:pPr>
      <w:r>
        <w:rPr>
          <w:rFonts w:hint="eastAsia" w:ascii="仿宋_GB2312" w:hAnsi="仿宋_GB2312" w:eastAsia="仿宋_GB2312" w:cs="仿宋_GB2312"/>
          <w:color w:val="auto"/>
          <w:sz w:val="32"/>
          <w:szCs w:val="32"/>
          <w:highlight w:val="none"/>
          <w:lang w:val="zh-CN" w:eastAsia="zh-CN"/>
        </w:rPr>
        <w:t>2023年度</w:t>
      </w:r>
      <w:r>
        <w:rPr>
          <w:rFonts w:hint="eastAsia" w:ascii="仿宋_GB2312" w:hAnsi="仿宋_GB2312" w:eastAsia="仿宋_GB2312" w:cs="仿宋_GB2312"/>
          <w:color w:val="auto"/>
          <w:sz w:val="32"/>
          <w:szCs w:val="32"/>
          <w:highlight w:val="none"/>
          <w:lang w:val="zh-CN"/>
        </w:rPr>
        <w:t>政府采购支出总额</w:t>
      </w:r>
      <w:r>
        <w:rPr>
          <w:rFonts w:hint="eastAsia" w:ascii="仿宋_GB2312" w:hAnsi="仿宋_GB2312" w:eastAsia="仿宋_GB2312" w:cs="仿宋_GB2312"/>
          <w:color w:val="auto"/>
          <w:sz w:val="32"/>
          <w:szCs w:val="32"/>
          <w:highlight w:val="none"/>
          <w:lang w:val="zh-CN" w:eastAsia="zh-CN"/>
        </w:rPr>
        <w:t>157.83万元</w:t>
      </w:r>
      <w:r>
        <w:rPr>
          <w:rFonts w:hint="eastAsia" w:ascii="仿宋_GB2312" w:hAnsi="仿宋_GB2312" w:eastAsia="仿宋_GB2312" w:cs="仿宋_GB2312"/>
          <w:color w:val="auto"/>
          <w:sz w:val="32"/>
          <w:szCs w:val="32"/>
          <w:highlight w:val="none"/>
          <w:lang w:val="zh-CN"/>
        </w:rPr>
        <w:t>，</w:t>
      </w:r>
      <w:r>
        <w:rPr>
          <w:rFonts w:hint="eastAsia" w:ascii="仿宋_GB2312" w:hAnsi="仿宋_GB2312" w:eastAsia="仿宋_GB2312" w:cs="仿宋_GB2312"/>
          <w:color w:val="auto"/>
          <w:sz w:val="32"/>
          <w:szCs w:val="32"/>
          <w:highlight w:val="none"/>
          <w:lang w:val="zh-CN" w:eastAsia="zh-CN"/>
        </w:rPr>
        <w:t>其中：政府采购货物支出94.02万元、政府采购工程支出0.18万元、政府采购服务支出63.63万元。</w:t>
      </w:r>
    </w:p>
    <w:p w14:paraId="48BF7E32">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zh-CN" w:eastAsia="zh-CN"/>
        </w:rPr>
        <w:t>授予中小企业合同金额157.83万元，占政府采购支出总额的100.00%，其中：授予小微企业合同金额157.05万元，占政府采购支出总额的99.51%</w:t>
      </w:r>
      <w:r>
        <w:rPr>
          <w:rFonts w:hint="eastAsia" w:ascii="仿宋_GB2312" w:hAnsi="仿宋_GB2312" w:eastAsia="仿宋_GB2312" w:cs="仿宋_GB2312"/>
          <w:color w:val="auto"/>
          <w:sz w:val="32"/>
          <w:szCs w:val="32"/>
          <w:highlight w:val="none"/>
          <w:lang w:val="en-US" w:eastAsia="zh-CN"/>
        </w:rPr>
        <w:t>。</w:t>
      </w:r>
    </w:p>
    <w:p w14:paraId="6FB7F7F2">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黑体" w:cs="Times New Roman"/>
          <w:color w:val="auto"/>
          <w:sz w:val="32"/>
          <w:szCs w:val="30"/>
          <w:highlight w:val="none"/>
          <w:lang w:val="zh-CN" w:eastAsia="zh-CN"/>
        </w:rPr>
      </w:pPr>
      <w:bookmarkStart w:id="26" w:name="_Toc8391"/>
      <w:bookmarkStart w:id="27" w:name="_Toc4591"/>
      <w:r>
        <w:rPr>
          <w:rFonts w:hint="eastAsia" w:ascii="Times New Roman" w:hAnsi="Times New Roman" w:eastAsia="黑体" w:cs="Times New Roman"/>
          <w:color w:val="auto"/>
          <w:sz w:val="32"/>
          <w:szCs w:val="30"/>
          <w:highlight w:val="none"/>
          <w:lang w:val="zh-CN" w:eastAsia="zh-CN"/>
        </w:rPr>
        <w:t>（三）国有资产占用情况说明</w:t>
      </w:r>
      <w:bookmarkEnd w:id="26"/>
      <w:bookmarkEnd w:id="27"/>
    </w:p>
    <w:p w14:paraId="5E46319F">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lang w:val="zh-CN" w:eastAsia="zh-CN"/>
        </w:rPr>
      </w:pPr>
      <w:r>
        <w:rPr>
          <w:rFonts w:hint="eastAsia" w:ascii="仿宋_GB2312" w:hAnsi="仿宋_GB2312" w:eastAsia="仿宋_GB2312" w:cs="仿宋_GB2312"/>
          <w:color w:val="auto"/>
          <w:sz w:val="32"/>
          <w:szCs w:val="32"/>
          <w:highlight w:val="none"/>
          <w:lang w:val="en-US" w:eastAsia="zh-CN"/>
        </w:rPr>
        <w:t>截至2023</w:t>
      </w:r>
      <w:r>
        <w:rPr>
          <w:rFonts w:hint="eastAsia" w:ascii="仿宋_GB2312" w:hAnsi="仿宋_GB2312" w:eastAsia="仿宋_GB2312" w:cs="仿宋_GB2312"/>
          <w:color w:val="auto"/>
          <w:sz w:val="32"/>
          <w:szCs w:val="32"/>
          <w:highlight w:val="none"/>
          <w:lang w:val="zh-CN" w:eastAsia="zh-CN"/>
        </w:rPr>
        <w:t>年</w:t>
      </w:r>
      <w:r>
        <w:rPr>
          <w:rFonts w:hint="eastAsia" w:ascii="仿宋_GB2312" w:hAnsi="仿宋_GB2312" w:eastAsia="仿宋_GB2312" w:cs="仿宋_GB2312"/>
          <w:color w:val="auto"/>
          <w:sz w:val="32"/>
          <w:szCs w:val="32"/>
          <w:highlight w:val="none"/>
          <w:lang w:val="en-US" w:eastAsia="zh-CN"/>
        </w:rPr>
        <w:t>12月31日</w:t>
      </w:r>
      <w:r>
        <w:rPr>
          <w:rFonts w:hint="eastAsia" w:ascii="仿宋_GB2312" w:hAnsi="仿宋_GB2312" w:eastAsia="仿宋_GB2312" w:cs="仿宋_GB2312"/>
          <w:color w:val="auto"/>
          <w:sz w:val="32"/>
          <w:szCs w:val="32"/>
          <w:highlight w:val="none"/>
          <w:lang w:val="zh-CN" w:eastAsia="zh-CN"/>
        </w:rPr>
        <w:t>，</w:t>
      </w:r>
      <w:r>
        <w:rPr>
          <w:rFonts w:hint="eastAsia" w:ascii="仿宋_GB2312" w:hAnsi="仿宋_GB2312" w:eastAsia="仿宋_GB2312" w:cs="仿宋_GB2312"/>
          <w:color w:val="auto"/>
          <w:sz w:val="32"/>
          <w:szCs w:val="32"/>
          <w:highlight w:val="none"/>
          <w:lang w:val="en-US" w:eastAsia="zh-CN"/>
        </w:rPr>
        <w:t>固定资产原值</w:t>
      </w:r>
      <w:r>
        <w:rPr>
          <w:rFonts w:hint="eastAsia" w:ascii="仿宋_GB2312" w:hAnsi="仿宋_GB2312" w:eastAsia="仿宋_GB2312" w:cs="仿宋_GB2312"/>
          <w:color w:val="auto"/>
          <w:sz w:val="32"/>
          <w:szCs w:val="32"/>
          <w:highlight w:val="none"/>
          <w:lang w:val="zh-CN" w:eastAsia="zh-CN"/>
        </w:rPr>
        <w:t>2,978.85</w:t>
      </w:r>
      <w:r>
        <w:rPr>
          <w:rFonts w:hint="eastAsia" w:ascii="仿宋_GB2312" w:hAnsi="仿宋_GB2312" w:eastAsia="仿宋_GB2312" w:cs="仿宋_GB2312"/>
          <w:color w:val="auto"/>
          <w:sz w:val="32"/>
          <w:szCs w:val="32"/>
          <w:highlight w:val="none"/>
          <w:lang w:val="en-US" w:eastAsia="zh-CN"/>
        </w:rPr>
        <w:t>万元，房</w:t>
      </w:r>
      <w:r>
        <w:rPr>
          <w:rFonts w:hint="eastAsia" w:ascii="仿宋_GB2312" w:hAnsi="仿宋_GB2312" w:eastAsia="仿宋_GB2312" w:cs="仿宋_GB2312"/>
          <w:color w:val="auto"/>
          <w:sz w:val="32"/>
          <w:szCs w:val="32"/>
          <w:highlight w:val="none"/>
          <w:lang w:val="zh-CN" w:eastAsia="zh-CN"/>
        </w:rPr>
        <w:t>屋5,690.42平方米，价值1,280.30万元。车辆5辆，价值113.03万元，其中：副部（省）级及以上领导用车0辆、主要</w:t>
      </w:r>
      <w:r>
        <w:rPr>
          <w:rFonts w:hint="eastAsia" w:ascii="仿宋_GB2312" w:hAnsi="仿宋_GB2312" w:eastAsia="仿宋_GB2312" w:cs="仿宋_GB2312"/>
          <w:color w:val="auto"/>
          <w:sz w:val="32"/>
          <w:szCs w:val="32"/>
          <w:highlight w:val="none"/>
          <w:lang w:val="en-US" w:eastAsia="zh-CN"/>
        </w:rPr>
        <w:t>负责人</w:t>
      </w:r>
      <w:r>
        <w:rPr>
          <w:rFonts w:hint="eastAsia" w:ascii="仿宋_GB2312" w:hAnsi="仿宋_GB2312" w:eastAsia="仿宋_GB2312" w:cs="仿宋_GB2312"/>
          <w:color w:val="auto"/>
          <w:sz w:val="32"/>
          <w:szCs w:val="32"/>
          <w:highlight w:val="none"/>
          <w:lang w:val="zh-CN" w:eastAsia="zh-CN"/>
        </w:rPr>
        <w:t>用车0辆、机要通信用车0辆、应急保障用车0辆、执法执勤用车0辆、特种专业技术用车3辆、离退休干部</w:t>
      </w:r>
      <w:r>
        <w:rPr>
          <w:rFonts w:hint="eastAsia" w:ascii="仿宋_GB2312" w:hAnsi="仿宋_GB2312" w:eastAsia="仿宋_GB2312" w:cs="仿宋_GB2312"/>
          <w:color w:val="auto"/>
          <w:sz w:val="32"/>
          <w:szCs w:val="32"/>
          <w:highlight w:val="none"/>
          <w:lang w:val="en-US" w:eastAsia="zh-CN"/>
        </w:rPr>
        <w:t>服务</w:t>
      </w:r>
      <w:r>
        <w:rPr>
          <w:rFonts w:hint="eastAsia" w:ascii="仿宋_GB2312" w:hAnsi="仿宋_GB2312" w:eastAsia="仿宋_GB2312" w:cs="仿宋_GB2312"/>
          <w:color w:val="auto"/>
          <w:sz w:val="32"/>
          <w:szCs w:val="32"/>
          <w:highlight w:val="none"/>
          <w:lang w:val="zh-CN" w:eastAsia="zh-CN"/>
        </w:rPr>
        <w:t>用车0辆、其他用车2辆，其他用车主要是：</w:t>
      </w:r>
      <w:r>
        <w:rPr>
          <w:rFonts w:hint="eastAsia" w:ascii="仿宋_GB2312" w:eastAsia="仿宋_GB2312"/>
          <w:sz w:val="32"/>
          <w:szCs w:val="32"/>
          <w:highlight w:val="none"/>
          <w:lang w:eastAsia="zh-CN"/>
        </w:rPr>
        <w:t>业务用车1辆，运送疫苗专用车1辆；</w:t>
      </w:r>
      <w:r>
        <w:rPr>
          <w:rFonts w:hint="eastAsia" w:ascii="仿宋_GB2312" w:hAnsi="仿宋_GB2312" w:eastAsia="仿宋_GB2312" w:cs="仿宋_GB2312"/>
          <w:color w:val="auto"/>
          <w:sz w:val="32"/>
          <w:szCs w:val="32"/>
          <w:highlight w:val="none"/>
          <w:lang w:val="zh-CN" w:eastAsia="zh-CN"/>
        </w:rPr>
        <w:t>单价100万元（含）以上设备（不含车辆）0</w:t>
      </w:r>
      <w:r>
        <w:rPr>
          <w:rFonts w:hint="eastAsia" w:ascii="仿宋_GB2312" w:hAnsi="仿宋_GB2312" w:eastAsia="仿宋_GB2312" w:cs="仿宋_GB2312"/>
          <w:color w:val="auto"/>
          <w:sz w:val="32"/>
          <w:szCs w:val="32"/>
          <w:highlight w:val="none"/>
          <w:lang w:val="en-US" w:eastAsia="zh-CN"/>
        </w:rPr>
        <w:t>台（套）</w:t>
      </w:r>
      <w:r>
        <w:rPr>
          <w:rFonts w:hint="eastAsia" w:ascii="仿宋_GB2312" w:hAnsi="仿宋_GB2312" w:eastAsia="仿宋_GB2312" w:cs="仿宋_GB2312"/>
          <w:color w:val="auto"/>
          <w:sz w:val="32"/>
          <w:szCs w:val="32"/>
          <w:highlight w:val="none"/>
          <w:lang w:val="zh-CN" w:eastAsia="zh-CN"/>
        </w:rPr>
        <w:t>。</w:t>
      </w:r>
    </w:p>
    <w:p w14:paraId="27910885">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8" w:name="_Toc11283"/>
      <w:bookmarkStart w:id="29" w:name="_Toc435"/>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一</w:t>
      </w:r>
      <w:r>
        <w:rPr>
          <w:rFonts w:hint="eastAsia" w:ascii="黑体" w:hAnsi="黑体" w:eastAsia="黑体" w:cs="宋体"/>
          <w:bCs/>
          <w:color w:val="auto"/>
          <w:kern w:val="0"/>
          <w:sz w:val="32"/>
          <w:szCs w:val="32"/>
          <w:highlight w:val="none"/>
          <w:lang w:eastAsia="zh-CN"/>
        </w:rPr>
        <w:t>、预算绩效的情况说明</w:t>
      </w:r>
      <w:bookmarkEnd w:id="28"/>
      <w:bookmarkEnd w:id="29"/>
    </w:p>
    <w:p w14:paraId="5CA4CEEE">
      <w:pPr>
        <w:ind w:firstLine="640" w:firstLineChars="200"/>
        <w:rPr>
          <w:rFonts w:hint="eastAsia" w:ascii="仿宋_GB2312" w:eastAsia="仿宋_GB2312"/>
          <w:sz w:val="32"/>
          <w:szCs w:val="32"/>
          <w:highlight w:val="none"/>
          <w:lang w:eastAsia="zh-CN"/>
        </w:rPr>
      </w:pPr>
      <w:r>
        <w:rPr>
          <w:rFonts w:hint="eastAsia" w:ascii="仿宋_GB2312" w:eastAsia="仿宋_GB2312"/>
          <w:color w:val="auto"/>
          <w:sz w:val="32"/>
          <w:szCs w:val="32"/>
          <w:highlight w:val="none"/>
          <w:lang w:eastAsia="zh-CN"/>
        </w:rPr>
        <w:t>根据预算绩效管理要求，我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2023年度</w:t>
      </w:r>
      <w:r>
        <w:rPr>
          <w:rFonts w:hint="eastAsia" w:ascii="仿宋_GB2312" w:hAnsi="仿宋_GB2312" w:eastAsia="仿宋_GB2312" w:cs="仿宋_GB2312"/>
          <w:color w:val="auto"/>
          <w:kern w:val="0"/>
          <w:sz w:val="32"/>
          <w:szCs w:val="32"/>
          <w:highlight w:val="none"/>
        </w:rPr>
        <w:t>预算绩效管理整体</w:t>
      </w:r>
      <w:r>
        <w:rPr>
          <w:rFonts w:hint="eastAsia" w:ascii="仿宋_GB2312" w:hAnsi="仿宋_GB2312" w:eastAsia="仿宋_GB2312" w:cs="仿宋_GB2312"/>
          <w:color w:val="auto"/>
          <w:kern w:val="0"/>
          <w:sz w:val="32"/>
          <w:szCs w:val="32"/>
          <w:highlight w:val="none"/>
          <w:lang w:val="en-US" w:eastAsia="zh-CN"/>
        </w:rPr>
        <w:t>支出</w:t>
      </w:r>
      <w:r>
        <w:rPr>
          <w:rFonts w:hint="eastAsia" w:ascii="仿宋_GB2312" w:hAnsi="仿宋_GB2312" w:eastAsia="仿宋_GB2312" w:cs="仿宋_GB2312"/>
          <w:color w:val="auto"/>
          <w:kern w:val="0"/>
          <w:sz w:val="32"/>
          <w:szCs w:val="32"/>
          <w:highlight w:val="none"/>
        </w:rPr>
        <w:t>绩效自评表</w:t>
      </w:r>
      <w:r>
        <w:rPr>
          <w:rFonts w:hint="eastAsia" w:ascii="仿宋_GB2312" w:eastAsia="仿宋_GB2312"/>
          <w:color w:val="auto"/>
          <w:sz w:val="32"/>
          <w:szCs w:val="32"/>
          <w:highlight w:val="none"/>
          <w:lang w:val="en-US" w:eastAsia="zh-CN"/>
        </w:rPr>
        <w:t>1</w:t>
      </w:r>
      <w:r>
        <w:rPr>
          <w:rFonts w:hint="eastAsia" w:ascii="仿宋_GB2312" w:hAnsi="仿宋_GB2312" w:eastAsia="仿宋_GB2312" w:cs="仿宋_GB2312"/>
          <w:color w:val="auto"/>
          <w:kern w:val="0"/>
          <w:sz w:val="32"/>
          <w:szCs w:val="32"/>
          <w:highlight w:val="none"/>
          <w:lang w:val="en-US" w:eastAsia="zh-CN"/>
        </w:rPr>
        <w:t>张，全年</w:t>
      </w:r>
      <w:r>
        <w:rPr>
          <w:rFonts w:hint="eastAsia" w:ascii="仿宋_GB2312" w:eastAsia="仿宋_GB2312"/>
          <w:color w:val="auto"/>
          <w:sz w:val="32"/>
          <w:szCs w:val="32"/>
          <w:highlight w:val="none"/>
          <w:lang w:val="en-US" w:eastAsia="zh-CN"/>
        </w:rPr>
        <w:t>预算总额</w:t>
      </w:r>
      <w:r>
        <w:rPr>
          <w:rFonts w:hint="eastAsia" w:ascii="仿宋_GB2312" w:hAnsi="仿宋_GB2312" w:eastAsia="仿宋_GB2312" w:cs="仿宋_GB2312"/>
          <w:color w:val="auto"/>
          <w:kern w:val="0"/>
          <w:sz w:val="32"/>
          <w:szCs w:val="32"/>
          <w:highlight w:val="none"/>
          <w:lang w:val="en-US" w:eastAsia="zh-CN"/>
        </w:rPr>
        <w:t>1418.48万元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实际执行总额1371.97万元；预算</w:t>
      </w:r>
      <w:r>
        <w:rPr>
          <w:rFonts w:hint="eastAsia" w:ascii="仿宋_GB2312" w:eastAsia="仿宋_GB2312"/>
          <w:color w:val="auto"/>
          <w:sz w:val="32"/>
          <w:szCs w:val="32"/>
          <w:highlight w:val="none"/>
          <w:lang w:eastAsia="zh-CN"/>
        </w:rPr>
        <w:t>绩效评价项目</w:t>
      </w:r>
      <w:r>
        <w:rPr>
          <w:rFonts w:hint="eastAsia" w:ascii="仿宋_GB2312" w:eastAsia="仿宋_GB2312"/>
          <w:color w:val="auto"/>
          <w:sz w:val="32"/>
          <w:szCs w:val="32"/>
          <w:highlight w:val="none"/>
          <w:lang w:val="en-US" w:eastAsia="zh-CN"/>
        </w:rPr>
        <w:t>6</w:t>
      </w:r>
      <w:r>
        <w:rPr>
          <w:rFonts w:hint="eastAsia" w:ascii="仿宋_GB2312" w:eastAsia="仿宋_GB2312"/>
          <w:color w:val="auto"/>
          <w:sz w:val="32"/>
          <w:szCs w:val="32"/>
          <w:highlight w:val="none"/>
          <w:lang w:eastAsia="zh-CN"/>
        </w:rPr>
        <w:t>个，</w:t>
      </w:r>
      <w:r>
        <w:rPr>
          <w:rFonts w:hint="eastAsia" w:ascii="仿宋_GB2312" w:eastAsia="仿宋_GB2312"/>
          <w:color w:val="auto"/>
          <w:sz w:val="32"/>
          <w:szCs w:val="32"/>
          <w:highlight w:val="none"/>
          <w:lang w:val="en-US" w:eastAsia="zh-CN"/>
        </w:rPr>
        <w:t>全年预算数407.61</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全年执行数361.1</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其中</w:t>
      </w:r>
      <w:r>
        <w:rPr>
          <w:rFonts w:hint="eastAsia" w:ascii="仿宋_GB2312" w:eastAsia="仿宋_GB2312"/>
          <w:color w:val="auto"/>
          <w:sz w:val="32"/>
          <w:szCs w:val="32"/>
          <w:lang w:eastAsia="zh-CN"/>
        </w:rPr>
        <w:t>本单位sm项目</w:t>
      </w:r>
      <w:r>
        <w:rPr>
          <w:rFonts w:hint="eastAsia" w:ascii="仿宋_GB2312" w:eastAsia="仿宋_GB2312"/>
          <w:color w:val="auto"/>
          <w:sz w:val="32"/>
          <w:szCs w:val="32"/>
          <w:lang w:val="en-US" w:eastAsia="zh-CN"/>
        </w:rPr>
        <w:t>6</w:t>
      </w:r>
      <w:r>
        <w:rPr>
          <w:rFonts w:hint="eastAsia" w:ascii="仿宋_GB2312" w:eastAsia="仿宋_GB2312"/>
          <w:color w:val="auto"/>
          <w:sz w:val="32"/>
          <w:szCs w:val="32"/>
          <w:lang w:eastAsia="zh-CN"/>
        </w:rPr>
        <w:t>个，全年预算数</w:t>
      </w:r>
      <w:r>
        <w:rPr>
          <w:rFonts w:hint="eastAsia" w:ascii="仿宋_GB2312" w:eastAsia="仿宋_GB2312"/>
          <w:color w:val="auto"/>
          <w:sz w:val="32"/>
          <w:szCs w:val="32"/>
          <w:highlight w:val="none"/>
          <w:lang w:val="en-US" w:eastAsia="zh-CN"/>
        </w:rPr>
        <w:t>407.61</w:t>
      </w:r>
      <w:r>
        <w:rPr>
          <w:rFonts w:hint="eastAsia" w:ascii="仿宋_GB2312" w:eastAsia="仿宋_GB2312"/>
          <w:color w:val="auto"/>
          <w:sz w:val="32"/>
          <w:szCs w:val="32"/>
          <w:lang w:eastAsia="zh-CN"/>
        </w:rPr>
        <w:t>万元，全年执行数</w:t>
      </w:r>
      <w:r>
        <w:rPr>
          <w:rFonts w:hint="eastAsia" w:ascii="仿宋_GB2312" w:eastAsia="仿宋_GB2312"/>
          <w:color w:val="auto"/>
          <w:sz w:val="32"/>
          <w:szCs w:val="32"/>
          <w:highlight w:val="none"/>
          <w:lang w:val="en-US" w:eastAsia="zh-CN"/>
        </w:rPr>
        <w:t>361.1</w:t>
      </w:r>
      <w:r>
        <w:rPr>
          <w:rFonts w:hint="eastAsia" w:ascii="仿宋_GB2312" w:eastAsia="仿宋_GB2312"/>
          <w:color w:val="auto"/>
          <w:sz w:val="32"/>
          <w:szCs w:val="32"/>
          <w:lang w:eastAsia="zh-CN"/>
        </w:rPr>
        <w:t>万元，不予以公开</w:t>
      </w:r>
      <w:r>
        <w:rPr>
          <w:rFonts w:hint="eastAsia" w:ascii="仿宋_GB2312" w:eastAsia="仿宋_GB2312"/>
          <w:sz w:val="32"/>
          <w:szCs w:val="32"/>
        </w:rPr>
        <w:t>。</w:t>
      </w:r>
      <w:r>
        <w:rPr>
          <w:rFonts w:hint="eastAsia" w:ascii="仿宋_GB2312" w:eastAsia="仿宋_GB2312"/>
          <w:color w:val="auto"/>
          <w:sz w:val="32"/>
          <w:szCs w:val="32"/>
          <w:highlight w:val="none"/>
          <w:lang w:eastAsia="zh-CN"/>
        </w:rPr>
        <w:t>预算绩效管理取得的成效：</w:t>
      </w:r>
      <w:r>
        <w:rPr>
          <w:rFonts w:hint="eastAsia" w:ascii="仿宋_GB2312" w:eastAsia="仿宋_GB2312"/>
          <w:sz w:val="32"/>
          <w:szCs w:val="32"/>
          <w:highlight w:val="none"/>
          <w:lang w:eastAsia="zh-CN"/>
        </w:rPr>
        <w:t>一是通过对每笔资金的细致化管理来保障资金使用的合规、合法性，并据此分析各类资金支出产生的效益，使本单位的绩效监控工作上一个新台阶；二是在项目实施过程中，业务人员加强项目管理，合理控制项目成本。发现的问题及原因：一是预算编制前根据年度内单位可预见的工作任务，确定了单位年度预算目标，细化了预算指标，但是在实际支付过程中，个别时候未严格按照预算指标执行；二是在预算绩效管理工作中，存在“重投入轻管理、重支出轻绩效”的情况，对全面实施预算绩效管理的要求认识还不到位，项目申报、实施等环节与预算绩效管理各个环节联系不够紧密。下一步改进措施：一是认真学习财务知识，加强单位内部管理，保障正常工作的开展。加强预算绩效管理，进一步加强单位的资金管理，减少资金使用的随意性，对资金事前、事中、事后进行全过程控制；二是加强各科室的衔接，明确分工，协调专人负责，确保项目的实施。具体项目自评情况附项目支出绩效自评表。</w:t>
      </w:r>
    </w:p>
    <w:p w14:paraId="50ED2676">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二</w:t>
      </w:r>
      <w:r>
        <w:rPr>
          <w:rFonts w:hint="eastAsia" w:ascii="黑体" w:hAnsi="黑体" w:eastAsia="黑体" w:cs="宋体"/>
          <w:bCs/>
          <w:color w:val="auto"/>
          <w:kern w:val="0"/>
          <w:sz w:val="32"/>
          <w:szCs w:val="32"/>
          <w:highlight w:val="none"/>
          <w:lang w:eastAsia="zh-CN"/>
        </w:rPr>
        <w:t>、其他需说明的事项</w:t>
      </w:r>
    </w:p>
    <w:p w14:paraId="29429457">
      <w:pPr>
        <w:ind w:firstLine="640" w:firstLineChars="200"/>
        <w:rPr>
          <w:rFonts w:hint="eastAsia" w:ascii="仿宋_GB2312" w:eastAsia="仿宋_GB2312"/>
          <w:color w:val="FF0000"/>
          <w:sz w:val="32"/>
          <w:szCs w:val="32"/>
          <w:lang w:val="en-US" w:eastAsia="zh-CN"/>
        </w:rPr>
      </w:pPr>
      <w:r>
        <w:rPr>
          <w:rFonts w:hint="eastAsia" w:ascii="仿宋_GB2312" w:eastAsia="仿宋_GB2312"/>
          <w:color w:val="auto"/>
          <w:sz w:val="32"/>
          <w:szCs w:val="32"/>
          <w:lang w:eastAsia="zh-CN"/>
        </w:rPr>
        <w:t>本单位sm项目</w:t>
      </w:r>
      <w:r>
        <w:rPr>
          <w:rFonts w:hint="eastAsia" w:ascii="仿宋_GB2312" w:eastAsia="仿宋_GB2312"/>
          <w:color w:val="auto"/>
          <w:sz w:val="32"/>
          <w:szCs w:val="32"/>
          <w:lang w:val="en-US" w:eastAsia="zh-CN"/>
        </w:rPr>
        <w:t>6</w:t>
      </w:r>
      <w:r>
        <w:rPr>
          <w:rFonts w:hint="eastAsia" w:ascii="仿宋_GB2312" w:eastAsia="仿宋_GB2312"/>
          <w:color w:val="auto"/>
          <w:sz w:val="32"/>
          <w:szCs w:val="32"/>
          <w:lang w:eastAsia="zh-CN"/>
        </w:rPr>
        <w:t>个，全年预算数</w:t>
      </w:r>
      <w:r>
        <w:rPr>
          <w:rFonts w:hint="eastAsia" w:ascii="仿宋_GB2312" w:eastAsia="仿宋_GB2312"/>
          <w:color w:val="auto"/>
          <w:sz w:val="32"/>
          <w:szCs w:val="32"/>
          <w:highlight w:val="none"/>
          <w:lang w:val="en-US" w:eastAsia="zh-CN"/>
        </w:rPr>
        <w:t>407.61</w:t>
      </w:r>
      <w:r>
        <w:rPr>
          <w:rFonts w:hint="eastAsia" w:ascii="仿宋_GB2312" w:eastAsia="仿宋_GB2312"/>
          <w:color w:val="auto"/>
          <w:sz w:val="32"/>
          <w:szCs w:val="32"/>
          <w:lang w:eastAsia="zh-CN"/>
        </w:rPr>
        <w:t>万元，全年执行数</w:t>
      </w:r>
      <w:r>
        <w:rPr>
          <w:rFonts w:hint="eastAsia" w:ascii="仿宋_GB2312" w:eastAsia="仿宋_GB2312"/>
          <w:color w:val="auto"/>
          <w:sz w:val="32"/>
          <w:szCs w:val="32"/>
          <w:highlight w:val="none"/>
          <w:lang w:val="en-US" w:eastAsia="zh-CN"/>
        </w:rPr>
        <w:t>361.1</w:t>
      </w:r>
      <w:r>
        <w:rPr>
          <w:rFonts w:hint="eastAsia" w:ascii="仿宋_GB2312" w:eastAsia="仿宋_GB2312"/>
          <w:color w:val="auto"/>
          <w:sz w:val="32"/>
          <w:szCs w:val="32"/>
          <w:lang w:eastAsia="zh-CN"/>
        </w:rPr>
        <w:t>万元，不予以公开绩效自评表。</w:t>
      </w:r>
    </w:p>
    <w:p w14:paraId="54C1E520">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hAnsi="仿宋_GB2312" w:eastAsia="仿宋_GB2312" w:cs="仿宋_GB2312"/>
          <w:color w:val="auto"/>
          <w:kern w:val="0"/>
          <w:sz w:val="32"/>
          <w:szCs w:val="32"/>
          <w:highlight w:val="none"/>
          <w:lang w:val="en-US" w:eastAsia="zh-CN"/>
        </w:rPr>
      </w:pPr>
    </w:p>
    <w:p w14:paraId="7F8B95A7">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30" w:name="_Toc3250"/>
      <w:bookmarkStart w:id="31" w:name="_Toc24143"/>
      <w:r>
        <w:rPr>
          <w:rFonts w:hint="eastAsia" w:ascii="黑体" w:hAnsi="黑体" w:eastAsia="黑体"/>
          <w:color w:val="auto"/>
          <w:sz w:val="32"/>
          <w:szCs w:val="32"/>
          <w:highlight w:val="none"/>
        </w:rPr>
        <w:br w:type="page"/>
      </w:r>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三</w:t>
      </w:r>
      <w:r>
        <w:rPr>
          <w:rFonts w:hint="eastAsia" w:ascii="黑体" w:hAnsi="黑体" w:eastAsia="黑体"/>
          <w:color w:val="auto"/>
          <w:sz w:val="32"/>
          <w:szCs w:val="32"/>
          <w:highlight w:val="none"/>
        </w:rPr>
        <w:t>部分 专业名词解释</w:t>
      </w:r>
      <w:bookmarkEnd w:id="30"/>
      <w:bookmarkEnd w:id="31"/>
    </w:p>
    <w:p w14:paraId="48FF6711">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一、</w:t>
      </w:r>
      <w:r>
        <w:rPr>
          <w:rFonts w:hint="eastAsia" w:ascii="仿宋_GB2312" w:eastAsia="仿宋_GB2312"/>
          <w:b/>
          <w:bCs/>
          <w:color w:val="auto"/>
          <w:sz w:val="32"/>
          <w:szCs w:val="32"/>
          <w:highlight w:val="none"/>
        </w:rPr>
        <w:t>财政拨款收入：</w:t>
      </w:r>
      <w:r>
        <w:rPr>
          <w:rFonts w:hint="eastAsia" w:ascii="仿宋_GB2312" w:eastAsia="仿宋_GB2312"/>
          <w:color w:val="auto"/>
          <w:sz w:val="32"/>
          <w:szCs w:val="32"/>
          <w:highlight w:val="none"/>
        </w:rPr>
        <w:t>指同级财政当年拨付的资金。</w:t>
      </w:r>
    </w:p>
    <w:p w14:paraId="3B0E9A98">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二、</w:t>
      </w:r>
      <w:r>
        <w:rPr>
          <w:rFonts w:hint="eastAsia" w:ascii="仿宋_GB2312" w:eastAsia="仿宋_GB2312"/>
          <w:b/>
          <w:bCs/>
          <w:color w:val="auto"/>
          <w:sz w:val="32"/>
          <w:szCs w:val="32"/>
          <w:highlight w:val="none"/>
        </w:rPr>
        <w:t>上级补助收入：</w:t>
      </w:r>
      <w:r>
        <w:rPr>
          <w:rFonts w:hint="eastAsia" w:ascii="仿宋_GB2312" w:eastAsia="仿宋_GB2312"/>
          <w:color w:val="auto"/>
          <w:sz w:val="32"/>
          <w:szCs w:val="32"/>
          <w:highlight w:val="none"/>
        </w:rPr>
        <w:t>指事业单位从主管部门和上级单位取得的非财政补助收入。</w:t>
      </w:r>
    </w:p>
    <w:p w14:paraId="289FD1D7">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三、</w:t>
      </w:r>
      <w:r>
        <w:rPr>
          <w:rFonts w:hint="eastAsia" w:ascii="仿宋_GB2312" w:eastAsia="仿宋_GB2312"/>
          <w:b/>
          <w:bCs/>
          <w:color w:val="auto"/>
          <w:sz w:val="32"/>
          <w:szCs w:val="32"/>
          <w:highlight w:val="none"/>
        </w:rPr>
        <w:t>事业收入：</w:t>
      </w:r>
      <w:r>
        <w:rPr>
          <w:rFonts w:hint="eastAsia" w:ascii="仿宋_GB2312" w:eastAsia="仿宋_GB2312"/>
          <w:color w:val="auto"/>
          <w:sz w:val="32"/>
          <w:szCs w:val="32"/>
          <w:highlight w:val="none"/>
        </w:rPr>
        <w:t>指事业单位开展专业业务活动及其辅助活动所取得的收入。</w:t>
      </w:r>
    </w:p>
    <w:p w14:paraId="0DDBBAE9">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四、</w:t>
      </w:r>
      <w:r>
        <w:rPr>
          <w:rFonts w:hint="eastAsia" w:ascii="仿宋_GB2312" w:eastAsia="仿宋_GB2312"/>
          <w:b/>
          <w:bCs/>
          <w:color w:val="auto"/>
          <w:sz w:val="32"/>
          <w:szCs w:val="32"/>
          <w:highlight w:val="none"/>
        </w:rPr>
        <w:t>经营收入：</w:t>
      </w:r>
      <w:r>
        <w:rPr>
          <w:rFonts w:hint="eastAsia" w:ascii="仿宋_GB2312" w:eastAsia="仿宋_GB2312"/>
          <w:color w:val="auto"/>
          <w:sz w:val="32"/>
          <w:szCs w:val="32"/>
          <w:highlight w:val="none"/>
        </w:rPr>
        <w:t>指事业单位在专业业务活动及其辅助活动之外开展非独立核算经营活动取得的收入。</w:t>
      </w:r>
    </w:p>
    <w:p w14:paraId="5FDDC014">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五、</w:t>
      </w:r>
      <w:r>
        <w:rPr>
          <w:rFonts w:hint="eastAsia" w:ascii="仿宋_GB2312" w:eastAsia="仿宋_GB2312"/>
          <w:b/>
          <w:bCs/>
          <w:color w:val="auto"/>
          <w:sz w:val="32"/>
          <w:szCs w:val="32"/>
          <w:highlight w:val="none"/>
        </w:rPr>
        <w:t>附属单位上缴收入：</w:t>
      </w:r>
      <w:r>
        <w:rPr>
          <w:rFonts w:hint="eastAsia" w:ascii="仿宋_GB2312" w:eastAsia="仿宋_GB2312"/>
          <w:color w:val="auto"/>
          <w:sz w:val="32"/>
          <w:szCs w:val="32"/>
          <w:highlight w:val="none"/>
        </w:rPr>
        <w:t>指事业单位附属的独立核算单位按有关规定上缴的收入。</w:t>
      </w:r>
    </w:p>
    <w:p w14:paraId="677E9F52">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六、</w:t>
      </w:r>
      <w:r>
        <w:rPr>
          <w:rFonts w:hint="eastAsia" w:ascii="仿宋_GB2312" w:eastAsia="仿宋_GB2312"/>
          <w:b/>
          <w:bCs/>
          <w:color w:val="auto"/>
          <w:sz w:val="32"/>
          <w:szCs w:val="32"/>
          <w:highlight w:val="none"/>
        </w:rPr>
        <w:t>其他收入：</w:t>
      </w:r>
      <w:r>
        <w:rPr>
          <w:rFonts w:hint="eastAsia" w:ascii="仿宋_GB2312" w:eastAsia="仿宋_GB2312"/>
          <w:color w:val="auto"/>
          <w:sz w:val="32"/>
          <w:szCs w:val="32"/>
          <w:highlight w:val="none"/>
        </w:rPr>
        <w:t>指除上述“财政拨款收入”、“事业收入”、“经营收入”、“附属单位上缴收入”等之外取得的收入。</w:t>
      </w:r>
    </w:p>
    <w:p w14:paraId="404C604F">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七、</w:t>
      </w:r>
      <w:r>
        <w:rPr>
          <w:rFonts w:hint="eastAsia" w:ascii="仿宋_GB2312" w:eastAsia="仿宋_GB2312"/>
          <w:b/>
          <w:bCs/>
          <w:color w:val="auto"/>
          <w:sz w:val="32"/>
          <w:szCs w:val="32"/>
          <w:highlight w:val="none"/>
          <w:lang w:eastAsia="zh-CN"/>
        </w:rPr>
        <w:t>年初</w:t>
      </w:r>
      <w:r>
        <w:rPr>
          <w:rFonts w:hint="eastAsia" w:ascii="仿宋_GB2312" w:eastAsia="仿宋_GB2312"/>
          <w:b/>
          <w:bCs/>
          <w:color w:val="auto"/>
          <w:sz w:val="32"/>
          <w:szCs w:val="32"/>
          <w:highlight w:val="none"/>
        </w:rPr>
        <w:t>结转和结余：</w:t>
      </w:r>
      <w:r>
        <w:rPr>
          <w:rFonts w:hint="eastAsia" w:ascii="仿宋_GB2312" w:eastAsia="仿宋_GB2312"/>
          <w:color w:val="auto"/>
          <w:sz w:val="32"/>
          <w:szCs w:val="32"/>
          <w:highlight w:val="none"/>
        </w:rPr>
        <w:t>指以前年度支出预算因客观条件变化未执行完毕、结转到本年度按有关规定继续使用的资金，既包括财政拨款结转和结余，也包括事业收入、经营收入、其他收入的结转和结余。</w:t>
      </w:r>
    </w:p>
    <w:p w14:paraId="53C30899">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八、</w:t>
      </w:r>
      <w:r>
        <w:rPr>
          <w:rFonts w:hint="eastAsia" w:ascii="仿宋_GB2312" w:eastAsia="仿宋_GB2312"/>
          <w:b/>
          <w:bCs/>
          <w:color w:val="auto"/>
          <w:sz w:val="32"/>
          <w:szCs w:val="32"/>
          <w:highlight w:val="none"/>
        </w:rPr>
        <w:t>年末结转和结余：</w:t>
      </w:r>
      <w:r>
        <w:rPr>
          <w:rFonts w:hint="eastAsia" w:ascii="仿宋_GB2312" w:eastAsia="仿宋_GB2312"/>
          <w:color w:val="auto"/>
          <w:sz w:val="32"/>
          <w:szCs w:val="32"/>
          <w:highlight w:val="none"/>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5EC241A1">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九、</w:t>
      </w:r>
      <w:r>
        <w:rPr>
          <w:rFonts w:hint="eastAsia" w:ascii="仿宋_GB2312" w:eastAsia="仿宋_GB2312"/>
          <w:b/>
          <w:bCs/>
          <w:color w:val="auto"/>
          <w:sz w:val="32"/>
          <w:szCs w:val="32"/>
          <w:highlight w:val="none"/>
        </w:rPr>
        <w:t>基本支出：</w:t>
      </w:r>
      <w:r>
        <w:rPr>
          <w:rFonts w:hint="eastAsia" w:ascii="仿宋_GB2312" w:eastAsia="仿宋_GB2312"/>
          <w:color w:val="auto"/>
          <w:sz w:val="32"/>
          <w:szCs w:val="32"/>
          <w:highlight w:val="none"/>
        </w:rPr>
        <w:t>指为保障机构正常运转、完成日常工作任务而发生的人员支出和公用支出。</w:t>
      </w:r>
    </w:p>
    <w:p w14:paraId="62C0F6C4">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w:t>
      </w:r>
      <w:r>
        <w:rPr>
          <w:rFonts w:hint="eastAsia" w:ascii="仿宋_GB2312" w:eastAsia="仿宋_GB2312"/>
          <w:b/>
          <w:bCs/>
          <w:color w:val="auto"/>
          <w:sz w:val="32"/>
          <w:szCs w:val="32"/>
          <w:highlight w:val="none"/>
        </w:rPr>
        <w:t>项目支出：</w:t>
      </w:r>
      <w:r>
        <w:rPr>
          <w:rFonts w:hint="eastAsia" w:ascii="仿宋_GB2312" w:eastAsia="仿宋_GB2312"/>
          <w:color w:val="auto"/>
          <w:sz w:val="32"/>
          <w:szCs w:val="32"/>
          <w:highlight w:val="none"/>
        </w:rPr>
        <w:t>指在基本支出之外为完成特定行政任务和事业发展目标所发生的支出。</w:t>
      </w:r>
    </w:p>
    <w:p w14:paraId="115F2A8A">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十一、</w:t>
      </w:r>
      <w:r>
        <w:rPr>
          <w:rFonts w:hint="eastAsia" w:ascii="仿宋_GB2312" w:eastAsia="仿宋_GB2312"/>
          <w:b/>
          <w:bCs/>
          <w:color w:val="auto"/>
          <w:sz w:val="32"/>
          <w:szCs w:val="32"/>
          <w:highlight w:val="none"/>
        </w:rPr>
        <w:t>经营支出：</w:t>
      </w:r>
      <w:r>
        <w:rPr>
          <w:rFonts w:hint="eastAsia" w:ascii="仿宋_GB2312" w:eastAsia="仿宋_GB2312"/>
          <w:color w:val="auto"/>
          <w:sz w:val="32"/>
          <w:szCs w:val="32"/>
          <w:highlight w:val="none"/>
        </w:rPr>
        <w:t>指事业单位在专业业务活动及其辅助活动之外开展非独立核算经营活动发生的支出。</w:t>
      </w:r>
    </w:p>
    <w:p w14:paraId="191AE887">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十二、</w:t>
      </w:r>
      <w:r>
        <w:rPr>
          <w:rFonts w:hint="eastAsia" w:ascii="仿宋_GB2312" w:eastAsia="仿宋_GB2312"/>
          <w:b/>
          <w:bCs/>
          <w:color w:val="auto"/>
          <w:sz w:val="32"/>
          <w:szCs w:val="32"/>
          <w:highlight w:val="none"/>
        </w:rPr>
        <w:t>对附属单位补助支出：</w:t>
      </w:r>
      <w:r>
        <w:rPr>
          <w:rFonts w:hint="eastAsia" w:ascii="仿宋_GB2312" w:eastAsia="仿宋_GB2312"/>
          <w:color w:val="auto"/>
          <w:sz w:val="32"/>
          <w:szCs w:val="32"/>
          <w:highlight w:val="none"/>
        </w:rPr>
        <w:t>指事业单位发生的用非财政预算资金对附属单位的补助支出。</w:t>
      </w:r>
    </w:p>
    <w:p w14:paraId="4417E961">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lang w:eastAsia="zh-CN"/>
        </w:rPr>
      </w:pPr>
      <w:r>
        <w:rPr>
          <w:rFonts w:hint="eastAsia" w:ascii="仿宋_GB2312" w:eastAsia="仿宋_GB2312"/>
          <w:b/>
          <w:bCs/>
          <w:color w:val="auto"/>
          <w:sz w:val="32"/>
          <w:szCs w:val="32"/>
          <w:highlight w:val="none"/>
          <w:lang w:val="en-US" w:eastAsia="zh-CN"/>
        </w:rPr>
        <w:t>十三、</w:t>
      </w:r>
      <w:r>
        <w:rPr>
          <w:rFonts w:hint="eastAsia" w:ascii="仿宋_GB2312" w:eastAsia="仿宋_GB2312"/>
          <w:b/>
          <w:bCs/>
          <w:color w:val="auto"/>
          <w:sz w:val="32"/>
          <w:szCs w:val="32"/>
          <w:highlight w:val="none"/>
        </w:rPr>
        <w:t>“三公”经费：</w:t>
      </w:r>
      <w:r>
        <w:rPr>
          <w:rFonts w:hint="eastAsia" w:ascii="仿宋_GB2312" w:eastAsia="仿宋_GB2312"/>
          <w:color w:val="auto"/>
          <w:sz w:val="32"/>
          <w:szCs w:val="32"/>
          <w:highlight w:val="none"/>
        </w:rPr>
        <w:t>指用财政拨款安排的因公出国（境）费、公务用车购置及运行费和公务接待费。其中，因公出国（境）费反映单位公务出国（境）的</w:t>
      </w:r>
      <w:r>
        <w:rPr>
          <w:rFonts w:hint="eastAsia" w:ascii="仿宋_GB2312" w:eastAsia="仿宋_GB2312"/>
          <w:color w:val="auto"/>
          <w:sz w:val="32"/>
          <w:szCs w:val="32"/>
          <w:highlight w:val="none"/>
          <w:lang w:eastAsia="zh-CN"/>
        </w:rPr>
        <w:t>国际旅费、国外城市间交通费、</w:t>
      </w:r>
      <w:r>
        <w:rPr>
          <w:rFonts w:hint="eastAsia" w:ascii="仿宋_GB2312" w:eastAsia="仿宋_GB2312"/>
          <w:color w:val="auto"/>
          <w:sz w:val="32"/>
          <w:szCs w:val="32"/>
          <w:highlight w:val="none"/>
        </w:rPr>
        <w:t>住宿费、伙食费、培训费、</w:t>
      </w:r>
      <w:r>
        <w:rPr>
          <w:rFonts w:hint="eastAsia" w:ascii="仿宋_GB2312" w:eastAsia="仿宋_GB2312"/>
          <w:color w:val="auto"/>
          <w:sz w:val="32"/>
          <w:szCs w:val="32"/>
          <w:highlight w:val="none"/>
          <w:lang w:eastAsia="zh-CN"/>
        </w:rPr>
        <w:t>公</w:t>
      </w:r>
      <w:r>
        <w:rPr>
          <w:rFonts w:hint="eastAsia" w:ascii="仿宋_GB2312" w:eastAsia="仿宋_GB2312"/>
          <w:color w:val="auto"/>
          <w:sz w:val="32"/>
          <w:szCs w:val="32"/>
          <w:highlight w:val="none"/>
        </w:rPr>
        <w:t>杂费等支出；公务用车购置费</w:t>
      </w:r>
      <w:r>
        <w:rPr>
          <w:rFonts w:hint="eastAsia" w:ascii="仿宋_GB2312" w:eastAsia="仿宋_GB2312"/>
          <w:color w:val="auto"/>
          <w:sz w:val="32"/>
          <w:szCs w:val="32"/>
          <w:highlight w:val="none"/>
          <w:lang w:eastAsia="zh-CN"/>
        </w:rPr>
        <w:t>反映公务用车购置支出（含车辆购置税、牌照费）；</w:t>
      </w:r>
      <w:r>
        <w:rPr>
          <w:rFonts w:hint="eastAsia" w:ascii="仿宋_GB2312" w:eastAsia="仿宋_GB2312"/>
          <w:color w:val="auto"/>
          <w:sz w:val="32"/>
          <w:szCs w:val="32"/>
          <w:highlight w:val="none"/>
        </w:rPr>
        <w:t>公务用车运行</w:t>
      </w:r>
      <w:r>
        <w:rPr>
          <w:rFonts w:hint="eastAsia" w:ascii="仿宋_GB2312" w:eastAsia="仿宋_GB2312"/>
          <w:color w:val="auto"/>
          <w:sz w:val="32"/>
          <w:szCs w:val="32"/>
          <w:highlight w:val="none"/>
          <w:lang w:eastAsia="zh-CN"/>
        </w:rPr>
        <w:t>维护</w:t>
      </w:r>
      <w:r>
        <w:rPr>
          <w:rFonts w:hint="eastAsia" w:ascii="仿宋_GB2312" w:eastAsia="仿宋_GB2312"/>
          <w:color w:val="auto"/>
          <w:sz w:val="32"/>
          <w:szCs w:val="32"/>
          <w:highlight w:val="none"/>
        </w:rPr>
        <w:t>费反映</w:t>
      </w:r>
      <w:r>
        <w:rPr>
          <w:rFonts w:hint="eastAsia" w:ascii="仿宋_GB2312" w:eastAsia="仿宋_GB2312"/>
          <w:color w:val="auto"/>
          <w:sz w:val="32"/>
          <w:szCs w:val="32"/>
          <w:highlight w:val="none"/>
          <w:lang w:eastAsia="zh-CN"/>
        </w:rPr>
        <w:t>单位按规定保留的公务用车燃料费、维修费、</w:t>
      </w:r>
      <w:r>
        <w:rPr>
          <w:rFonts w:hint="eastAsia" w:ascii="仿宋_GB2312" w:eastAsia="仿宋_GB2312"/>
          <w:color w:val="auto"/>
          <w:sz w:val="32"/>
          <w:szCs w:val="32"/>
          <w:highlight w:val="none"/>
        </w:rPr>
        <w:t>过路过桥费、保险费、安全奖励费用等支出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公务接待费反映单位按规定开支的各类公务接待（含外宾接待）</w:t>
      </w:r>
      <w:r>
        <w:rPr>
          <w:rFonts w:hint="eastAsia" w:ascii="仿宋_GB2312" w:eastAsia="仿宋_GB2312"/>
          <w:color w:val="auto"/>
          <w:sz w:val="32"/>
          <w:szCs w:val="32"/>
          <w:highlight w:val="none"/>
          <w:lang w:eastAsia="zh-CN"/>
        </w:rPr>
        <w:t>费用</w:t>
      </w:r>
      <w:r>
        <w:rPr>
          <w:rFonts w:hint="eastAsia" w:ascii="仿宋_GB2312" w:eastAsia="仿宋_GB2312"/>
          <w:color w:val="auto"/>
          <w:sz w:val="32"/>
          <w:szCs w:val="32"/>
          <w:highlight w:val="none"/>
        </w:rPr>
        <w:t>。</w:t>
      </w:r>
    </w:p>
    <w:p w14:paraId="1B4B0332">
      <w:pPr>
        <w:keepNext w:val="0"/>
        <w:keepLines w:val="0"/>
        <w:pageBreakBefore w:val="0"/>
        <w:widowControl w:val="0"/>
        <w:kinsoku/>
        <w:wordWrap/>
        <w:overflowPunct/>
        <w:topLinePunct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十四、</w:t>
      </w:r>
      <w:r>
        <w:rPr>
          <w:rFonts w:hint="eastAsia" w:ascii="仿宋_GB2312" w:eastAsia="仿宋_GB2312"/>
          <w:b/>
          <w:bCs/>
          <w:color w:val="auto"/>
          <w:sz w:val="32"/>
          <w:szCs w:val="32"/>
          <w:highlight w:val="none"/>
        </w:rPr>
        <w:t>机关运行经费：</w:t>
      </w:r>
      <w:r>
        <w:rPr>
          <w:rFonts w:hint="eastAsia" w:ascii="仿宋_GB2312" w:eastAsia="仿宋_GB2312"/>
          <w:color w:val="auto"/>
          <w:sz w:val="32"/>
          <w:szCs w:val="32"/>
          <w:highlight w:val="none"/>
        </w:rPr>
        <w:t>行政单位和参照公务员法管理的事业单位财政拨款基本支出中的公用经费支出。</w:t>
      </w:r>
    </w:p>
    <w:p w14:paraId="6CB26D1F">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center"/>
        <w:textAlignment w:val="auto"/>
        <w:outlineLvl w:val="0"/>
        <w:rPr>
          <w:rFonts w:hint="eastAsia" w:ascii="黑体" w:hAnsi="黑体" w:eastAsia="黑体"/>
          <w:color w:val="auto"/>
          <w:sz w:val="32"/>
          <w:szCs w:val="32"/>
          <w:highlight w:val="none"/>
        </w:rPr>
      </w:pPr>
      <w:r>
        <w:rPr>
          <w:rFonts w:hint="eastAsia" w:ascii="仿宋_GB2312" w:eastAsia="仿宋_GB2312"/>
          <w:color w:val="auto"/>
          <w:sz w:val="32"/>
          <w:szCs w:val="32"/>
          <w:highlight w:val="none"/>
        </w:rPr>
        <w:br w:type="page"/>
      </w:r>
      <w:r>
        <w:rPr>
          <w:rFonts w:hint="eastAsia" w:ascii="黑体" w:hAnsi="黑体" w:eastAsia="黑体"/>
          <w:color w:val="auto"/>
          <w:sz w:val="32"/>
          <w:szCs w:val="32"/>
          <w:highlight w:val="none"/>
        </w:rPr>
        <w:t>第四部分 部门决算报表（见附表）</w:t>
      </w:r>
    </w:p>
    <w:p w14:paraId="4BA77F6C">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2" w:name="_Toc2183"/>
      <w:bookmarkStart w:id="33" w:name="_Toc6062"/>
      <w:r>
        <w:rPr>
          <w:rFonts w:hint="eastAsia" w:ascii="黑体" w:hAnsi="黑体" w:eastAsia="仿宋_GB2312" w:cs="宋体"/>
          <w:bCs/>
          <w:color w:val="auto"/>
          <w:kern w:val="0"/>
          <w:sz w:val="32"/>
          <w:szCs w:val="32"/>
          <w:highlight w:val="none"/>
        </w:rPr>
        <w:t>一、《收入支出决算总表》</w:t>
      </w:r>
      <w:bookmarkEnd w:id="32"/>
      <w:bookmarkEnd w:id="33"/>
    </w:p>
    <w:p w14:paraId="66000192">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4" w:name="_Toc24532"/>
      <w:bookmarkStart w:id="35" w:name="_Toc30364"/>
      <w:r>
        <w:rPr>
          <w:rFonts w:hint="eastAsia" w:ascii="黑体" w:hAnsi="黑体" w:eastAsia="仿宋_GB2312" w:cs="宋体"/>
          <w:bCs/>
          <w:color w:val="auto"/>
          <w:kern w:val="0"/>
          <w:sz w:val="32"/>
          <w:szCs w:val="32"/>
          <w:highlight w:val="none"/>
        </w:rPr>
        <w:t>二、《收入决算表》</w:t>
      </w:r>
      <w:bookmarkEnd w:id="34"/>
      <w:bookmarkEnd w:id="35"/>
    </w:p>
    <w:p w14:paraId="352C4000">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6" w:name="_Toc32434"/>
      <w:bookmarkStart w:id="37" w:name="_Toc21304"/>
      <w:r>
        <w:rPr>
          <w:rFonts w:hint="eastAsia" w:ascii="黑体" w:hAnsi="黑体" w:eastAsia="仿宋_GB2312" w:cs="宋体"/>
          <w:bCs/>
          <w:color w:val="auto"/>
          <w:kern w:val="0"/>
          <w:sz w:val="32"/>
          <w:szCs w:val="32"/>
          <w:highlight w:val="none"/>
        </w:rPr>
        <w:t>三、《支出决算表》</w:t>
      </w:r>
      <w:bookmarkEnd w:id="36"/>
      <w:bookmarkEnd w:id="37"/>
    </w:p>
    <w:p w14:paraId="28AF7E95">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8" w:name="_Toc14238"/>
      <w:bookmarkStart w:id="39" w:name="_Toc28786"/>
      <w:r>
        <w:rPr>
          <w:rFonts w:hint="eastAsia" w:ascii="黑体" w:hAnsi="黑体" w:eastAsia="仿宋_GB2312" w:cs="宋体"/>
          <w:bCs/>
          <w:color w:val="auto"/>
          <w:kern w:val="0"/>
          <w:sz w:val="32"/>
          <w:szCs w:val="32"/>
          <w:highlight w:val="none"/>
        </w:rPr>
        <w:t>四、《财政拨款收入支出决算总表》</w:t>
      </w:r>
      <w:bookmarkEnd w:id="38"/>
      <w:bookmarkEnd w:id="39"/>
    </w:p>
    <w:p w14:paraId="3DBA4F27">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0" w:name="_Toc10347"/>
      <w:bookmarkStart w:id="41" w:name="_Toc14869"/>
      <w:r>
        <w:rPr>
          <w:rFonts w:hint="eastAsia" w:ascii="黑体" w:hAnsi="黑体" w:eastAsia="仿宋_GB2312" w:cs="宋体"/>
          <w:bCs/>
          <w:color w:val="auto"/>
          <w:kern w:val="0"/>
          <w:sz w:val="32"/>
          <w:szCs w:val="32"/>
          <w:highlight w:val="none"/>
        </w:rPr>
        <w:t>五、《一般公共预算财政拨款支出决算表》</w:t>
      </w:r>
      <w:bookmarkEnd w:id="40"/>
      <w:bookmarkEnd w:id="41"/>
    </w:p>
    <w:p w14:paraId="4DABC2A8">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2" w:name="_Toc8884"/>
      <w:bookmarkStart w:id="43" w:name="_Toc5626"/>
      <w:r>
        <w:rPr>
          <w:rFonts w:hint="eastAsia" w:ascii="黑体" w:hAnsi="黑体" w:eastAsia="仿宋_GB2312" w:cs="宋体"/>
          <w:bCs/>
          <w:color w:val="auto"/>
          <w:kern w:val="0"/>
          <w:sz w:val="32"/>
          <w:szCs w:val="32"/>
          <w:highlight w:val="none"/>
        </w:rPr>
        <w:t>六、《一般公共预算财政拨款基本支出决算表》</w:t>
      </w:r>
      <w:bookmarkEnd w:id="42"/>
      <w:bookmarkEnd w:id="43"/>
    </w:p>
    <w:p w14:paraId="7B60F1E7">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rPr>
        <w:t>七、</w:t>
      </w:r>
      <w:bookmarkStart w:id="44" w:name="_Toc32663"/>
      <w:bookmarkStart w:id="45" w:name="_Toc29106"/>
      <w:r>
        <w:rPr>
          <w:rFonts w:hint="eastAsia" w:ascii="黑体" w:hAnsi="黑体" w:eastAsia="仿宋_GB2312" w:cs="宋体"/>
          <w:bCs/>
          <w:color w:val="auto"/>
          <w:kern w:val="0"/>
          <w:sz w:val="32"/>
          <w:szCs w:val="32"/>
          <w:highlight w:val="none"/>
        </w:rPr>
        <w:t>《财政拨款“三公”经费支出决算表》</w:t>
      </w:r>
      <w:bookmarkEnd w:id="44"/>
      <w:bookmarkEnd w:id="45"/>
    </w:p>
    <w:p w14:paraId="6215F502">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6" w:name="_Toc5453"/>
      <w:bookmarkStart w:id="47" w:name="_Toc7643"/>
      <w:r>
        <w:rPr>
          <w:rFonts w:hint="eastAsia" w:ascii="黑体" w:hAnsi="黑体" w:eastAsia="仿宋_GB2312" w:cs="宋体"/>
          <w:bCs/>
          <w:color w:val="auto"/>
          <w:kern w:val="0"/>
          <w:sz w:val="32"/>
          <w:szCs w:val="32"/>
          <w:highlight w:val="none"/>
        </w:rPr>
        <w:t>八、《政府性基金预算财政拨款收入支出决算表》</w:t>
      </w:r>
      <w:bookmarkEnd w:id="46"/>
      <w:bookmarkEnd w:id="47"/>
    </w:p>
    <w:p w14:paraId="07C70EBF">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lang w:val="en-US" w:eastAsia="zh-CN"/>
        </w:rPr>
        <w:t>九</w:t>
      </w:r>
      <w:r>
        <w:rPr>
          <w:rFonts w:hint="eastAsia" w:ascii="黑体" w:hAnsi="黑体" w:eastAsia="仿宋_GB2312" w:cs="宋体"/>
          <w:bCs/>
          <w:color w:val="auto"/>
          <w:kern w:val="0"/>
          <w:sz w:val="32"/>
          <w:szCs w:val="32"/>
          <w:highlight w:val="none"/>
        </w:rPr>
        <w:t>、《</w:t>
      </w:r>
      <w:r>
        <w:rPr>
          <w:rFonts w:hint="eastAsia" w:ascii="黑体" w:hAnsi="黑体" w:eastAsia="仿宋_GB2312" w:cs="宋体"/>
          <w:bCs/>
          <w:color w:val="auto"/>
          <w:kern w:val="0"/>
          <w:sz w:val="32"/>
          <w:szCs w:val="32"/>
          <w:highlight w:val="none"/>
          <w:lang w:eastAsia="zh-CN"/>
        </w:rPr>
        <w:t>国有资本经营</w:t>
      </w:r>
      <w:r>
        <w:rPr>
          <w:rFonts w:hint="eastAsia" w:ascii="黑体" w:hAnsi="黑体" w:eastAsia="仿宋_GB2312" w:cs="宋体"/>
          <w:bCs/>
          <w:color w:val="auto"/>
          <w:kern w:val="0"/>
          <w:sz w:val="32"/>
          <w:szCs w:val="32"/>
          <w:highlight w:val="none"/>
        </w:rPr>
        <w:t>预算财政拨款收入支出决算表》</w:t>
      </w:r>
    </w:p>
    <w:p w14:paraId="22C7B208">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z w:val="32"/>
          <w:szCs w:val="32"/>
          <w:highlight w:val="none"/>
        </w:rPr>
      </w:pPr>
    </w:p>
    <w:p w14:paraId="68B8C70A">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9A89D232-4E3C-4B16-A9E1-AA22EA51BBB3}"/>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script"/>
    <w:pitch w:val="default"/>
    <w:sig w:usb0="00000001" w:usb1="080E0000" w:usb2="00000000" w:usb3="00000000" w:csb0="00040000" w:csb1="00000000"/>
    <w:embedRegular r:id="rId2" w:fontKey="{8C9DDCAB-454D-4008-8924-D2D82F3FB421}"/>
  </w:font>
  <w:font w:name="仿宋_GB2312">
    <w:panose1 w:val="02010609030101010101"/>
    <w:charset w:val="86"/>
    <w:family w:val="modern"/>
    <w:pitch w:val="default"/>
    <w:sig w:usb0="00000001" w:usb1="080E0000" w:usb2="00000000" w:usb3="00000000" w:csb0="00040000" w:csb1="00000000"/>
    <w:embedRegular r:id="rId3" w:fontKey="{627619DE-CFF9-44E2-BB0A-53076E6BB6EA}"/>
  </w:font>
  <w:font w:name="仿宋">
    <w:panose1 w:val="02010609060101010101"/>
    <w:charset w:val="86"/>
    <w:family w:val="modern"/>
    <w:pitch w:val="default"/>
    <w:sig w:usb0="800002BF" w:usb1="38CF7CFA" w:usb2="00000016" w:usb3="00000000" w:csb0="00040001" w:csb1="00000000"/>
    <w:embedRegular r:id="rId4" w:fontKey="{EF963FCF-0183-4D42-A6CC-D2B896B0D98E}"/>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F39E35">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3479CC0F">
                          <w:pPr>
                            <w:pStyle w:val="5"/>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3479CC0F">
                    <w:pPr>
                      <w:pStyle w:val="5"/>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9"/>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g3Nzg3NmU3NGUyZTA1ZDZlNDM0ZjAzMTZhMzZiMmIifQ=="/>
    <w:docVar w:name="KSO_WPS_MARK_KEY" w:val="41ee2a61-2d54-4f93-83be-afdb9a40d732"/>
  </w:docVars>
  <w:rsids>
    <w:rsidRoot w:val="00000000"/>
    <w:rsid w:val="00213C59"/>
    <w:rsid w:val="003210CE"/>
    <w:rsid w:val="00B70D59"/>
    <w:rsid w:val="00F52A8D"/>
    <w:rsid w:val="010A7C68"/>
    <w:rsid w:val="01904F18"/>
    <w:rsid w:val="019404F8"/>
    <w:rsid w:val="01C30B6B"/>
    <w:rsid w:val="01ED22F2"/>
    <w:rsid w:val="02BD3108"/>
    <w:rsid w:val="02E32DF1"/>
    <w:rsid w:val="02EC683B"/>
    <w:rsid w:val="02F73D26"/>
    <w:rsid w:val="02FD4578"/>
    <w:rsid w:val="034D4FEF"/>
    <w:rsid w:val="035D1785"/>
    <w:rsid w:val="039F47CE"/>
    <w:rsid w:val="03BD5310"/>
    <w:rsid w:val="03E05CE8"/>
    <w:rsid w:val="03F973EE"/>
    <w:rsid w:val="043E5B56"/>
    <w:rsid w:val="04C04386"/>
    <w:rsid w:val="04D1736D"/>
    <w:rsid w:val="04D96608"/>
    <w:rsid w:val="04F210E4"/>
    <w:rsid w:val="04FA68C4"/>
    <w:rsid w:val="053F5AE6"/>
    <w:rsid w:val="057C0B0F"/>
    <w:rsid w:val="05EF4B48"/>
    <w:rsid w:val="05F76ECA"/>
    <w:rsid w:val="06183A24"/>
    <w:rsid w:val="06792773"/>
    <w:rsid w:val="06FD75CA"/>
    <w:rsid w:val="07093795"/>
    <w:rsid w:val="07804730"/>
    <w:rsid w:val="079052BE"/>
    <w:rsid w:val="07EB7A86"/>
    <w:rsid w:val="08145C21"/>
    <w:rsid w:val="082F067D"/>
    <w:rsid w:val="08422688"/>
    <w:rsid w:val="085854ED"/>
    <w:rsid w:val="0879188F"/>
    <w:rsid w:val="08A0354D"/>
    <w:rsid w:val="08CD4C49"/>
    <w:rsid w:val="09114954"/>
    <w:rsid w:val="095A5B83"/>
    <w:rsid w:val="095E0D6F"/>
    <w:rsid w:val="096466E3"/>
    <w:rsid w:val="0968304D"/>
    <w:rsid w:val="09AF3D17"/>
    <w:rsid w:val="0A436ABF"/>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172DAA"/>
    <w:rsid w:val="0D4903E8"/>
    <w:rsid w:val="0D4F77FD"/>
    <w:rsid w:val="0D7A4A46"/>
    <w:rsid w:val="0D863279"/>
    <w:rsid w:val="0DC30FA3"/>
    <w:rsid w:val="0E640559"/>
    <w:rsid w:val="0E852DE2"/>
    <w:rsid w:val="0F1113DA"/>
    <w:rsid w:val="0F3E1C5F"/>
    <w:rsid w:val="0F78534A"/>
    <w:rsid w:val="0F89358A"/>
    <w:rsid w:val="0F8C6D51"/>
    <w:rsid w:val="105B0B5E"/>
    <w:rsid w:val="109C5DAC"/>
    <w:rsid w:val="112E58D0"/>
    <w:rsid w:val="11731CAC"/>
    <w:rsid w:val="119500A0"/>
    <w:rsid w:val="11C0733B"/>
    <w:rsid w:val="11D50D17"/>
    <w:rsid w:val="120E0809"/>
    <w:rsid w:val="127F665A"/>
    <w:rsid w:val="12F7068C"/>
    <w:rsid w:val="14207DC0"/>
    <w:rsid w:val="14B932DA"/>
    <w:rsid w:val="150A66AF"/>
    <w:rsid w:val="154C1139"/>
    <w:rsid w:val="15547987"/>
    <w:rsid w:val="158C5B77"/>
    <w:rsid w:val="160D1149"/>
    <w:rsid w:val="163563C0"/>
    <w:rsid w:val="164315EF"/>
    <w:rsid w:val="16557DFE"/>
    <w:rsid w:val="167268FB"/>
    <w:rsid w:val="16770D0A"/>
    <w:rsid w:val="169A0039"/>
    <w:rsid w:val="16AD0964"/>
    <w:rsid w:val="16D50C50"/>
    <w:rsid w:val="16E120E1"/>
    <w:rsid w:val="17385A05"/>
    <w:rsid w:val="173B3901"/>
    <w:rsid w:val="176747F9"/>
    <w:rsid w:val="17954A6E"/>
    <w:rsid w:val="17BE2C86"/>
    <w:rsid w:val="180059E9"/>
    <w:rsid w:val="184510FD"/>
    <w:rsid w:val="18823528"/>
    <w:rsid w:val="18854A4A"/>
    <w:rsid w:val="18A11959"/>
    <w:rsid w:val="18E36FE2"/>
    <w:rsid w:val="190648B0"/>
    <w:rsid w:val="19071D6C"/>
    <w:rsid w:val="19C11A65"/>
    <w:rsid w:val="19D26CD4"/>
    <w:rsid w:val="19E60D19"/>
    <w:rsid w:val="1A3E3450"/>
    <w:rsid w:val="1AD807E5"/>
    <w:rsid w:val="1B1770E0"/>
    <w:rsid w:val="1B39345B"/>
    <w:rsid w:val="1B75731B"/>
    <w:rsid w:val="1BFB2A1F"/>
    <w:rsid w:val="1C015D4A"/>
    <w:rsid w:val="1C1B332C"/>
    <w:rsid w:val="1C290ED5"/>
    <w:rsid w:val="1C317E4F"/>
    <w:rsid w:val="1C472464"/>
    <w:rsid w:val="1C7958C4"/>
    <w:rsid w:val="1D22799A"/>
    <w:rsid w:val="1D5C1A72"/>
    <w:rsid w:val="1DAF458D"/>
    <w:rsid w:val="1E086ACE"/>
    <w:rsid w:val="1E1D17F8"/>
    <w:rsid w:val="1E62130A"/>
    <w:rsid w:val="1E97358B"/>
    <w:rsid w:val="1EAA4A5F"/>
    <w:rsid w:val="1EE869A7"/>
    <w:rsid w:val="1F3F37CF"/>
    <w:rsid w:val="1FA15E62"/>
    <w:rsid w:val="1FED69B6"/>
    <w:rsid w:val="2064678E"/>
    <w:rsid w:val="20DC1AB9"/>
    <w:rsid w:val="20DD6197"/>
    <w:rsid w:val="212631E0"/>
    <w:rsid w:val="2138666F"/>
    <w:rsid w:val="21742080"/>
    <w:rsid w:val="21A53757"/>
    <w:rsid w:val="21F879E1"/>
    <w:rsid w:val="221236C6"/>
    <w:rsid w:val="22D7662C"/>
    <w:rsid w:val="22EE529C"/>
    <w:rsid w:val="23326B7F"/>
    <w:rsid w:val="236D4F6C"/>
    <w:rsid w:val="2380045B"/>
    <w:rsid w:val="23BC04D2"/>
    <w:rsid w:val="23C641BB"/>
    <w:rsid w:val="23EF1892"/>
    <w:rsid w:val="2483647E"/>
    <w:rsid w:val="24A32D55"/>
    <w:rsid w:val="24A45A5D"/>
    <w:rsid w:val="24CE6D9A"/>
    <w:rsid w:val="25292727"/>
    <w:rsid w:val="252E5CA9"/>
    <w:rsid w:val="256F7692"/>
    <w:rsid w:val="25BA2154"/>
    <w:rsid w:val="25C8773F"/>
    <w:rsid w:val="261E2FBA"/>
    <w:rsid w:val="26235823"/>
    <w:rsid w:val="264A7253"/>
    <w:rsid w:val="26F0170C"/>
    <w:rsid w:val="26FE3B9A"/>
    <w:rsid w:val="27201D62"/>
    <w:rsid w:val="27286E73"/>
    <w:rsid w:val="27CF2642"/>
    <w:rsid w:val="27E777F5"/>
    <w:rsid w:val="27EA1D4C"/>
    <w:rsid w:val="27EA2E41"/>
    <w:rsid w:val="282459E2"/>
    <w:rsid w:val="283A7FE5"/>
    <w:rsid w:val="285F51FF"/>
    <w:rsid w:val="28DA4193"/>
    <w:rsid w:val="28DF2665"/>
    <w:rsid w:val="29072599"/>
    <w:rsid w:val="291029F3"/>
    <w:rsid w:val="29CB58F0"/>
    <w:rsid w:val="2A053397"/>
    <w:rsid w:val="2A145E96"/>
    <w:rsid w:val="2A2131BB"/>
    <w:rsid w:val="2AF5378F"/>
    <w:rsid w:val="2BB94DBF"/>
    <w:rsid w:val="2BF37410"/>
    <w:rsid w:val="2C6F314E"/>
    <w:rsid w:val="2C7A1AD7"/>
    <w:rsid w:val="2CC206BE"/>
    <w:rsid w:val="2D1136DF"/>
    <w:rsid w:val="2D20606D"/>
    <w:rsid w:val="2D6729FE"/>
    <w:rsid w:val="2DB87198"/>
    <w:rsid w:val="2DB93C54"/>
    <w:rsid w:val="2E3D144C"/>
    <w:rsid w:val="2E891204"/>
    <w:rsid w:val="2EAB32D0"/>
    <w:rsid w:val="2F3F0A28"/>
    <w:rsid w:val="2FA562E1"/>
    <w:rsid w:val="2FBF7029"/>
    <w:rsid w:val="2FD0187F"/>
    <w:rsid w:val="2FD27414"/>
    <w:rsid w:val="2FFE4BB0"/>
    <w:rsid w:val="300E7B60"/>
    <w:rsid w:val="300F6E18"/>
    <w:rsid w:val="30862F5F"/>
    <w:rsid w:val="309F43B2"/>
    <w:rsid w:val="30A4775A"/>
    <w:rsid w:val="30FF5671"/>
    <w:rsid w:val="314029C9"/>
    <w:rsid w:val="31581B1B"/>
    <w:rsid w:val="31C63837"/>
    <w:rsid w:val="31C82E39"/>
    <w:rsid w:val="320E092F"/>
    <w:rsid w:val="32601BAD"/>
    <w:rsid w:val="329F6389"/>
    <w:rsid w:val="32FA1831"/>
    <w:rsid w:val="3389023A"/>
    <w:rsid w:val="33CB74FA"/>
    <w:rsid w:val="343642F2"/>
    <w:rsid w:val="343F3010"/>
    <w:rsid w:val="345D0A00"/>
    <w:rsid w:val="34713BFD"/>
    <w:rsid w:val="34C13589"/>
    <w:rsid w:val="353369E3"/>
    <w:rsid w:val="35B21E0B"/>
    <w:rsid w:val="35E00D72"/>
    <w:rsid w:val="35E37097"/>
    <w:rsid w:val="36965B9D"/>
    <w:rsid w:val="36C549FD"/>
    <w:rsid w:val="37A755DD"/>
    <w:rsid w:val="37F33BFE"/>
    <w:rsid w:val="37F94FA0"/>
    <w:rsid w:val="380D3381"/>
    <w:rsid w:val="38115B1F"/>
    <w:rsid w:val="385E3AC3"/>
    <w:rsid w:val="387D6B9E"/>
    <w:rsid w:val="38B75FF0"/>
    <w:rsid w:val="38D45016"/>
    <w:rsid w:val="38D90432"/>
    <w:rsid w:val="3914510A"/>
    <w:rsid w:val="3926770B"/>
    <w:rsid w:val="3982065B"/>
    <w:rsid w:val="398D3668"/>
    <w:rsid w:val="39DA0497"/>
    <w:rsid w:val="3A2D1AE4"/>
    <w:rsid w:val="3A893816"/>
    <w:rsid w:val="3A893B6D"/>
    <w:rsid w:val="3AD1763A"/>
    <w:rsid w:val="3B167791"/>
    <w:rsid w:val="3B196883"/>
    <w:rsid w:val="3B6716E3"/>
    <w:rsid w:val="3B6C6B2D"/>
    <w:rsid w:val="3C242659"/>
    <w:rsid w:val="3C96719C"/>
    <w:rsid w:val="3CA72BE8"/>
    <w:rsid w:val="3CD278D9"/>
    <w:rsid w:val="3CDC1E1E"/>
    <w:rsid w:val="3CF37F8C"/>
    <w:rsid w:val="3D137554"/>
    <w:rsid w:val="3D5275AC"/>
    <w:rsid w:val="3DA9242A"/>
    <w:rsid w:val="3DCC2473"/>
    <w:rsid w:val="3DEB0883"/>
    <w:rsid w:val="3E2527BF"/>
    <w:rsid w:val="3E70484C"/>
    <w:rsid w:val="3E731662"/>
    <w:rsid w:val="3E8168DD"/>
    <w:rsid w:val="3E86399F"/>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2C10D7B"/>
    <w:rsid w:val="43493C0A"/>
    <w:rsid w:val="434E6957"/>
    <w:rsid w:val="43BA0E31"/>
    <w:rsid w:val="43C15147"/>
    <w:rsid w:val="43E14DD2"/>
    <w:rsid w:val="43F800E9"/>
    <w:rsid w:val="443A7E4B"/>
    <w:rsid w:val="444A7D08"/>
    <w:rsid w:val="452F5B3A"/>
    <w:rsid w:val="454E7FD2"/>
    <w:rsid w:val="46061BDC"/>
    <w:rsid w:val="461404F8"/>
    <w:rsid w:val="46413018"/>
    <w:rsid w:val="464B7E04"/>
    <w:rsid w:val="468041AA"/>
    <w:rsid w:val="468123C6"/>
    <w:rsid w:val="46901EEE"/>
    <w:rsid w:val="469C74D2"/>
    <w:rsid w:val="47445515"/>
    <w:rsid w:val="474B4782"/>
    <w:rsid w:val="47D90D14"/>
    <w:rsid w:val="47DE1152"/>
    <w:rsid w:val="48387FB0"/>
    <w:rsid w:val="483A6114"/>
    <w:rsid w:val="488727DB"/>
    <w:rsid w:val="48B51757"/>
    <w:rsid w:val="48B82268"/>
    <w:rsid w:val="48C354B3"/>
    <w:rsid w:val="493D58B5"/>
    <w:rsid w:val="494A7A04"/>
    <w:rsid w:val="49605EF7"/>
    <w:rsid w:val="4A0A26D2"/>
    <w:rsid w:val="4A2019A5"/>
    <w:rsid w:val="4A241A0B"/>
    <w:rsid w:val="4A5C2BD7"/>
    <w:rsid w:val="4A7B2875"/>
    <w:rsid w:val="4A934476"/>
    <w:rsid w:val="4AAA220A"/>
    <w:rsid w:val="4AE12E67"/>
    <w:rsid w:val="4B4C0111"/>
    <w:rsid w:val="4B8553A9"/>
    <w:rsid w:val="4BDB3730"/>
    <w:rsid w:val="4C200F7A"/>
    <w:rsid w:val="4CEE3180"/>
    <w:rsid w:val="4D0F4AF6"/>
    <w:rsid w:val="4DB2222A"/>
    <w:rsid w:val="4DF94F37"/>
    <w:rsid w:val="4E0A1DD5"/>
    <w:rsid w:val="4E3160E5"/>
    <w:rsid w:val="4E4D37AF"/>
    <w:rsid w:val="4E8C6496"/>
    <w:rsid w:val="4EFD18DE"/>
    <w:rsid w:val="4F144236"/>
    <w:rsid w:val="4F663C87"/>
    <w:rsid w:val="4F7E29A8"/>
    <w:rsid w:val="4F9E1FFC"/>
    <w:rsid w:val="50447CC2"/>
    <w:rsid w:val="50874A7C"/>
    <w:rsid w:val="50895EE7"/>
    <w:rsid w:val="50921B9D"/>
    <w:rsid w:val="50CE463F"/>
    <w:rsid w:val="50D16158"/>
    <w:rsid w:val="50DB5F45"/>
    <w:rsid w:val="51025EB1"/>
    <w:rsid w:val="51141503"/>
    <w:rsid w:val="513C450E"/>
    <w:rsid w:val="518D0ED5"/>
    <w:rsid w:val="525C687F"/>
    <w:rsid w:val="52A3740A"/>
    <w:rsid w:val="52F647F7"/>
    <w:rsid w:val="52F92565"/>
    <w:rsid w:val="53AE735E"/>
    <w:rsid w:val="53D03877"/>
    <w:rsid w:val="53E14270"/>
    <w:rsid w:val="54033522"/>
    <w:rsid w:val="542F73CA"/>
    <w:rsid w:val="5430786D"/>
    <w:rsid w:val="545A1D2A"/>
    <w:rsid w:val="54C811C0"/>
    <w:rsid w:val="556A442D"/>
    <w:rsid w:val="55DA564E"/>
    <w:rsid w:val="55E816A3"/>
    <w:rsid w:val="5604127D"/>
    <w:rsid w:val="56044E6C"/>
    <w:rsid w:val="56166703"/>
    <w:rsid w:val="56510474"/>
    <w:rsid w:val="56861525"/>
    <w:rsid w:val="56A93273"/>
    <w:rsid w:val="56BD550C"/>
    <w:rsid w:val="56E07045"/>
    <w:rsid w:val="56FF28AF"/>
    <w:rsid w:val="57540E7D"/>
    <w:rsid w:val="577B4878"/>
    <w:rsid w:val="57926973"/>
    <w:rsid w:val="57D1482F"/>
    <w:rsid w:val="58175352"/>
    <w:rsid w:val="581F2200"/>
    <w:rsid w:val="583059FA"/>
    <w:rsid w:val="584A0929"/>
    <w:rsid w:val="584A51E7"/>
    <w:rsid w:val="58CD2491"/>
    <w:rsid w:val="591B41B2"/>
    <w:rsid w:val="59254A26"/>
    <w:rsid w:val="59326325"/>
    <w:rsid w:val="595C505B"/>
    <w:rsid w:val="595E55C3"/>
    <w:rsid w:val="596E7E20"/>
    <w:rsid w:val="5A561DC4"/>
    <w:rsid w:val="5A5D23AA"/>
    <w:rsid w:val="5A60780B"/>
    <w:rsid w:val="5AB34579"/>
    <w:rsid w:val="5AB40E78"/>
    <w:rsid w:val="5AD77830"/>
    <w:rsid w:val="5AF80B40"/>
    <w:rsid w:val="5AFC6609"/>
    <w:rsid w:val="5B113480"/>
    <w:rsid w:val="5B7E449C"/>
    <w:rsid w:val="5BD456CE"/>
    <w:rsid w:val="5C0D1F49"/>
    <w:rsid w:val="5CBB0CE2"/>
    <w:rsid w:val="5CC17177"/>
    <w:rsid w:val="5CF306BC"/>
    <w:rsid w:val="5D3F3D64"/>
    <w:rsid w:val="5D555B68"/>
    <w:rsid w:val="5D833043"/>
    <w:rsid w:val="5DD92690"/>
    <w:rsid w:val="5DDB1CFD"/>
    <w:rsid w:val="5E7E6D93"/>
    <w:rsid w:val="5E82459B"/>
    <w:rsid w:val="5ED44800"/>
    <w:rsid w:val="5F350BDE"/>
    <w:rsid w:val="5F61632C"/>
    <w:rsid w:val="5FA17648"/>
    <w:rsid w:val="5FE705CB"/>
    <w:rsid w:val="6007714E"/>
    <w:rsid w:val="603D5080"/>
    <w:rsid w:val="60426E98"/>
    <w:rsid w:val="606842D0"/>
    <w:rsid w:val="60D0261B"/>
    <w:rsid w:val="6118535B"/>
    <w:rsid w:val="612B362F"/>
    <w:rsid w:val="618E3791"/>
    <w:rsid w:val="61947DCA"/>
    <w:rsid w:val="61A46A97"/>
    <w:rsid w:val="61D1382F"/>
    <w:rsid w:val="61F114A2"/>
    <w:rsid w:val="622B0ABA"/>
    <w:rsid w:val="62512BB4"/>
    <w:rsid w:val="625D7D1A"/>
    <w:rsid w:val="62660469"/>
    <w:rsid w:val="62DD7D21"/>
    <w:rsid w:val="634B431A"/>
    <w:rsid w:val="637D586B"/>
    <w:rsid w:val="63A5560B"/>
    <w:rsid w:val="63E9091F"/>
    <w:rsid w:val="64322AF9"/>
    <w:rsid w:val="64695881"/>
    <w:rsid w:val="64D6010D"/>
    <w:rsid w:val="64D82665"/>
    <w:rsid w:val="64E47C96"/>
    <w:rsid w:val="651E5741"/>
    <w:rsid w:val="655D7702"/>
    <w:rsid w:val="658A4877"/>
    <w:rsid w:val="65A00902"/>
    <w:rsid w:val="65AC6EDD"/>
    <w:rsid w:val="65D97752"/>
    <w:rsid w:val="66085536"/>
    <w:rsid w:val="66105BF7"/>
    <w:rsid w:val="66150023"/>
    <w:rsid w:val="6628010D"/>
    <w:rsid w:val="669B4528"/>
    <w:rsid w:val="66C04C43"/>
    <w:rsid w:val="66CC12D7"/>
    <w:rsid w:val="67134CEF"/>
    <w:rsid w:val="671F1ABD"/>
    <w:rsid w:val="67521A59"/>
    <w:rsid w:val="67C304AB"/>
    <w:rsid w:val="683F0658"/>
    <w:rsid w:val="684A4429"/>
    <w:rsid w:val="689C6793"/>
    <w:rsid w:val="68DB0208"/>
    <w:rsid w:val="68FB170C"/>
    <w:rsid w:val="691B3D98"/>
    <w:rsid w:val="693748F0"/>
    <w:rsid w:val="69846A0E"/>
    <w:rsid w:val="69AA1366"/>
    <w:rsid w:val="69AD798C"/>
    <w:rsid w:val="69D005C0"/>
    <w:rsid w:val="69D80B96"/>
    <w:rsid w:val="69DB133C"/>
    <w:rsid w:val="69F47AD7"/>
    <w:rsid w:val="6A2C39D4"/>
    <w:rsid w:val="6B68175F"/>
    <w:rsid w:val="6BFD799F"/>
    <w:rsid w:val="6C4A2E5A"/>
    <w:rsid w:val="6C8138D0"/>
    <w:rsid w:val="6CC43725"/>
    <w:rsid w:val="6CEF0725"/>
    <w:rsid w:val="6D4B2604"/>
    <w:rsid w:val="6D77358F"/>
    <w:rsid w:val="6D8030E4"/>
    <w:rsid w:val="6E0E35C4"/>
    <w:rsid w:val="6E0F7A08"/>
    <w:rsid w:val="6E3947F5"/>
    <w:rsid w:val="6E6733A0"/>
    <w:rsid w:val="6E6E3938"/>
    <w:rsid w:val="6E9C74ED"/>
    <w:rsid w:val="6EF72976"/>
    <w:rsid w:val="6F795A80"/>
    <w:rsid w:val="6F7C1D2E"/>
    <w:rsid w:val="6F8E0407"/>
    <w:rsid w:val="6FDD069F"/>
    <w:rsid w:val="702B4D16"/>
    <w:rsid w:val="70AA6621"/>
    <w:rsid w:val="7111480F"/>
    <w:rsid w:val="711C1821"/>
    <w:rsid w:val="71261F49"/>
    <w:rsid w:val="712E6956"/>
    <w:rsid w:val="71473612"/>
    <w:rsid w:val="71504F32"/>
    <w:rsid w:val="7152309F"/>
    <w:rsid w:val="718F7F65"/>
    <w:rsid w:val="71DA6992"/>
    <w:rsid w:val="727B234E"/>
    <w:rsid w:val="727F712F"/>
    <w:rsid w:val="728A58B0"/>
    <w:rsid w:val="72D068C7"/>
    <w:rsid w:val="72E42ED8"/>
    <w:rsid w:val="72FC34C3"/>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6E6594C"/>
    <w:rsid w:val="770719AC"/>
    <w:rsid w:val="776526CC"/>
    <w:rsid w:val="77A262E1"/>
    <w:rsid w:val="77B13C33"/>
    <w:rsid w:val="77DC095A"/>
    <w:rsid w:val="77ED6F44"/>
    <w:rsid w:val="77F45548"/>
    <w:rsid w:val="77FC440B"/>
    <w:rsid w:val="784E7CA6"/>
    <w:rsid w:val="78574801"/>
    <w:rsid w:val="7873527F"/>
    <w:rsid w:val="790A6425"/>
    <w:rsid w:val="790E2D96"/>
    <w:rsid w:val="791B54B2"/>
    <w:rsid w:val="793C0F89"/>
    <w:rsid w:val="795A0A34"/>
    <w:rsid w:val="797339C3"/>
    <w:rsid w:val="79D57D57"/>
    <w:rsid w:val="79F00650"/>
    <w:rsid w:val="7A6242BF"/>
    <w:rsid w:val="7A794513"/>
    <w:rsid w:val="7A8242A4"/>
    <w:rsid w:val="7A9B3811"/>
    <w:rsid w:val="7AA361A5"/>
    <w:rsid w:val="7AB467DA"/>
    <w:rsid w:val="7AB9318D"/>
    <w:rsid w:val="7AE952D2"/>
    <w:rsid w:val="7B9F26AF"/>
    <w:rsid w:val="7BB607FE"/>
    <w:rsid w:val="7BC260B9"/>
    <w:rsid w:val="7C087857"/>
    <w:rsid w:val="7C7248A0"/>
    <w:rsid w:val="7C976D69"/>
    <w:rsid w:val="7CD752DA"/>
    <w:rsid w:val="7CDE40AB"/>
    <w:rsid w:val="7CF057E2"/>
    <w:rsid w:val="7D1548B5"/>
    <w:rsid w:val="7DF84014"/>
    <w:rsid w:val="7E207949"/>
    <w:rsid w:val="7E5C0A47"/>
    <w:rsid w:val="7E670C75"/>
    <w:rsid w:val="7EE24272"/>
    <w:rsid w:val="7EEA6053"/>
    <w:rsid w:val="7F487C04"/>
    <w:rsid w:val="7F611CBA"/>
    <w:rsid w:val="7F683717"/>
    <w:rsid w:val="7FB45F21"/>
    <w:rsid w:val="7FE57088"/>
    <w:rsid w:val="7FF37FA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1"/>
    <w:qFormat/>
    <w:uiPriority w:val="0"/>
    <w:pPr>
      <w:keepNext/>
      <w:keepLines/>
      <w:widowControl w:val="0"/>
      <w:spacing w:before="260" w:after="260" w:line="415" w:lineRule="auto"/>
      <w:outlineLvl w:val="2"/>
    </w:pPr>
    <w:rPr>
      <w:b/>
      <w:bCs/>
      <w:sz w:val="32"/>
      <w:szCs w:val="32"/>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3">
    <w:name w:val="annotation text"/>
    <w:basedOn w:val="1"/>
    <w:qFormat/>
    <w:uiPriority w:val="0"/>
    <w:pPr>
      <w:jc w:val="left"/>
    </w:pPr>
  </w:style>
  <w:style w:type="paragraph" w:styleId="4">
    <w:name w:val="toc 3"/>
    <w:basedOn w:val="1"/>
    <w:next w:val="1"/>
    <w:qFormat/>
    <w:uiPriority w:val="0"/>
    <w:pPr>
      <w:ind w:left="840" w:leftChars="400"/>
    </w:p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toc 1"/>
    <w:basedOn w:val="1"/>
    <w:next w:val="1"/>
    <w:qFormat/>
    <w:uiPriority w:val="0"/>
  </w:style>
  <w:style w:type="paragraph" w:styleId="8">
    <w:name w:val="toc 2"/>
    <w:basedOn w:val="1"/>
    <w:next w:val="1"/>
    <w:qFormat/>
    <w:uiPriority w:val="0"/>
    <w:pPr>
      <w:ind w:left="420" w:leftChars="200"/>
    </w:pPr>
  </w:style>
  <w:style w:type="paragraph" w:styleId="9">
    <w:name w:val="Normal (Web)"/>
    <w:basedOn w:val="1"/>
    <w:qFormat/>
    <w:uiPriority w:val="0"/>
    <w:pPr>
      <w:spacing w:before="100" w:beforeAutospacing="1" w:after="100" w:afterAutospacing="1"/>
      <w:ind w:left="0" w:right="0"/>
      <w:jc w:val="left"/>
    </w:pPr>
    <w:rPr>
      <w:kern w:val="0"/>
      <w:sz w:val="24"/>
      <w:lang w:val="en-US" w:eastAsia="zh-CN" w:bidi="ar"/>
    </w:rPr>
  </w:style>
  <w:style w:type="character" w:styleId="12">
    <w:name w:val="Strong"/>
    <w:basedOn w:val="11"/>
    <w:qFormat/>
    <w:uiPriority w:val="0"/>
    <w:rPr>
      <w:b/>
    </w:rPr>
  </w:style>
  <w:style w:type="paragraph" w:customStyle="1" w:styleId="13">
    <w:name w:val="WPSOffice手动目录 3"/>
    <w:qFormat/>
    <w:uiPriority w:val="0"/>
    <w:pPr>
      <w:ind w:leftChars="400"/>
    </w:pPr>
    <w:rPr>
      <w:rFonts w:ascii="Times New Roman" w:hAnsi="Times New Roman" w:eastAsia="宋体" w:cs="Times New Roman"/>
      <w:sz w:val="20"/>
      <w:szCs w:val="20"/>
    </w:rPr>
  </w:style>
  <w:style w:type="paragraph" w:customStyle="1" w:styleId="14">
    <w:name w:val="WPSOffice手动目录 2"/>
    <w:qFormat/>
    <w:uiPriority w:val="0"/>
    <w:pPr>
      <w:ind w:leftChars="200"/>
    </w:pPr>
    <w:rPr>
      <w:rFonts w:ascii="Times New Roman" w:hAnsi="Times New Roman" w:eastAsia="宋体" w:cs="Times New Roman"/>
      <w:sz w:val="20"/>
      <w:szCs w:val="20"/>
    </w:rPr>
  </w:style>
  <w:style w:type="paragraph" w:customStyle="1" w:styleId="15">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18</Pages>
  <Words>6720</Words>
  <Characters>7508</Characters>
  <Lines>0</Lines>
  <Paragraphs>0</Paragraphs>
  <TotalTime>10</TotalTime>
  <ScaleCrop>false</ScaleCrop>
  <LinksUpToDate>false</LinksUpToDate>
  <CharactersWithSpaces>7523</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心安是归处 °</cp:lastModifiedBy>
  <dcterms:modified xsi:type="dcterms:W3CDTF">2025-03-28T11:00:18Z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3C1C29594C814CD0BC954FF452663048</vt:lpwstr>
  </property>
  <property fmtid="{D5CDD505-2E9C-101B-9397-08002B2CF9AE}" pid="4" name="KSOTemplateDocerSaveRecord">
    <vt:lpwstr>eyJoZGlkIjoiMzZjZGI4ZmFhN2MzMDU1ZDI4MWJkNWMyMjhiMmI1YTYiLCJ1c2VySWQiOiIxOTE1NDQwNzcifQ==</vt:lpwstr>
  </property>
</Properties>
</file>