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沙湾市牛圈子卫生院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主要负责辖区内广大农牧民的基本医疗，生育服务，预防保健，新型农牧区医保医疗的服务管理，乡村统一管理，乡村医生的培训和村卫生室的管理，公共卫生监督协管，公共卫生事件的处理，恢复期病人的康复治疗与康复指导，健康教育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沙湾市牛圈子卫生院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w:t>
      </w:r>
      <w:r>
        <w:rPr>
          <w:rFonts w:hint="eastAsia" w:ascii="仿宋_GB2312" w:hAnsi="黑体" w:eastAsia="仿宋_GB2312" w:cs="宋体"/>
          <w:bCs/>
          <w:color w:val="auto"/>
          <w:kern w:val="0"/>
          <w:sz w:val="32"/>
          <w:szCs w:val="32"/>
          <w:highlight w:val="none"/>
          <w:lang w:val="en-US" w:eastAsia="zh-CN"/>
        </w:rPr>
        <w:t>下设</w:t>
      </w:r>
      <w:r>
        <w:rPr>
          <w:rFonts w:hint="eastAsia" w:ascii="仿宋_GB2312" w:eastAsia="仿宋_GB2312"/>
          <w:sz w:val="32"/>
          <w:szCs w:val="32"/>
          <w:highlight w:val="none"/>
          <w:lang w:eastAsia="zh-CN"/>
        </w:rPr>
        <w:t>10个处室，分别是：药房、治疗室、护理办、公共卫生办公室、化验室、防疫室、妇幼办公室、B超室、医保办公室、财务室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123.90万元，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123.90万元，使用非财政拨款结余0.00万元，年初结转和结余0.00万元。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123.90万元，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123.90万元，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yellow"/>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减少26.44万元</w:t>
      </w:r>
      <w:r>
        <w:rPr>
          <w:rFonts w:hint="eastAsia" w:ascii="仿宋_GB2312" w:eastAsia="仿宋_GB2312"/>
          <w:color w:val="auto"/>
          <w:spacing w:val="0"/>
          <w:sz w:val="32"/>
          <w:szCs w:val="32"/>
          <w:highlight w:val="none"/>
          <w:lang w:eastAsia="zh-CN"/>
        </w:rPr>
        <w:t>，下降17.59%，主要原因是：</w:t>
      </w:r>
      <w:r>
        <w:rPr>
          <w:rFonts w:hint="eastAsia" w:ascii="仿宋_GB2312" w:eastAsia="仿宋_GB2312"/>
          <w:color w:val="auto"/>
          <w:spacing w:val="0"/>
          <w:sz w:val="32"/>
          <w:szCs w:val="32"/>
          <w:highlight w:val="none"/>
          <w:lang w:val="en-US" w:eastAsia="zh-CN"/>
        </w:rPr>
        <w:t>公共卫生服务项目合并至西戈壁镇卫生院，公共卫生资金减少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123.90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123.90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本年支出123.90万元，其中：基本支出100.46万元，占81.08%；项目支出23.44万元，占18.92%；上缴上级支出0.00万元，占0.00%；经营支出0.00万元，占0.00%；对附属单位补助支出0.00万元，占0.00%。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123.90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123.90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123.90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123.90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减少26.44万元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下降17.59%,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公共卫生服务项目合并至西戈壁镇卫生院，公共卫生资金减少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92.72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123.90</w:t>
      </w:r>
      <w:r>
        <w:rPr>
          <w:rFonts w:hint="eastAsia" w:ascii="仿宋_GB2312" w:eastAsia="仿宋_GB2312"/>
          <w:color w:val="auto"/>
          <w:spacing w:val="0"/>
          <w:sz w:val="32"/>
          <w:szCs w:val="32"/>
          <w:highlight w:val="none"/>
          <w:lang w:eastAsia="zh-CN"/>
        </w:rPr>
        <w:t>万元，预决算差异率33.63%，主要原因是：</w:t>
      </w:r>
      <w:r>
        <w:rPr>
          <w:rFonts w:hint="eastAsia" w:ascii="仿宋_GB2312" w:eastAsia="仿宋_GB2312"/>
          <w:color w:val="auto"/>
          <w:spacing w:val="0"/>
          <w:sz w:val="32"/>
          <w:szCs w:val="32"/>
          <w:highlight w:val="none"/>
          <w:lang w:val="en-US" w:eastAsia="zh-CN"/>
        </w:rPr>
        <w:t>2023年职工工资调标，调增并补发基础绩效奖，发放了2018年下半年大绩效，使得人员工资社保支出大幅度增加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2023年度一般公共预算财政拨款支出123.90万元，占本年支出合计的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减少26.44万元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下降17.59%,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2023年3月公共卫生服务项目合并至西戈壁镇卫生院，公共卫生资金减少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92.72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123.90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33.63%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2023年职工工资调标，调增并补发基础绩效奖，发放了2018年下半年大绩效，使得人员工资社保支出大幅度增加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9.07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7.32%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107.89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87.08%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6.94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5.60%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1.卫生健康支出（类）行政事业单位医疗（款）事业单位医疗（项）:支出决算数为3.63万元，比上年决算减少0.85万元，下降18.97%，主要原因是：2023年退休一人，医疗缴减少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2.卫生健康支出（类）基层医疗卫生机构（款）其他基层医疗卫生机构支出（项）:支出决算数为4.87万元，比上年决算增加0.02万元，增长0.41%，主要原因是：</w:t>
      </w:r>
      <w:r>
        <w:rPr>
          <w:rFonts w:hint="eastAsia" w:ascii="仿宋_GB2312" w:eastAsia="仿宋_GB2312"/>
          <w:color w:val="auto"/>
          <w:spacing w:val="0"/>
          <w:sz w:val="32"/>
          <w:szCs w:val="32"/>
          <w:highlight w:val="none"/>
          <w:lang w:val="en-US" w:eastAsia="zh-CN"/>
        </w:rPr>
        <w:t>2023年医疗专项资金增加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3.卫生健康支出（类）基层医疗卫生机构（款）乡镇卫生院（项）:支出决算数为80.82万元，比上年决算减少10.63万元，下降11.62%，主要原因是：</w:t>
      </w:r>
      <w:r>
        <w:rPr>
          <w:rFonts w:hint="eastAsia" w:ascii="仿宋_GB2312" w:eastAsia="仿宋_GB2312"/>
          <w:color w:val="auto"/>
          <w:spacing w:val="0"/>
          <w:sz w:val="32"/>
          <w:szCs w:val="32"/>
          <w:highlight w:val="none"/>
          <w:lang w:val="en-US" w:eastAsia="zh-CN"/>
        </w:rPr>
        <w:t>2023年3月公共卫生服务项目合并至西戈壁镇卫生院，公共卫生专项资金减少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4.住房保障支出（类）住房改革支出（款）住房公积金（项）:支出决算数为6.94万元，比上年决算减少1.23万元，下降15.06%，主要原因是：2023年退休一人，2023年公积金缴费下降</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5.社会保障和就业支出（类）行政事业单位养老支出（款）事业单位离退休（项）:支出决算数为0.47万元，比上年决算增加0.04万元，增长9.30%，主要原因是：</w:t>
      </w:r>
      <w:r>
        <w:rPr>
          <w:rFonts w:hint="eastAsia" w:ascii="仿宋_GB2312" w:eastAsia="仿宋_GB2312"/>
          <w:color w:val="auto"/>
          <w:spacing w:val="0"/>
          <w:sz w:val="32"/>
          <w:szCs w:val="32"/>
          <w:highlight w:val="none"/>
          <w:lang w:val="en-US" w:eastAsia="zh-CN"/>
        </w:rPr>
        <w:t>2023年退休一人，2023年退休费增加。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6.卫生健康支出（类）公共卫生（款）基本公共卫生服务（项）:支出决算数为18.57万元，比上年决算增加0.16万元，增长0.87%，主要原因是：</w:t>
      </w:r>
      <w:r>
        <w:rPr>
          <w:rFonts w:hint="eastAsia" w:ascii="仿宋_GB2312" w:eastAsia="仿宋_GB2312"/>
          <w:color w:val="auto"/>
          <w:spacing w:val="0"/>
          <w:sz w:val="32"/>
          <w:szCs w:val="32"/>
          <w:highlight w:val="none"/>
          <w:lang w:val="en-US" w:eastAsia="zh-CN"/>
        </w:rPr>
        <w:t>2023年医疗专项资金增加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基本养老保险缴费支出（项）:支出决算数为8.61万元，比上年决算减少0.30万元，下降3.37%，主要原因是：2023年退休一人，2023年缴费较上年下降</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8.社会保障和就业支出（类）行政事业单位养老支出（款）机关事业单位职业年金缴费支出（项）:支出决算数为0.00万元，比上年决算减少5.42万元，下降100%，主要原因是：2023年退休一人，2023年缴费较上年下降</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9.卫生健康支出（类）公共卫生（款）其他公共卫生支出（项）:支出决算数为0.00万元，比上年决算减少8.22万元，下降100%，主要原因是：</w:t>
      </w:r>
      <w:r>
        <w:rPr>
          <w:rFonts w:hint="eastAsia" w:ascii="仿宋_GB2312" w:eastAsia="仿宋_GB2312"/>
          <w:color w:val="auto"/>
          <w:spacing w:val="0"/>
          <w:sz w:val="32"/>
          <w:szCs w:val="32"/>
          <w:highlight w:val="none"/>
          <w:lang w:val="en-US" w:eastAsia="zh-CN"/>
        </w:rPr>
        <w:t>2023年3月公共卫生服务项目合并至西戈壁镇卫生院，公共卫生专项资金减少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100.46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100.22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基本工资、津贴补贴、奖金、绩效工资、机关事业单位基本养老保险缴费、职工基本医疗保险缴费、其他社会保障缴费、住房公积金、退休费、奖励金、。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0.25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我单位无此项支出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单位无</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单位无</w:t>
      </w:r>
      <w:r>
        <w:rPr>
          <w:rFonts w:hint="eastAsia" w:ascii="仿宋_GB2312" w:eastAsia="仿宋_GB2312"/>
          <w:color w:val="auto"/>
          <w:sz w:val="32"/>
          <w:szCs w:val="32"/>
          <w:highlight w:val="none"/>
          <w:lang w:val="zh-CN" w:eastAsia="zh-CN"/>
        </w:rPr>
        <w:t>公务用车运行维护费开支。公务用车购置数0辆，公务用车保有量0辆。国有资产占用情况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highlight w:val="none"/>
          <w:lang w:val="zh-CN"/>
        </w:rPr>
        <w:t>我单位固定资产</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lang w:val="zh-CN"/>
        </w:rPr>
        <w:t>辆救护车为特种车辆，不属于公务</w:t>
      </w:r>
      <w:r>
        <w:rPr>
          <w:rFonts w:hint="eastAsia" w:ascii="仿宋_GB2312" w:eastAsia="仿宋_GB2312"/>
          <w:sz w:val="32"/>
          <w:szCs w:val="32"/>
          <w:lang w:val="zh-CN"/>
        </w:rPr>
        <w:t>用车</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我单位未安排财政拨款</w:t>
      </w:r>
      <w:r>
        <w:rPr>
          <w:rFonts w:hint="eastAsia" w:ascii="仿宋_GB2312" w:eastAsia="仿宋_GB2312"/>
          <w:color w:val="auto"/>
          <w:sz w:val="32"/>
          <w:szCs w:val="32"/>
          <w:highlight w:val="none"/>
          <w:lang w:val="zh-CN" w:eastAsia="zh-CN"/>
        </w:rPr>
        <w:t>“三公”经费支出，</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我单位未安排</w:t>
      </w:r>
      <w:r>
        <w:rPr>
          <w:rFonts w:hint="eastAsia" w:ascii="仿宋_GB2312" w:eastAsia="仿宋_GB2312"/>
          <w:color w:val="auto"/>
          <w:sz w:val="32"/>
          <w:szCs w:val="32"/>
          <w:highlight w:val="none"/>
          <w:lang w:val="zh-CN" w:eastAsia="zh-CN"/>
        </w:rPr>
        <w:t>因公出国（境）费，</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我单位未</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我单位未</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我单位未</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沙湾市牛圈子卫生院（事业单位）公用经费支出0.25万元，</w:t>
      </w:r>
      <w:r>
        <w:rPr>
          <w:rFonts w:hint="eastAsia" w:ascii="仿宋_GB2312" w:hAnsi="仿宋_GB2312" w:eastAsia="仿宋_GB2312" w:cs="仿宋_GB2312"/>
          <w:color w:val="auto"/>
          <w:sz w:val="32"/>
          <w:szCs w:val="32"/>
          <w:highlight w:val="none"/>
          <w:lang w:val="zh-CN" w:eastAsia="zh-CN"/>
        </w:rPr>
        <w:t>比上年增加0.25万元，增长100.00%，主要原因是：</w:t>
      </w:r>
      <w:r>
        <w:rPr>
          <w:rFonts w:hint="eastAsia" w:ascii="仿宋_GB2312" w:hAnsi="仿宋_GB2312" w:eastAsia="仿宋_GB2312" w:cs="仿宋_GB2312"/>
          <w:color w:val="auto"/>
          <w:sz w:val="32"/>
          <w:szCs w:val="32"/>
          <w:highlight w:val="none"/>
          <w:lang w:val="en-US" w:eastAsia="zh-CN"/>
        </w:rPr>
        <w:t>2023年拨付0.25万元为工会经费，2022年未拨付此项费用</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4.15万元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其中：政府采购货物支出2.15万元、政府采购工程支出1.45万元、政府采购服务支出0.54万元。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授予中小企业合同金额4.15万元，占政府采购支出总额的100.00%，其中：授予小微企业合同金额2.62万元，占政府采购支出总额的63.13%</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173.96</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屋397.11平方米，价值74.45万元。车辆1辆，价值15.51万元，其中：副部（省）级及以上领导用车0辆、主要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用车0辆、机要通信用车0辆、应急保障用车0辆、执法执勤用车0辆、特种专业技术用车1辆、离退休干部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hAnsi="仿宋_GB2312" w:eastAsia="仿宋_GB2312" w:cs="仿宋_GB2312"/>
          <w:color w:val="auto"/>
          <w:sz w:val="32"/>
          <w:szCs w:val="32"/>
          <w:highlight w:val="none"/>
          <w:lang w:val="en-US" w:eastAsia="zh-CN"/>
        </w:rPr>
        <w:t>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预算总额123.9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实际执行总额123.9</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全年预算数23.44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全年执行数23.44</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一是根据年度绩效目标，从提升工作绩效入手，分解和细化绩效目标，明确项目绩效目标分管领导、责任科室及责任人；二是根据工作实际，加强绩效指标运行监控，制定措施办法，推进工作目标落实</w:t>
      </w:r>
      <w:r>
        <w:rPr>
          <w:rFonts w:hint="eastAsia" w:ascii="仿宋_GB2312" w:eastAsia="仿宋_GB2312"/>
          <w:color w:val="auto"/>
          <w:sz w:val="32"/>
          <w:szCs w:val="32"/>
          <w:highlight w:val="none"/>
          <w:lang w:eastAsia="zh-CN"/>
        </w:rPr>
        <w:t>。发现的问题及原因：</w:t>
      </w:r>
      <w:r>
        <w:rPr>
          <w:rFonts w:hint="eastAsia" w:ascii="仿宋_GB2312" w:eastAsia="仿宋_GB2312"/>
          <w:sz w:val="32"/>
          <w:szCs w:val="32"/>
          <w:highlight w:val="none"/>
          <w:lang w:eastAsia="zh-CN"/>
        </w:rPr>
        <w:t>一是对绩效目标的设定不够细化和准确，部分项目设置的绩效指标与项目实际脱节，导致监控时无法达到预期目标值,预期指标值不够精准，希望给予专业指导；二是绩效填报工作主要是财务人员负责，项目实施部门未积极参与项目绩效管理工作中来，导致交接不到位，部分项目未及时进行调整。</w:t>
      </w:r>
      <w:r>
        <w:rPr>
          <w:rFonts w:hint="eastAsia" w:ascii="仿宋_GB2312" w:eastAsia="仿宋_GB2312"/>
          <w:color w:val="auto"/>
          <w:sz w:val="32"/>
          <w:szCs w:val="32"/>
          <w:highlight w:val="none"/>
          <w:lang w:eastAsia="zh-CN"/>
        </w:rPr>
        <w:t>。下一步改进措施：</w:t>
      </w:r>
      <w:r>
        <w:rPr>
          <w:rFonts w:hint="eastAsia" w:ascii="仿宋_GB2312" w:eastAsia="仿宋_GB2312"/>
          <w:sz w:val="32"/>
          <w:szCs w:val="32"/>
          <w:highlight w:val="none"/>
          <w:lang w:eastAsia="zh-CN"/>
        </w:rPr>
        <w:t>一是加强各科室及时对接项目实施，明确分工，协调专人负责该项工作；二是通过对每笔资金的精细化管理来保障资金使用的合规、合法性，并据此分析各类资金支出产生的效益，使本单位的绩效监控工作上一个新台阶。</w:t>
      </w:r>
      <w:r>
        <w:rPr>
          <w:rFonts w:hint="eastAsia" w:ascii="仿宋_GB2312" w:eastAsia="仿宋_GB2312"/>
          <w:sz w:val="32"/>
          <w:szCs w:val="32"/>
        </w:rPr>
        <w:t>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3Nzg3NmU3NGUyZTA1ZDZlNDM0ZjAzMTZhMzZiMmI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3755DF"/>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3F63C9"/>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9652B2"/>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0C0F7B"/>
    <w:rsid w:val="2B6C5C19"/>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4A1B33"/>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515B00"/>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287325"/>
    <w:rsid w:val="46413018"/>
    <w:rsid w:val="464B7E04"/>
    <w:rsid w:val="468041AA"/>
    <w:rsid w:val="468123C6"/>
    <w:rsid w:val="46901EEE"/>
    <w:rsid w:val="469C74D2"/>
    <w:rsid w:val="47445515"/>
    <w:rsid w:val="474B4782"/>
    <w:rsid w:val="47D90D14"/>
    <w:rsid w:val="47DE1152"/>
    <w:rsid w:val="48387FB0"/>
    <w:rsid w:val="483A6114"/>
    <w:rsid w:val="486A4872"/>
    <w:rsid w:val="488727DB"/>
    <w:rsid w:val="48B82268"/>
    <w:rsid w:val="48C354B3"/>
    <w:rsid w:val="493D58B5"/>
    <w:rsid w:val="494A7A04"/>
    <w:rsid w:val="49605EF7"/>
    <w:rsid w:val="4A0A26D2"/>
    <w:rsid w:val="4A2019A5"/>
    <w:rsid w:val="4A241A0B"/>
    <w:rsid w:val="4A31788F"/>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18389F"/>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D772E0"/>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7E0A55"/>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24056"/>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C442D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8961715"/>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5368</Words>
  <Characters>6033</Characters>
  <Lines>0</Lines>
  <Paragraphs>0</Paragraphs>
  <TotalTime>0</TotalTime>
  <ScaleCrop>false</ScaleCrop>
  <LinksUpToDate>false</LinksUpToDate>
  <CharactersWithSpaces>6044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2024-12-03T03:03:14Z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