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left="959" w:leftChars="171" w:hanging="480" w:hangingChars="100"/>
        <w:rPr>
          <w:rFonts w:ascii="方正小标宋简体" w:hAnsi="黑体" w:eastAsia="方正小标宋简体" w:cs="黑体"/>
          <w:bCs/>
          <w:sz w:val="48"/>
          <w:szCs w:val="48"/>
        </w:rPr>
      </w:pPr>
    </w:p>
    <w:p>
      <w:pPr>
        <w:spacing w:line="240" w:lineRule="atLeast"/>
        <w:ind w:left="959" w:leftChars="171" w:hanging="480" w:hangingChars="100"/>
        <w:rPr>
          <w:rFonts w:ascii="方正小标宋简体" w:hAnsi="黑体" w:eastAsia="方正小标宋简体" w:cs="黑体"/>
          <w:bCs/>
          <w:sz w:val="48"/>
          <w:szCs w:val="48"/>
        </w:rPr>
      </w:pPr>
    </w:p>
    <w:p>
      <w:pPr>
        <w:spacing w:line="240" w:lineRule="atLeast"/>
        <w:jc w:val="both"/>
        <w:rPr>
          <w:rFonts w:hint="eastAsia" w:ascii="方正小标宋简体" w:hAnsi="黑体" w:eastAsia="方正小标宋简体" w:cs="黑体"/>
          <w:bCs/>
          <w:sz w:val="48"/>
          <w:szCs w:val="48"/>
        </w:rPr>
      </w:pPr>
      <w:r>
        <w:rPr>
          <w:rFonts w:hint="eastAsia" w:ascii="方正小标宋简体" w:hAnsi="黑体" w:eastAsia="方正小标宋简体" w:cs="黑体"/>
          <w:bCs/>
          <w:sz w:val="48"/>
          <w:szCs w:val="48"/>
        </w:rPr>
        <w:t>沙湾市牛圈子卫生院2023年基本公共</w:t>
      </w:r>
    </w:p>
    <w:p>
      <w:pPr>
        <w:spacing w:line="240" w:lineRule="atLeast"/>
        <w:jc w:val="center"/>
        <w:rPr>
          <w:rFonts w:ascii="方正小标宋简体" w:hAnsi="黑体" w:eastAsia="方正小标宋简体" w:cs="黑体"/>
          <w:bCs/>
          <w:sz w:val="48"/>
          <w:szCs w:val="48"/>
        </w:rPr>
      </w:pPr>
      <w:r>
        <w:rPr>
          <w:rFonts w:hint="eastAsia" w:ascii="方正小标宋简体" w:hAnsi="黑体" w:eastAsia="方正小标宋简体" w:cs="黑体"/>
          <w:bCs/>
          <w:sz w:val="48"/>
          <w:szCs w:val="48"/>
        </w:rPr>
        <w:t>卫生项目支出绩效评价报告</w:t>
      </w:r>
    </w:p>
    <w:p>
      <w:pPr>
        <w:spacing w:line="240" w:lineRule="atLeast"/>
        <w:ind w:firstLine="960"/>
        <w:jc w:val="center"/>
        <w:rPr>
          <w:rFonts w:ascii="方正小标宋简体" w:hAnsi="黑体" w:eastAsia="方正小标宋简体" w:cs="黑体"/>
          <w:bCs/>
          <w:sz w:val="48"/>
          <w:szCs w:val="48"/>
        </w:rPr>
      </w:pPr>
    </w:p>
    <w:p>
      <w:pPr>
        <w:ind w:firstLine="0" w:firstLineChars="0"/>
        <w:rPr>
          <w:rFonts w:ascii="黑体" w:hAnsi="黑体" w:eastAsia="黑体" w:cs="宋体"/>
          <w:sz w:val="30"/>
          <w:szCs w:val="30"/>
        </w:rPr>
      </w:pPr>
    </w:p>
    <w:p>
      <w:pPr>
        <w:ind w:firstLine="0" w:firstLineChars="0"/>
        <w:rPr>
          <w:rFonts w:ascii="黑体" w:hAnsi="黑体" w:eastAsia="黑体" w:cs="宋体"/>
          <w:sz w:val="30"/>
          <w:szCs w:val="30"/>
        </w:rPr>
      </w:pPr>
    </w:p>
    <w:p>
      <w:pPr>
        <w:ind w:firstLine="0" w:firstLineChars="0"/>
        <w:rPr>
          <w:rFonts w:ascii="黑体" w:hAnsi="黑体" w:eastAsia="黑体" w:cs="宋体"/>
          <w:sz w:val="30"/>
          <w:szCs w:val="30"/>
        </w:rPr>
      </w:pPr>
    </w:p>
    <w:p>
      <w:pPr>
        <w:ind w:firstLine="0" w:firstLineChars="0"/>
        <w:rPr>
          <w:rFonts w:ascii="黑体" w:hAnsi="黑体" w:eastAsia="黑体" w:cs="宋体"/>
          <w:sz w:val="30"/>
          <w:szCs w:val="30"/>
        </w:rPr>
      </w:pPr>
    </w:p>
    <w:p>
      <w:pPr>
        <w:ind w:firstLine="0" w:firstLineChars="0"/>
        <w:rPr>
          <w:rFonts w:ascii="黑体" w:hAnsi="黑体" w:eastAsia="黑体" w:cs="宋体"/>
          <w:sz w:val="30"/>
          <w:szCs w:val="30"/>
        </w:rPr>
      </w:pPr>
    </w:p>
    <w:p>
      <w:pPr>
        <w:ind w:firstLine="0" w:firstLineChars="0"/>
        <w:rPr>
          <w:rFonts w:ascii="黑体" w:hAnsi="黑体" w:eastAsia="黑体" w:cs="宋体"/>
          <w:sz w:val="30"/>
          <w:szCs w:val="30"/>
        </w:rPr>
      </w:pPr>
    </w:p>
    <w:p>
      <w:pPr>
        <w:ind w:firstLine="0" w:firstLineChars="0"/>
        <w:rPr>
          <w:rFonts w:ascii="黑体" w:hAnsi="黑体" w:eastAsia="黑体" w:cs="宋体"/>
          <w:sz w:val="30"/>
          <w:szCs w:val="30"/>
        </w:rPr>
      </w:pPr>
    </w:p>
    <w:p>
      <w:pPr>
        <w:ind w:firstLine="0" w:firstLineChars="0"/>
        <w:rPr>
          <w:rFonts w:ascii="黑体" w:hAnsi="黑体" w:eastAsia="黑体" w:cs="宋体"/>
          <w:sz w:val="30"/>
          <w:szCs w:val="30"/>
        </w:rPr>
      </w:pPr>
    </w:p>
    <w:p>
      <w:pPr>
        <w:ind w:firstLine="0" w:firstLineChars="0"/>
        <w:rPr>
          <w:rFonts w:ascii="黑体" w:hAnsi="黑体" w:eastAsia="黑体" w:cs="宋体"/>
          <w:sz w:val="30"/>
          <w:szCs w:val="30"/>
        </w:rPr>
      </w:pPr>
    </w:p>
    <w:p>
      <w:pPr>
        <w:ind w:firstLine="0" w:firstLineChars="0"/>
        <w:rPr>
          <w:rFonts w:ascii="黑体" w:hAnsi="黑体" w:eastAsia="黑体" w:cs="宋体"/>
          <w:sz w:val="30"/>
          <w:szCs w:val="30"/>
        </w:rPr>
      </w:pPr>
    </w:p>
    <w:p>
      <w:pPr>
        <w:ind w:firstLine="1200" w:firstLineChars="400"/>
        <w:rPr>
          <w:rFonts w:ascii="黑体" w:hAnsi="黑体" w:eastAsia="黑体" w:cs="仿宋_GB2312"/>
          <w:sz w:val="30"/>
          <w:szCs w:val="30"/>
        </w:rPr>
      </w:pPr>
      <w:r>
        <w:rPr>
          <w:rFonts w:ascii="黑体" w:hAnsi="黑体" w:eastAsia="黑体" w:cs="宋体"/>
          <w:sz w:val="30"/>
          <w:szCs w:val="30"/>
        </w:rPr>
        <w:t>项目名称：</w:t>
      </w:r>
      <w:bookmarkStart w:id="0" w:name="_Hlk68780987"/>
      <w:r>
        <w:rPr>
          <w:rFonts w:ascii="黑体" w:hAnsi="黑体" w:eastAsia="黑体" w:cs="仿宋_GB2312"/>
          <w:sz w:val="30"/>
          <w:szCs w:val="30"/>
        </w:rPr>
        <w:t>202</w:t>
      </w:r>
      <w:r>
        <w:rPr>
          <w:rFonts w:hint="eastAsia" w:ascii="黑体" w:hAnsi="黑体" w:eastAsia="黑体" w:cs="仿宋_GB2312"/>
          <w:sz w:val="30"/>
          <w:szCs w:val="30"/>
        </w:rPr>
        <w:t>3年基本公共卫生项目</w:t>
      </w:r>
      <w:bookmarkEnd w:id="0"/>
    </w:p>
    <w:p>
      <w:pPr>
        <w:ind w:firstLine="1200" w:firstLineChars="400"/>
        <w:rPr>
          <w:rFonts w:ascii="黑体" w:hAnsi="黑体" w:eastAsia="黑体" w:cs="宋体"/>
          <w:sz w:val="30"/>
          <w:szCs w:val="30"/>
        </w:rPr>
      </w:pPr>
      <w:r>
        <w:rPr>
          <w:rFonts w:ascii="黑体" w:hAnsi="黑体" w:eastAsia="黑体" w:cs="宋体"/>
          <w:sz w:val="30"/>
          <w:szCs w:val="30"/>
        </w:rPr>
        <w:t>项目单位：</w:t>
      </w:r>
      <w:r>
        <w:rPr>
          <w:rFonts w:hint="eastAsia" w:ascii="黑体" w:hAnsi="黑体" w:eastAsia="黑体" w:cs="宋体"/>
          <w:sz w:val="30"/>
          <w:szCs w:val="30"/>
        </w:rPr>
        <w:t>沙湾市</w:t>
      </w:r>
      <w:r>
        <w:rPr>
          <w:rFonts w:hint="eastAsia" w:ascii="黑体" w:hAnsi="黑体" w:eastAsia="黑体" w:cs="仿宋_GB2312"/>
          <w:sz w:val="30"/>
          <w:szCs w:val="30"/>
        </w:rPr>
        <w:t>牛圈子卫生院</w:t>
      </w:r>
    </w:p>
    <w:p>
      <w:pPr>
        <w:ind w:firstLine="1200" w:firstLineChars="400"/>
        <w:rPr>
          <w:rFonts w:ascii="黑体" w:hAnsi="黑体" w:eastAsia="黑体" w:cs="宋体"/>
          <w:sz w:val="30"/>
          <w:szCs w:val="30"/>
        </w:rPr>
      </w:pPr>
      <w:r>
        <w:rPr>
          <w:rFonts w:ascii="黑体" w:hAnsi="黑体" w:eastAsia="黑体" w:cs="宋体"/>
          <w:sz w:val="30"/>
          <w:szCs w:val="30"/>
        </w:rPr>
        <w:t>主管部门：</w:t>
      </w:r>
      <w:r>
        <w:rPr>
          <w:rFonts w:hint="eastAsia" w:ascii="黑体" w:hAnsi="黑体" w:eastAsia="黑体" w:cs="仿宋_GB2312"/>
          <w:sz w:val="30"/>
          <w:szCs w:val="30"/>
        </w:rPr>
        <w:t>沙湾市卫生健康委员会</w:t>
      </w:r>
    </w:p>
    <w:p>
      <w:pPr>
        <w:ind w:firstLine="1200" w:firstLineChars="400"/>
        <w:rPr>
          <w:rFonts w:ascii="黑体" w:hAnsi="黑体" w:eastAsia="黑体" w:cs="宋体"/>
          <w:sz w:val="30"/>
          <w:szCs w:val="30"/>
        </w:rPr>
      </w:pPr>
      <w:r>
        <w:rPr>
          <w:rFonts w:hint="eastAsia" w:ascii="黑体" w:hAnsi="黑体" w:eastAsia="黑体" w:cs="宋体"/>
          <w:sz w:val="30"/>
          <w:szCs w:val="30"/>
        </w:rPr>
        <w:t>项目负责人</w:t>
      </w:r>
      <w:r>
        <w:rPr>
          <w:rFonts w:ascii="黑体" w:hAnsi="黑体" w:eastAsia="黑体" w:cs="宋体"/>
          <w:sz w:val="30"/>
          <w:szCs w:val="30"/>
        </w:rPr>
        <w:t>：</w:t>
      </w:r>
      <w:r>
        <w:rPr>
          <w:rFonts w:hint="eastAsia" w:ascii="黑体" w:hAnsi="黑体" w:eastAsia="黑体" w:cs="仿宋_GB2312"/>
          <w:sz w:val="30"/>
          <w:szCs w:val="30"/>
        </w:rPr>
        <w:t>特列克</w:t>
      </w:r>
    </w:p>
    <w:p>
      <w:pPr>
        <w:ind w:firstLine="1200" w:firstLineChars="400"/>
        <w:rPr>
          <w:rFonts w:ascii="方正小标宋_GBK" w:hAnsi="黑体" w:eastAsia="方正小标宋_GBK" w:cs="黑体"/>
          <w:bCs/>
          <w:sz w:val="44"/>
          <w:szCs w:val="44"/>
        </w:rPr>
      </w:pPr>
      <w:r>
        <w:rPr>
          <w:rFonts w:hint="eastAsia" w:ascii="黑体" w:hAnsi="黑体" w:eastAsia="黑体" w:cs="宋体"/>
          <w:sz w:val="30"/>
          <w:szCs w:val="30"/>
        </w:rPr>
        <w:t>填报时间：</w:t>
      </w:r>
      <w:r>
        <w:rPr>
          <w:rFonts w:ascii="黑体" w:hAnsi="黑体" w:eastAsia="黑体" w:cs="宋体"/>
          <w:sz w:val="30"/>
          <w:szCs w:val="30"/>
        </w:rPr>
        <w:t>202</w:t>
      </w:r>
      <w:r>
        <w:rPr>
          <w:rFonts w:hint="eastAsia" w:ascii="黑体" w:hAnsi="黑体" w:eastAsia="黑体" w:cs="宋体"/>
          <w:sz w:val="30"/>
          <w:szCs w:val="30"/>
        </w:rPr>
        <w:t>4年</w:t>
      </w:r>
      <w:r>
        <w:rPr>
          <w:rFonts w:hint="eastAsia" w:ascii="黑体" w:hAnsi="黑体" w:eastAsia="黑体" w:cs="仿宋_GB2312"/>
          <w:sz w:val="30"/>
          <w:szCs w:val="30"/>
        </w:rPr>
        <w:t>1</w:t>
      </w:r>
      <w:r>
        <w:rPr>
          <w:rFonts w:hint="eastAsia" w:ascii="黑体" w:hAnsi="黑体" w:eastAsia="黑体" w:cs="宋体"/>
          <w:sz w:val="30"/>
          <w:szCs w:val="30"/>
        </w:rPr>
        <w:t>月</w:t>
      </w:r>
      <w:r>
        <w:rPr>
          <w:rFonts w:hint="eastAsia" w:ascii="黑体" w:hAnsi="黑体" w:eastAsia="黑体" w:cs="仿宋_GB2312"/>
          <w:sz w:val="30"/>
          <w:szCs w:val="30"/>
        </w:rPr>
        <w:t>31日</w:t>
      </w:r>
    </w:p>
    <w:p>
      <w:pPr>
        <w:spacing w:after="100" w:afterAutospacing="1" w:line="360" w:lineRule="auto"/>
        <w:ind w:firstLine="880"/>
        <w:jc w:val="center"/>
        <w:rPr>
          <w:rFonts w:ascii="方正小标宋_GBK" w:hAnsi="黑体" w:eastAsia="方正小标宋_GBK" w:cs="黑体"/>
          <w:bCs/>
          <w:sz w:val="44"/>
          <w:szCs w:val="44"/>
        </w:rPr>
      </w:pPr>
    </w:p>
    <w:p>
      <w:pPr>
        <w:spacing w:after="100" w:afterAutospacing="1" w:line="360" w:lineRule="auto"/>
        <w:ind w:left="0" w:leftChars="0" w:firstLine="0" w:firstLineChars="0"/>
        <w:jc w:val="both"/>
        <w:rPr>
          <w:rFonts w:ascii="方正小标宋_GBK" w:hAnsi="黑体" w:eastAsia="方正小标宋_GBK" w:cs="黑体"/>
          <w:bCs/>
          <w:sz w:val="44"/>
          <w:szCs w:val="44"/>
        </w:rPr>
      </w:pPr>
    </w:p>
    <w:p>
      <w:pPr>
        <w:spacing w:after="100" w:afterAutospacing="1" w:line="360" w:lineRule="auto"/>
        <w:ind w:firstLine="880"/>
        <w:jc w:val="center"/>
        <w:rPr>
          <w:rFonts w:ascii="方正小标宋_GBK" w:hAnsi="黑体" w:eastAsia="方正小标宋_GBK" w:cs="黑体"/>
          <w:bCs/>
          <w:sz w:val="44"/>
          <w:szCs w:val="44"/>
        </w:rPr>
      </w:pPr>
      <w:r>
        <w:rPr>
          <w:rFonts w:hint="eastAsia" w:ascii="方正小标宋_GBK" w:hAnsi="黑体" w:eastAsia="方正小标宋_GBK" w:cs="黑体"/>
          <w:bCs/>
          <w:sz w:val="44"/>
          <w:szCs w:val="44"/>
        </w:rPr>
        <w:t>沙湾市牛圈子卫生院基本公共卫生项目支出绩效评价报告</w:t>
      </w:r>
    </w:p>
    <w:p>
      <w:pPr>
        <w:pStyle w:val="2"/>
        <w:spacing w:line="600" w:lineRule="exact"/>
        <w:ind w:firstLine="640"/>
        <w:rPr>
          <w:szCs w:val="32"/>
        </w:rPr>
      </w:pPr>
      <w:r>
        <w:rPr>
          <w:rFonts w:hint="eastAsia"/>
          <w:szCs w:val="32"/>
        </w:rPr>
        <w:t>一、基本情况</w:t>
      </w:r>
    </w:p>
    <w:p>
      <w:pPr>
        <w:pStyle w:val="3"/>
        <w:spacing w:line="600" w:lineRule="exact"/>
        <w:ind w:firstLine="640"/>
        <w:rPr>
          <w:rFonts w:ascii="楷体_GB2312" w:eastAsia="楷体_GB2312"/>
          <w:szCs w:val="32"/>
        </w:rPr>
      </w:pPr>
      <w:r>
        <w:rPr>
          <w:rFonts w:hint="eastAsia" w:ascii="楷体_GB2312" w:eastAsia="楷体_GB2312"/>
          <w:szCs w:val="32"/>
        </w:rPr>
        <w:t>（一）项目概况</w:t>
      </w:r>
    </w:p>
    <w:p>
      <w:pPr>
        <w:ind w:firstLine="640"/>
        <w:rPr>
          <w:b/>
          <w:bCs/>
          <w:sz w:val="32"/>
          <w:szCs w:val="32"/>
        </w:rPr>
      </w:pPr>
      <w:r>
        <w:rPr>
          <w:rFonts w:hint="eastAsia"/>
          <w:b/>
          <w:bCs/>
          <w:sz w:val="32"/>
          <w:szCs w:val="32"/>
        </w:rPr>
        <w:t>1.项目背景</w:t>
      </w:r>
    </w:p>
    <w:p>
      <w:pPr>
        <w:ind w:firstLine="640"/>
        <w:contextualSpacing/>
        <w:rPr>
          <w:rFonts w:ascii="仿宋_GB2312" w:hAnsi="仿宋_GB2312" w:cs="仿宋_GB2312"/>
          <w:sz w:val="32"/>
          <w:szCs w:val="32"/>
        </w:rPr>
      </w:pPr>
      <w:r>
        <w:rPr>
          <w:rFonts w:hint="eastAsia" w:ascii="仿宋_GB2312" w:hAnsi="仿宋_GB2312" w:cs="仿宋_GB2312"/>
          <w:sz w:val="32"/>
          <w:szCs w:val="32"/>
        </w:rPr>
        <w:t>牛圈子卫生院辖区服务人口数约2551人，4个行政村，4个村卫生室。乡村医生1人，其中常住人口数约1850人。2023年预计完成公共卫生服务人数2551人，通过对全镇人民群众进行开展常规、安全的公共卫生服务项目，建立完备、适用的居民健康档案，全面掌握全镇城乡居民健康状况，分析影响全镇城乡居民健康的主要因素，制定科学准确的疾病谱，研究做到对危害群众健康的各类疾病“早发现、早诊断、早治疗、早预防”。通过广泛开展体检，让全镇各族群众切身感受到以习近平同志为核心的党中央对新疆各族人民的特殊关怀，发自内心地感恩党、感恩政府、感恩伟大祖国，为实现社会稳定和长治久安总目标凝心聚力紧紧围绕人民群众最关心最直接最现实的健康问题，把保障人民健康作为经济社会政策重要目标，以“共建共享，全民健康”为战略主题，把健康指标融入各项政策，把实施健康中国战略作为重大民心工程，始终围绕社会稳定和长治久安总目标，努力实施《健康新疆2030规划》，全面落实自治区党委、政府医疗惠民工程，促进基层基本公共卫生服务均等化和公平性、可及性，切实把党和政府对全民关心、关爱的惠民暖心工程做实做好。</w:t>
      </w:r>
    </w:p>
    <w:p>
      <w:pPr>
        <w:ind w:firstLine="640"/>
        <w:contextualSpacing/>
        <w:rPr>
          <w:rFonts w:ascii="仿宋_GB2312" w:hAnsi="仿宋_GB2312" w:cs="仿宋_GB2312"/>
          <w:sz w:val="32"/>
          <w:szCs w:val="32"/>
        </w:rPr>
      </w:pPr>
      <w:r>
        <w:rPr>
          <w:rFonts w:hint="eastAsia" w:ascii="仿宋_GB2312" w:hAnsi="仿宋_GB2312" w:cs="仿宋_GB2312"/>
          <w:sz w:val="32"/>
          <w:szCs w:val="32"/>
        </w:rPr>
        <w:t>2023年，沙湾市牛圈子卫生院根据（塔地财预〔2022〕91号，塔地财社[2023]25号，塔地财社[2022]103号）的通知积极开展了基本公共卫生卫生服务补助资金项目，坚持把基本公共卫生服务作为一项“惠民暖心工程”来实施，让全民共享改革发展成果，感受党和政府的温暖。</w:t>
      </w:r>
    </w:p>
    <w:p>
      <w:pPr>
        <w:ind w:firstLine="640"/>
        <w:rPr>
          <w:b/>
          <w:bCs/>
          <w:sz w:val="32"/>
          <w:szCs w:val="32"/>
        </w:rPr>
      </w:pPr>
      <w:r>
        <w:rPr>
          <w:rFonts w:hint="eastAsia"/>
          <w:b/>
          <w:bCs/>
          <w:sz w:val="32"/>
          <w:szCs w:val="32"/>
        </w:rPr>
        <w:t>2.项目主要内容及实施情况</w:t>
      </w:r>
    </w:p>
    <w:p>
      <w:pPr>
        <w:ind w:firstLine="640"/>
        <w:contextualSpacing/>
        <w:rPr>
          <w:rFonts w:ascii="仿宋_GB2312" w:hAnsi="仿宋_GB2312" w:cs="仿宋_GB2312"/>
          <w:sz w:val="32"/>
          <w:szCs w:val="32"/>
        </w:rPr>
      </w:pPr>
      <w:r>
        <w:rPr>
          <w:rFonts w:hint="eastAsia" w:ascii="仿宋_GB2312" w:hAnsi="仿宋_GB2312" w:cs="仿宋_GB2312"/>
          <w:sz w:val="32"/>
          <w:szCs w:val="32"/>
        </w:rPr>
        <w:t>本项目主要内容为：我院根据国家基本公共卫生服务规范（第三版）开展工作，建立居民健康档案，健康教育，预防接种，高血压、糖尿病等慢性病和严重精神障碍患者管理，儿童保健及中医药管理，孕产妇保健，老年人保健及中医药管理，传染病及突发公共事件报告和处理、卫生监督协管，结核病管理。</w:t>
      </w:r>
    </w:p>
    <w:p>
      <w:pPr>
        <w:ind w:firstLine="640"/>
        <w:contextualSpacing/>
        <w:rPr>
          <w:rFonts w:ascii="仿宋_GB2312" w:hAnsi="仿宋_GB2312" w:cs="仿宋_GB2312"/>
          <w:sz w:val="32"/>
          <w:szCs w:val="32"/>
        </w:rPr>
      </w:pPr>
      <w:r>
        <w:rPr>
          <w:rFonts w:hint="eastAsia" w:ascii="仿宋_GB2312" w:hAnsi="仿宋_GB2312" w:cs="仿宋_GB2312"/>
          <w:sz w:val="32"/>
          <w:szCs w:val="32"/>
        </w:rPr>
        <w:t>对高血压、糖尿病等慢性病高危人群进行指导干预。对35岁以上人群实行门诊首诊测血压。对确诊高血压和糖尿病患者进行登记管理，定期进行随访，每次随访要询问病情、进行体格检查及用药、饮食、运动、心理等健康指导，并做好相关记录。</w:t>
      </w:r>
    </w:p>
    <w:p>
      <w:pPr>
        <w:ind w:firstLine="640"/>
        <w:contextualSpacing/>
        <w:rPr>
          <w:rFonts w:ascii="仿宋_GB2312" w:hAnsi="仿宋_GB2312" w:cs="仿宋_GB2312"/>
          <w:sz w:val="32"/>
          <w:szCs w:val="32"/>
        </w:rPr>
      </w:pPr>
      <w:r>
        <w:rPr>
          <w:rFonts w:hint="eastAsia" w:ascii="仿宋_GB2312" w:hAnsi="仿宋_GB2312" w:cs="仿宋_GB2312"/>
          <w:sz w:val="32"/>
          <w:szCs w:val="32"/>
        </w:rPr>
        <w:t>本项目于2023年1月1日开始实施，截止2023年12月20日该项目已实施完成高血压患者已管理180人，2型糖尿病患者管理10人，通过实施基本公共卫生服务项目，对影响居民健康的主要卫生问题实施干预，减少主要健康危险因素，有效预防和控制主要传染病及慢性病，使城乡居民逐步享有均等化的公共卫生服务。</w:t>
      </w:r>
    </w:p>
    <w:p>
      <w:pPr>
        <w:ind w:firstLine="640"/>
        <w:rPr>
          <w:b/>
          <w:bCs/>
          <w:sz w:val="32"/>
          <w:szCs w:val="32"/>
        </w:rPr>
      </w:pPr>
      <w:r>
        <w:rPr>
          <w:rFonts w:hint="eastAsia"/>
          <w:b/>
          <w:bCs/>
          <w:sz w:val="32"/>
          <w:szCs w:val="32"/>
        </w:rPr>
        <w:t>3.项目实施主体</w:t>
      </w:r>
    </w:p>
    <w:p>
      <w:pPr>
        <w:ind w:firstLine="640"/>
        <w:contextualSpacing/>
        <w:rPr>
          <w:rFonts w:ascii="仿宋_GB2312" w:hAnsi="仿宋_GB2312" w:cs="仿宋_GB2312"/>
          <w:sz w:val="32"/>
          <w:szCs w:val="32"/>
        </w:rPr>
      </w:pPr>
      <w:r>
        <w:rPr>
          <w:rFonts w:hint="eastAsia" w:ascii="仿宋_GB2312" w:hAnsi="仿宋_GB2312" w:cs="仿宋_GB2312"/>
          <w:sz w:val="32"/>
          <w:szCs w:val="32"/>
        </w:rPr>
        <w:t>2023年基本公共卫生项的实施主体为塔城地区沙湾市牛圈子卫生院。</w:t>
      </w:r>
    </w:p>
    <w:p>
      <w:pPr>
        <w:ind w:firstLine="640"/>
        <w:rPr>
          <w:b/>
          <w:bCs/>
          <w:sz w:val="32"/>
          <w:szCs w:val="32"/>
        </w:rPr>
      </w:pPr>
      <w:r>
        <w:rPr>
          <w:rFonts w:hint="eastAsia"/>
          <w:b/>
          <w:bCs/>
          <w:sz w:val="32"/>
          <w:szCs w:val="32"/>
        </w:rPr>
        <w:t>4. 资金投入和使用情况</w:t>
      </w:r>
    </w:p>
    <w:p>
      <w:pPr>
        <w:ind w:firstLine="640"/>
        <w:contextualSpacing/>
        <w:rPr>
          <w:rFonts w:ascii="仿宋_GB2312" w:hAnsi="仿宋_GB2312" w:cs="仿宋_GB2312"/>
          <w:sz w:val="32"/>
          <w:szCs w:val="32"/>
        </w:rPr>
      </w:pPr>
      <w:r>
        <w:rPr>
          <w:rFonts w:hint="eastAsia" w:ascii="仿宋_GB2312" w:hAnsi="仿宋_GB2312" w:cs="仿宋_GB2312"/>
          <w:sz w:val="32"/>
          <w:szCs w:val="32"/>
        </w:rPr>
        <w:t>（1）项目资金安排落实、总投入情况</w:t>
      </w:r>
    </w:p>
    <w:p>
      <w:pPr>
        <w:ind w:firstLine="640"/>
        <w:contextualSpacing/>
        <w:rPr>
          <w:rFonts w:ascii="仿宋_GB2312" w:hAnsi="仿宋_GB2312" w:cs="仿宋_GB2312"/>
          <w:sz w:val="32"/>
          <w:szCs w:val="32"/>
        </w:rPr>
      </w:pPr>
      <w:r>
        <w:rPr>
          <w:rFonts w:hint="eastAsia" w:ascii="仿宋_GB2312" w:hAnsi="仿宋_GB2312" w:cs="仿宋_GB2312"/>
          <w:sz w:val="32"/>
          <w:szCs w:val="32"/>
        </w:rPr>
        <w:t>根据塔城地区财政局《关于拨付2023年中央及自治区财政基本公共卫生服务补助资金预算的通知》（塔地财预〔2022〕91号，塔地财社[2023]25号，塔地财社[2022]103号）文件，基本公共卫生项目预算安排资金总额17万元，其中财政资金17万元、其他资金0万元；2023年实际收到预算资金17万元，预算资金到位率为100%。</w:t>
      </w:r>
    </w:p>
    <w:p>
      <w:pPr>
        <w:ind w:firstLine="640"/>
        <w:contextualSpacing/>
        <w:rPr>
          <w:rFonts w:ascii="仿宋_GB2312" w:hAnsi="仿宋_GB2312" w:cs="仿宋_GB2312"/>
          <w:sz w:val="32"/>
          <w:szCs w:val="32"/>
        </w:rPr>
      </w:pPr>
      <w:r>
        <w:rPr>
          <w:rFonts w:hint="eastAsia" w:ascii="仿宋_GB2312" w:hAnsi="仿宋_GB2312" w:cs="仿宋_GB2312"/>
          <w:sz w:val="32"/>
          <w:szCs w:val="32"/>
        </w:rPr>
        <w:t>（2）项目资金实际使用情况</w:t>
      </w:r>
    </w:p>
    <w:p>
      <w:pPr>
        <w:ind w:firstLine="640"/>
        <w:contextualSpacing/>
        <w:rPr>
          <w:rFonts w:ascii="仿宋_GB2312" w:hAnsi="仿宋_GB2312" w:cs="仿宋_GB2312"/>
          <w:sz w:val="32"/>
          <w:szCs w:val="32"/>
        </w:rPr>
      </w:pPr>
      <w:r>
        <w:rPr>
          <w:rFonts w:hint="eastAsia" w:ascii="仿宋_GB2312" w:hAnsi="仿宋_GB2312" w:cs="仿宋_GB2312"/>
          <w:sz w:val="32"/>
          <w:szCs w:val="32"/>
        </w:rPr>
        <w:t>截至2023年12月31日，本项目实际支付资金17万元，预算执行率100%。项目资金主要用于支付公共卫生办公费资金费用1.85万元、印刷费资金费用0.64万元、电费资金费用0.2万元、邮电费资金费用1.25万元、维修（护）费资金费用0.6万元、劳务费资金费用11.96万元、其他交通费资金费用0.5万元。</w:t>
      </w:r>
    </w:p>
    <w:p>
      <w:pPr>
        <w:ind w:firstLine="640"/>
        <w:contextualSpacing/>
        <w:rPr>
          <w:rFonts w:ascii="仿宋_GB2312" w:hAnsi="仿宋_GB2312" w:cs="仿宋_GB2312"/>
          <w:sz w:val="32"/>
          <w:szCs w:val="32"/>
        </w:rPr>
      </w:pPr>
      <w:r>
        <w:rPr>
          <w:rFonts w:hint="eastAsia" w:ascii="仿宋_GB2312" w:hAnsi="仿宋_GB2312" w:cs="仿宋_GB2312"/>
          <w:sz w:val="32"/>
          <w:szCs w:val="32"/>
        </w:rPr>
        <w:t>资金结余资金0万元。</w:t>
      </w:r>
    </w:p>
    <w:p>
      <w:pPr>
        <w:pStyle w:val="3"/>
        <w:numPr>
          <w:ilvl w:val="0"/>
          <w:numId w:val="2"/>
        </w:numPr>
        <w:spacing w:line="600" w:lineRule="exact"/>
        <w:ind w:firstLine="640"/>
        <w:rPr>
          <w:rFonts w:ascii="楷体_GB2312" w:eastAsia="楷体_GB2312"/>
          <w:szCs w:val="32"/>
        </w:rPr>
      </w:pPr>
      <w:r>
        <w:rPr>
          <w:rFonts w:hint="eastAsia" w:ascii="楷体_GB2312" w:eastAsia="楷体_GB2312"/>
          <w:szCs w:val="32"/>
        </w:rPr>
        <w:t>项目绩效目标</w:t>
      </w:r>
    </w:p>
    <w:p>
      <w:pPr>
        <w:ind w:firstLine="640"/>
        <w:rPr>
          <w:b/>
          <w:bCs/>
          <w:sz w:val="32"/>
          <w:szCs w:val="32"/>
        </w:rPr>
      </w:pPr>
      <w:r>
        <w:rPr>
          <w:rFonts w:hint="eastAsia"/>
          <w:b/>
          <w:bCs/>
          <w:sz w:val="32"/>
          <w:szCs w:val="32"/>
        </w:rPr>
        <w:t>1.总体目标</w:t>
      </w:r>
    </w:p>
    <w:p>
      <w:pPr>
        <w:ind w:firstLine="640"/>
        <w:contextualSpacing/>
        <w:rPr>
          <w:rFonts w:ascii="仿宋_GB2312" w:hAnsi="仿宋_GB2312" w:cs="仿宋_GB2312"/>
          <w:sz w:val="32"/>
          <w:szCs w:val="32"/>
        </w:rPr>
      </w:pPr>
      <w:r>
        <w:rPr>
          <w:rFonts w:hint="eastAsia" w:ascii="仿宋_GB2312" w:hAnsi="仿宋_GB2312" w:cs="仿宋_GB2312"/>
          <w:sz w:val="32"/>
          <w:szCs w:val="32"/>
        </w:rPr>
        <w:t>项目主要用于为了提高基本公共卫生服务项目均等化水平，规范公共卫生服务行为，推进基本公共卫生服务项目开展，更好地完善公共卫生服务的十四项内容，提高居民的健康保健意识，切实维护居民的健康利益，保证2024年基本公共卫生服务工作的顺利完成．开展此项目通过项目的实施达到城乡居民基本公共卫生服务均等会水平的效果。目标1: 高血压患者管理人数数大于等于180人；目标2: 2型糖尿病患者管理人数大于等于10人。</w:t>
      </w:r>
    </w:p>
    <w:p>
      <w:pPr>
        <w:ind w:firstLine="640"/>
        <w:rPr>
          <w:b/>
          <w:bCs/>
          <w:sz w:val="32"/>
          <w:szCs w:val="32"/>
        </w:rPr>
      </w:pPr>
      <w:r>
        <w:rPr>
          <w:rFonts w:hint="eastAsia"/>
          <w:b/>
          <w:bCs/>
          <w:sz w:val="32"/>
          <w:szCs w:val="32"/>
        </w:rPr>
        <w:t>2.阶段性目标</w:t>
      </w:r>
    </w:p>
    <w:p>
      <w:pPr>
        <w:ind w:firstLine="640"/>
        <w:contextualSpacing/>
        <w:rPr>
          <w:rFonts w:ascii="仿宋_GB2312" w:hAnsi="仿宋_GB2312" w:cs="仿宋_GB2312"/>
          <w:sz w:val="32"/>
          <w:szCs w:val="32"/>
        </w:rPr>
      </w:pPr>
      <w:r>
        <w:rPr>
          <w:rFonts w:hint="eastAsia" w:ascii="仿宋_GB2312" w:hAnsi="仿宋_GB2312" w:cs="仿宋_GB2312"/>
          <w:sz w:val="32"/>
          <w:szCs w:val="32"/>
        </w:rPr>
        <w:t>根据《中华人民共和国预算法》、《中共中央国务院关于全面实施预算绩效管理的意见》（中发〔2018〕34号）、《关于印发&lt;项目支出绩效评价管理办法&gt;的通知》（财预〔2020〕10号）、《塔城地区财政支出绩效评价管理暂行办法》（塔地财预〔201</w:t>
      </w:r>
      <w:r>
        <w:rPr>
          <w:rFonts w:ascii="仿宋_GB2312" w:hAnsi="仿宋_GB2312" w:cs="仿宋_GB2312"/>
          <w:sz w:val="32"/>
          <w:szCs w:val="32"/>
        </w:rPr>
        <w:t>8</w:t>
      </w:r>
      <w:r>
        <w:rPr>
          <w:rFonts w:hint="eastAsia" w:ascii="仿宋_GB2312" w:hAnsi="仿宋_GB2312" w:cs="仿宋_GB2312"/>
          <w:sz w:val="32"/>
          <w:szCs w:val="32"/>
        </w:rPr>
        <w:t>〕</w:t>
      </w:r>
      <w:r>
        <w:rPr>
          <w:rFonts w:ascii="仿宋_GB2312" w:hAnsi="仿宋_GB2312" w:cs="仿宋_GB2312"/>
          <w:sz w:val="32"/>
          <w:szCs w:val="32"/>
        </w:rPr>
        <w:t>114</w:t>
      </w:r>
      <w:r>
        <w:rPr>
          <w:rFonts w:hint="eastAsia" w:ascii="仿宋_GB2312" w:hAnsi="仿宋_GB2312" w:cs="仿宋_GB2312"/>
          <w:sz w:val="32"/>
          <w:szCs w:val="32"/>
        </w:rPr>
        <w:t>号）等文件要求，结合本项目实际，对绩效目标进行逐层分解、细化后的具体绩效指标如下：</w:t>
      </w:r>
    </w:p>
    <w:p>
      <w:pPr>
        <w:ind w:firstLine="640"/>
        <w:contextualSpacing/>
        <w:rPr>
          <w:rFonts w:ascii="仿宋_GB2312" w:hAnsi="仿宋_GB2312" w:cs="仿宋_GB2312"/>
          <w:sz w:val="32"/>
          <w:szCs w:val="32"/>
        </w:rPr>
      </w:pPr>
      <w:r>
        <w:rPr>
          <w:rFonts w:hint="eastAsia" w:ascii="仿宋_GB2312" w:hAnsi="仿宋_GB2312" w:cs="仿宋_GB2312"/>
          <w:sz w:val="32"/>
          <w:szCs w:val="32"/>
        </w:rPr>
        <w:t>（1）项目产出指标</w:t>
      </w:r>
    </w:p>
    <w:p>
      <w:pPr>
        <w:ind w:firstLine="640"/>
        <w:contextualSpacing/>
        <w:rPr>
          <w:rFonts w:ascii="仿宋_GB2312" w:hAnsi="仿宋_GB2312" w:cs="仿宋_GB2312"/>
          <w:sz w:val="32"/>
          <w:szCs w:val="32"/>
        </w:rPr>
      </w:pPr>
      <w:r>
        <w:rPr>
          <w:rFonts w:hint="eastAsia" w:ascii="仿宋_GB2312" w:hAnsi="仿宋_GB2312" w:cs="仿宋_GB2312"/>
          <w:sz w:val="32"/>
          <w:szCs w:val="32"/>
        </w:rPr>
        <w:t>①数量指标</w:t>
      </w:r>
    </w:p>
    <w:p>
      <w:pPr>
        <w:ind w:firstLine="640"/>
        <w:contextualSpacing/>
        <w:rPr>
          <w:rFonts w:ascii="仿宋_GB2312" w:hAnsi="仿宋_GB2312" w:cs="仿宋_GB2312"/>
          <w:sz w:val="32"/>
          <w:szCs w:val="32"/>
        </w:rPr>
      </w:pPr>
      <w:r>
        <w:rPr>
          <w:rFonts w:hint="eastAsia" w:ascii="仿宋_GB2312" w:hAnsi="仿宋_GB2312" w:cs="仿宋_GB2312"/>
          <w:sz w:val="32"/>
          <w:szCs w:val="32"/>
        </w:rPr>
        <w:t>“高血压患者管理人数（人）”指标，预期指标值为“大于等于180人”；</w:t>
      </w:r>
    </w:p>
    <w:p>
      <w:pPr>
        <w:ind w:firstLine="640"/>
        <w:contextualSpacing/>
        <w:rPr>
          <w:rFonts w:ascii="仿宋_GB2312" w:hAnsi="仿宋_GB2312" w:cs="仿宋_GB2312"/>
          <w:sz w:val="32"/>
          <w:szCs w:val="32"/>
        </w:rPr>
      </w:pPr>
      <w:r>
        <w:rPr>
          <w:rFonts w:hint="eastAsia" w:ascii="仿宋_GB2312" w:hAnsi="仿宋_GB2312" w:cs="仿宋_GB2312"/>
          <w:sz w:val="32"/>
          <w:szCs w:val="32"/>
        </w:rPr>
        <w:t>“2型糖尿病患者管理人数（人）”指标，预期指标值为“大于等于10人”。</w:t>
      </w:r>
    </w:p>
    <w:p>
      <w:pPr>
        <w:spacing w:line="600" w:lineRule="exact"/>
        <w:ind w:firstLine="640"/>
        <w:rPr>
          <w:rFonts w:ascii="仿宋_GB2312" w:hAnsi="仿宋_GB2312" w:cs="仿宋_GB2312"/>
          <w:sz w:val="32"/>
          <w:szCs w:val="32"/>
        </w:rPr>
      </w:pPr>
      <w:r>
        <w:rPr>
          <w:rFonts w:hint="eastAsia" w:ascii="仿宋_GB2312" w:hAnsi="仿宋_GB2312" w:cs="仿宋_GB2312"/>
          <w:sz w:val="32"/>
          <w:szCs w:val="32"/>
        </w:rPr>
        <w:t>②质量指标</w:t>
      </w:r>
    </w:p>
    <w:p>
      <w:pPr>
        <w:spacing w:line="600" w:lineRule="exact"/>
        <w:ind w:firstLine="640"/>
        <w:rPr>
          <w:rFonts w:ascii="仿宋_GB2312" w:hAnsi="仿宋_GB2312" w:cs="仿宋_GB2312"/>
          <w:sz w:val="32"/>
          <w:szCs w:val="32"/>
        </w:rPr>
      </w:pPr>
      <w:r>
        <w:rPr>
          <w:rFonts w:hint="eastAsia" w:ascii="仿宋_GB2312" w:hAnsi="仿宋_GB2312" w:cs="仿宋_GB2312"/>
          <w:sz w:val="32"/>
          <w:szCs w:val="32"/>
        </w:rPr>
        <w:t>“高血压患者规范管理率（%）”指标，预期指标值为“大于等于60%”；</w:t>
      </w:r>
    </w:p>
    <w:p>
      <w:pPr>
        <w:spacing w:line="600" w:lineRule="exact"/>
        <w:ind w:firstLine="640"/>
        <w:rPr>
          <w:rFonts w:ascii="仿宋_GB2312" w:hAnsi="仿宋_GB2312" w:cs="仿宋_GB2312"/>
          <w:sz w:val="32"/>
          <w:szCs w:val="32"/>
        </w:rPr>
      </w:pPr>
      <w:r>
        <w:rPr>
          <w:rFonts w:hint="eastAsia" w:ascii="仿宋_GB2312" w:hAnsi="仿宋_GB2312" w:cs="仿宋_GB2312"/>
          <w:sz w:val="32"/>
          <w:szCs w:val="32"/>
        </w:rPr>
        <w:t>“2型糖尿病患者率规范管理率（%）”指标，预期指标值为“大于等于60%”。</w:t>
      </w:r>
    </w:p>
    <w:p>
      <w:pPr>
        <w:spacing w:line="600" w:lineRule="exact"/>
        <w:ind w:firstLine="640"/>
        <w:rPr>
          <w:rFonts w:ascii="仿宋_GB2312" w:hAnsi="仿宋_GB2312" w:cs="仿宋_GB2312"/>
          <w:sz w:val="32"/>
          <w:szCs w:val="32"/>
        </w:rPr>
      </w:pPr>
      <w:r>
        <w:rPr>
          <w:rFonts w:hint="eastAsia" w:ascii="仿宋_GB2312" w:hAnsi="仿宋_GB2312" w:cs="仿宋_GB2312"/>
          <w:sz w:val="32"/>
          <w:szCs w:val="32"/>
        </w:rPr>
        <w:t>③时效指标</w:t>
      </w:r>
    </w:p>
    <w:p>
      <w:pPr>
        <w:spacing w:line="600" w:lineRule="exact"/>
        <w:ind w:firstLine="640"/>
        <w:rPr>
          <w:rFonts w:ascii="仿宋_GB2312" w:hAnsi="仿宋_GB2312" w:cs="仿宋_GB2312"/>
          <w:sz w:val="32"/>
          <w:szCs w:val="32"/>
        </w:rPr>
      </w:pPr>
      <w:r>
        <w:rPr>
          <w:rFonts w:hint="eastAsia" w:ascii="仿宋_GB2312" w:hAnsi="仿宋_GB2312" w:cs="仿宋_GB2312"/>
          <w:sz w:val="32"/>
          <w:szCs w:val="32"/>
        </w:rPr>
        <w:t>“基本公共卫生服务项目完成时限”指标，预期指标值为“2023年12月25日”；</w:t>
      </w:r>
    </w:p>
    <w:p>
      <w:pPr>
        <w:spacing w:line="600" w:lineRule="exact"/>
        <w:ind w:left="560" w:leftChars="200" w:firstLine="0" w:firstLineChars="0"/>
        <w:rPr>
          <w:rFonts w:ascii="仿宋_GB2312" w:hAnsi="仿宋_GB2312" w:cs="仿宋_GB2312"/>
          <w:sz w:val="32"/>
          <w:szCs w:val="32"/>
        </w:rPr>
      </w:pPr>
      <w:r>
        <w:rPr>
          <w:rFonts w:hint="eastAsia" w:ascii="仿宋_GB2312" w:hAnsi="仿宋_GB2312" w:cs="仿宋_GB2312"/>
          <w:sz w:val="32"/>
          <w:szCs w:val="32"/>
        </w:rPr>
        <w:t>（2）项目成本指标</w:t>
      </w:r>
    </w:p>
    <w:p>
      <w:pPr>
        <w:spacing w:line="600" w:lineRule="exact"/>
        <w:ind w:firstLine="640"/>
        <w:rPr>
          <w:rFonts w:ascii="仿宋_GB2312" w:hAnsi="仿宋_GB2312" w:cs="仿宋_GB2312"/>
          <w:sz w:val="32"/>
          <w:szCs w:val="32"/>
        </w:rPr>
      </w:pPr>
      <w:r>
        <w:rPr>
          <w:rFonts w:hint="eastAsia" w:ascii="仿宋_GB2312" w:hAnsi="仿宋_GB2312" w:cs="仿宋_GB2312"/>
          <w:sz w:val="32"/>
          <w:szCs w:val="32"/>
        </w:rPr>
        <w:t>①经济成本指标</w:t>
      </w:r>
    </w:p>
    <w:p>
      <w:pPr>
        <w:spacing w:line="600" w:lineRule="exact"/>
        <w:ind w:firstLine="640"/>
        <w:rPr>
          <w:rFonts w:ascii="仿宋_GB2312" w:hAnsi="仿宋_GB2312" w:cs="仿宋_GB2312"/>
          <w:sz w:val="32"/>
          <w:szCs w:val="32"/>
        </w:rPr>
      </w:pPr>
      <w:r>
        <w:rPr>
          <w:rFonts w:hint="eastAsia" w:ascii="仿宋_GB2312" w:hAnsi="仿宋_GB2312" w:cs="仿宋_GB2312"/>
          <w:sz w:val="32"/>
          <w:szCs w:val="32"/>
        </w:rPr>
        <w:t>“基本公共卫生服务成本（万元）”指标，预期指标值为“小于等于17万元”；</w:t>
      </w:r>
    </w:p>
    <w:p>
      <w:pPr>
        <w:spacing w:line="600" w:lineRule="exact"/>
        <w:ind w:firstLine="640"/>
        <w:rPr>
          <w:rFonts w:ascii="仿宋_GB2312" w:hAnsi="仿宋_GB2312" w:cs="仿宋_GB2312"/>
          <w:sz w:val="32"/>
          <w:szCs w:val="32"/>
        </w:rPr>
      </w:pPr>
      <w:r>
        <w:rPr>
          <w:rFonts w:hint="eastAsia" w:ascii="仿宋_GB2312" w:hAnsi="仿宋_GB2312" w:cs="仿宋_GB2312"/>
          <w:sz w:val="32"/>
          <w:szCs w:val="32"/>
        </w:rPr>
        <w:t>（3）项目效益指标</w:t>
      </w:r>
    </w:p>
    <w:p>
      <w:pPr>
        <w:spacing w:line="600" w:lineRule="exact"/>
        <w:ind w:firstLine="640"/>
        <w:rPr>
          <w:rFonts w:ascii="仿宋_GB2312" w:hAnsi="仿宋_GB2312" w:cs="仿宋_GB2312"/>
          <w:sz w:val="32"/>
          <w:szCs w:val="32"/>
        </w:rPr>
      </w:pPr>
      <w:r>
        <w:rPr>
          <w:rFonts w:hint="eastAsia" w:ascii="仿宋_GB2312" w:hAnsi="仿宋_GB2312" w:cs="仿宋_GB2312"/>
          <w:sz w:val="32"/>
          <w:szCs w:val="32"/>
        </w:rPr>
        <w:t>①经济效益指标</w:t>
      </w:r>
    </w:p>
    <w:p>
      <w:pPr>
        <w:spacing w:line="600" w:lineRule="exact"/>
        <w:ind w:firstLine="640"/>
        <w:rPr>
          <w:rFonts w:ascii="仿宋_GB2312" w:hAnsi="仿宋_GB2312" w:cs="仿宋_GB2312"/>
          <w:sz w:val="32"/>
          <w:szCs w:val="32"/>
        </w:rPr>
      </w:pPr>
      <w:r>
        <w:rPr>
          <w:rFonts w:hint="eastAsia" w:ascii="仿宋_GB2312" w:hAnsi="仿宋_GB2312" w:cs="仿宋_GB2312"/>
          <w:sz w:val="32"/>
          <w:szCs w:val="32"/>
        </w:rPr>
        <w:t>“无此项指标”</w:t>
      </w:r>
    </w:p>
    <w:p>
      <w:pPr>
        <w:spacing w:line="600" w:lineRule="exact"/>
        <w:ind w:firstLine="640"/>
        <w:rPr>
          <w:rFonts w:ascii="仿宋_GB2312" w:hAnsi="仿宋_GB2312" w:cs="仿宋_GB2312"/>
          <w:sz w:val="32"/>
          <w:szCs w:val="32"/>
        </w:rPr>
      </w:pPr>
      <w:r>
        <w:rPr>
          <w:rFonts w:hint="eastAsia" w:ascii="仿宋_GB2312" w:hAnsi="仿宋_GB2312" w:cs="仿宋_GB2312"/>
          <w:sz w:val="32"/>
          <w:szCs w:val="32"/>
        </w:rPr>
        <w:t>②社会效益指标</w:t>
      </w:r>
    </w:p>
    <w:p>
      <w:pPr>
        <w:spacing w:line="600" w:lineRule="exact"/>
        <w:ind w:firstLine="640"/>
        <w:rPr>
          <w:rFonts w:ascii="仿宋_GB2312" w:hAnsi="仿宋_GB2312" w:cs="仿宋_GB2312"/>
          <w:sz w:val="32"/>
          <w:szCs w:val="32"/>
        </w:rPr>
      </w:pPr>
      <w:r>
        <w:rPr>
          <w:rFonts w:hint="eastAsia" w:ascii="仿宋_GB2312" w:hAnsi="仿宋_GB2312" w:cs="仿宋_GB2312"/>
          <w:sz w:val="32"/>
          <w:szCs w:val="32"/>
        </w:rPr>
        <w:t>“城乡居民基本公共卫生服务均等化水平”指标，预期指标值为“有效提升”；</w:t>
      </w:r>
    </w:p>
    <w:p>
      <w:pPr>
        <w:spacing w:line="600" w:lineRule="exact"/>
        <w:ind w:firstLine="640"/>
        <w:rPr>
          <w:rFonts w:ascii="仿宋_GB2312" w:hAnsi="仿宋_GB2312" w:cs="仿宋_GB2312"/>
          <w:sz w:val="32"/>
          <w:szCs w:val="32"/>
        </w:rPr>
      </w:pPr>
      <w:r>
        <w:rPr>
          <w:rFonts w:hint="eastAsia" w:ascii="仿宋_GB2312" w:hAnsi="仿宋_GB2312" w:cs="仿宋_GB2312"/>
          <w:sz w:val="32"/>
          <w:szCs w:val="32"/>
        </w:rPr>
        <w:t>③生态效益指标</w:t>
      </w:r>
    </w:p>
    <w:p>
      <w:pPr>
        <w:spacing w:line="600" w:lineRule="exact"/>
        <w:ind w:firstLine="640"/>
        <w:rPr>
          <w:rFonts w:ascii="仿宋_GB2312" w:hAnsi="仿宋_GB2312" w:cs="仿宋_GB2312"/>
          <w:sz w:val="32"/>
          <w:szCs w:val="32"/>
        </w:rPr>
      </w:pPr>
      <w:r>
        <w:rPr>
          <w:rFonts w:hint="eastAsia" w:ascii="仿宋_GB2312" w:hAnsi="仿宋_GB2312" w:cs="仿宋_GB2312"/>
          <w:sz w:val="32"/>
          <w:szCs w:val="32"/>
        </w:rPr>
        <w:t>“无此项指标”</w:t>
      </w:r>
    </w:p>
    <w:p>
      <w:pPr>
        <w:spacing w:line="600" w:lineRule="exact"/>
        <w:ind w:firstLine="320" w:firstLineChars="100"/>
        <w:rPr>
          <w:rFonts w:ascii="仿宋_GB2312" w:hAnsi="仿宋_GB2312" w:cs="仿宋_GB2312"/>
          <w:sz w:val="32"/>
          <w:szCs w:val="32"/>
        </w:rPr>
      </w:pPr>
      <w:r>
        <w:rPr>
          <w:rFonts w:hint="eastAsia" w:ascii="仿宋_GB2312" w:hAnsi="仿宋_GB2312" w:cs="仿宋_GB2312"/>
          <w:sz w:val="32"/>
          <w:szCs w:val="32"/>
        </w:rPr>
        <w:t>（4）相关满意度目标</w:t>
      </w:r>
    </w:p>
    <w:p>
      <w:pPr>
        <w:spacing w:line="600" w:lineRule="exact"/>
        <w:ind w:firstLine="640"/>
        <w:rPr>
          <w:rFonts w:ascii="仿宋_GB2312" w:hAnsi="仿宋_GB2312" w:cs="仿宋_GB2312"/>
          <w:sz w:val="32"/>
          <w:szCs w:val="32"/>
        </w:rPr>
      </w:pPr>
      <w:r>
        <w:rPr>
          <w:rFonts w:hint="eastAsia" w:ascii="仿宋_GB2312" w:hAnsi="仿宋_GB2312" w:cs="仿宋_GB2312"/>
          <w:sz w:val="32"/>
          <w:szCs w:val="32"/>
        </w:rPr>
        <w:t>“服务对象满意度（%）”指标，预期指标值为“大于等于96%”。</w:t>
      </w:r>
    </w:p>
    <w:p>
      <w:pPr>
        <w:pStyle w:val="2"/>
        <w:spacing w:line="600" w:lineRule="exact"/>
        <w:ind w:firstLine="640"/>
        <w:rPr>
          <w:szCs w:val="32"/>
        </w:rPr>
      </w:pPr>
      <w:r>
        <w:rPr>
          <w:rFonts w:hint="eastAsia"/>
          <w:szCs w:val="32"/>
        </w:rPr>
        <w:t>二、绩效评价工作开展情况</w:t>
      </w:r>
    </w:p>
    <w:p>
      <w:pPr>
        <w:pStyle w:val="3"/>
        <w:numPr>
          <w:ilvl w:val="0"/>
          <w:numId w:val="3"/>
        </w:numPr>
        <w:spacing w:line="600" w:lineRule="exact"/>
        <w:ind w:firstLine="640"/>
        <w:rPr>
          <w:rFonts w:ascii="楷体_GB2312" w:eastAsia="楷体_GB2312"/>
          <w:szCs w:val="32"/>
        </w:rPr>
      </w:pPr>
      <w:bookmarkStart w:id="1" w:name="_Toc22169_WPSOffice_Level2"/>
      <w:bookmarkStart w:id="2" w:name="_Toc26632"/>
      <w:bookmarkStart w:id="3" w:name="_Toc21664"/>
      <w:bookmarkStart w:id="4" w:name="_Toc12868"/>
      <w:bookmarkStart w:id="5" w:name="_Toc5462343"/>
      <w:bookmarkStart w:id="6" w:name="_Toc480473081"/>
      <w:bookmarkStart w:id="7" w:name="_Toc22922"/>
      <w:bookmarkStart w:id="8" w:name="_Toc5258"/>
      <w:r>
        <w:rPr>
          <w:rFonts w:hint="eastAsia" w:ascii="楷体_GB2312" w:eastAsia="楷体_GB2312"/>
          <w:szCs w:val="32"/>
        </w:rPr>
        <w:t>绩效评价的目的</w:t>
      </w:r>
      <w:bookmarkEnd w:id="1"/>
      <w:bookmarkEnd w:id="2"/>
      <w:bookmarkEnd w:id="3"/>
      <w:bookmarkEnd w:id="4"/>
      <w:bookmarkEnd w:id="5"/>
      <w:bookmarkEnd w:id="6"/>
      <w:bookmarkEnd w:id="7"/>
      <w:bookmarkEnd w:id="8"/>
      <w:r>
        <w:rPr>
          <w:rFonts w:hint="eastAsia" w:ascii="楷体_GB2312" w:eastAsia="楷体_GB2312"/>
          <w:szCs w:val="32"/>
        </w:rPr>
        <w:t>、对象和范围</w:t>
      </w:r>
    </w:p>
    <w:p>
      <w:pPr>
        <w:ind w:firstLine="640"/>
        <w:rPr>
          <w:b/>
          <w:bCs/>
          <w:sz w:val="32"/>
          <w:szCs w:val="32"/>
        </w:rPr>
      </w:pPr>
      <w:r>
        <w:rPr>
          <w:rFonts w:hint="eastAsia"/>
          <w:b/>
          <w:bCs/>
          <w:sz w:val="32"/>
          <w:szCs w:val="32"/>
        </w:rPr>
        <w:t>1.绩效评价的目的</w:t>
      </w:r>
    </w:p>
    <w:p>
      <w:pPr>
        <w:spacing w:line="600" w:lineRule="exact"/>
        <w:ind w:firstLine="640"/>
        <w:rPr>
          <w:sz w:val="32"/>
          <w:szCs w:val="32"/>
        </w:rPr>
      </w:pPr>
      <w:r>
        <w:rPr>
          <w:rFonts w:hint="eastAsia" w:ascii="仿宋_GB2312" w:hAnsi="仿宋_GB2312" w:cs="仿宋_GB2312"/>
          <w:sz w:val="32"/>
          <w:szCs w:val="32"/>
        </w:rPr>
        <w:t>本次</w:t>
      </w:r>
      <w:r>
        <w:rPr>
          <w:rFonts w:hint="eastAsia"/>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ind w:firstLine="640"/>
        <w:rPr>
          <w:b/>
          <w:bCs/>
          <w:sz w:val="32"/>
          <w:szCs w:val="32"/>
        </w:rPr>
      </w:pPr>
      <w:r>
        <w:rPr>
          <w:rFonts w:hint="eastAsia"/>
          <w:b/>
          <w:bCs/>
          <w:sz w:val="32"/>
          <w:szCs w:val="32"/>
        </w:rPr>
        <w:t>2.绩效评价的对象和范围</w:t>
      </w:r>
    </w:p>
    <w:p>
      <w:pPr>
        <w:spacing w:line="600" w:lineRule="exact"/>
        <w:ind w:firstLine="640"/>
        <w:rPr>
          <w:rFonts w:ascii="仿宋_GB2312"/>
          <w:color w:val="000000" w:themeColor="text1"/>
          <w:sz w:val="32"/>
          <w:szCs w:val="32"/>
        </w:rPr>
      </w:pPr>
      <w:r>
        <w:rPr>
          <w:rFonts w:hint="eastAsia" w:ascii="仿宋_GB2312" w:hAnsi="仿宋_GB2312" w:cs="仿宋_GB2312"/>
          <w:color w:val="000000" w:themeColor="text1"/>
          <w:sz w:val="32"/>
          <w:szCs w:val="32"/>
        </w:rPr>
        <w:t>本次绩效评价遵循财政部</w:t>
      </w:r>
      <w:r>
        <w:rPr>
          <w:rFonts w:hint="eastAsia" w:ascii="仿宋_GB2312" w:hAnsi="Arial" w:cs="宋体"/>
          <w:bCs/>
          <w:color w:val="000000" w:themeColor="text1"/>
          <w:sz w:val="32"/>
          <w:szCs w:val="32"/>
        </w:rPr>
        <w:t>《关于印发&lt;项目支出绩效评价管理办法&gt;的通知》（财预</w:t>
      </w:r>
      <w:r>
        <w:rPr>
          <w:rFonts w:hint="eastAsia" w:ascii="仿宋_GB2312" w:hAnsi="微软雅黑" w:cs="微软雅黑"/>
          <w:bCs/>
          <w:color w:val="000000" w:themeColor="text1"/>
          <w:sz w:val="32"/>
          <w:szCs w:val="32"/>
        </w:rPr>
        <w:t>〔</w:t>
      </w:r>
      <w:r>
        <w:rPr>
          <w:rFonts w:hint="eastAsia" w:ascii="仿宋_GB2312" w:hAnsi="Arial" w:cs="宋体"/>
          <w:bCs/>
          <w:color w:val="000000" w:themeColor="text1"/>
          <w:sz w:val="32"/>
          <w:szCs w:val="32"/>
        </w:rPr>
        <w:t>2020</w:t>
      </w:r>
      <w:r>
        <w:rPr>
          <w:rFonts w:hint="eastAsia" w:ascii="仿宋_GB2312" w:hAnsi="微软雅黑" w:cs="微软雅黑"/>
          <w:bCs/>
          <w:color w:val="000000" w:themeColor="text1"/>
          <w:sz w:val="32"/>
          <w:szCs w:val="32"/>
        </w:rPr>
        <w:t>〕</w:t>
      </w:r>
      <w:r>
        <w:rPr>
          <w:rFonts w:hint="eastAsia" w:ascii="仿宋_GB2312" w:hAnsi="Arial" w:cs="宋体"/>
          <w:bCs/>
          <w:color w:val="000000" w:themeColor="text1"/>
          <w:sz w:val="32"/>
          <w:szCs w:val="32"/>
        </w:rPr>
        <w:t>10号）</w:t>
      </w:r>
      <w:r>
        <w:rPr>
          <w:rFonts w:hint="eastAsia" w:ascii="仿宋_GB2312" w:hAnsi="仿宋_GB2312" w:cs="仿宋_GB2312"/>
          <w:color w:val="000000" w:themeColor="text1"/>
          <w:sz w:val="32"/>
          <w:szCs w:val="32"/>
        </w:rPr>
        <w:t>以及自治区财政厅《自治区财政支出绩效评价管理暂行办法》（新财预〔2018〕189号）等文件规定，</w:t>
      </w:r>
      <w:r>
        <w:rPr>
          <w:rFonts w:hint="eastAsia" w:ascii="仿宋_GB2312"/>
          <w:color w:val="000000" w:themeColor="text1"/>
          <w:sz w:val="32"/>
          <w:szCs w:val="32"/>
        </w:rPr>
        <w:t>对2023年度我单位实施的</w:t>
      </w:r>
      <w:r>
        <w:rPr>
          <w:rFonts w:hint="eastAsia" w:ascii="仿宋_GB2312"/>
          <w:sz w:val="32"/>
          <w:szCs w:val="32"/>
        </w:rPr>
        <w:t>2023年基本公共卫生</w:t>
      </w:r>
      <w:r>
        <w:rPr>
          <w:rFonts w:hint="eastAsia" w:ascii="仿宋_GB2312"/>
          <w:color w:val="000000" w:themeColor="text1"/>
          <w:sz w:val="32"/>
          <w:szCs w:val="32"/>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pStyle w:val="3"/>
        <w:numPr>
          <w:ilvl w:val="0"/>
          <w:numId w:val="3"/>
        </w:numPr>
        <w:spacing w:line="600" w:lineRule="exact"/>
        <w:ind w:firstLine="640"/>
        <w:rPr>
          <w:rFonts w:ascii="楷体_GB2312" w:eastAsia="楷体_GB2312"/>
          <w:szCs w:val="32"/>
        </w:rPr>
      </w:pPr>
      <w:r>
        <w:rPr>
          <w:rFonts w:hint="eastAsia" w:ascii="楷体_GB2312" w:eastAsia="楷体_GB2312"/>
          <w:szCs w:val="32"/>
        </w:rPr>
        <w:t>评价工作简述</w:t>
      </w:r>
    </w:p>
    <w:p>
      <w:pPr>
        <w:ind w:firstLine="640"/>
        <w:rPr>
          <w:b/>
          <w:bCs/>
          <w:sz w:val="32"/>
          <w:szCs w:val="32"/>
        </w:rPr>
      </w:pPr>
      <w:r>
        <w:rPr>
          <w:rFonts w:hint="eastAsia"/>
          <w:b/>
          <w:bCs/>
          <w:sz w:val="32"/>
          <w:szCs w:val="32"/>
        </w:rPr>
        <w:t>1.绩效评价原则</w:t>
      </w:r>
    </w:p>
    <w:p>
      <w:pPr>
        <w:spacing w:line="600" w:lineRule="exact"/>
        <w:ind w:firstLine="640"/>
        <w:rPr>
          <w:sz w:val="32"/>
          <w:szCs w:val="32"/>
        </w:rPr>
      </w:pPr>
      <w:r>
        <w:rPr>
          <w:rFonts w:hint="eastAsia"/>
          <w:sz w:val="32"/>
          <w:szCs w:val="32"/>
        </w:rPr>
        <w:t>依据</w:t>
      </w:r>
      <w:r>
        <w:rPr>
          <w:rFonts w:hint="eastAsia" w:hAnsi="Arial" w:cs="宋体"/>
          <w:bCs/>
          <w:color w:val="000000"/>
          <w:sz w:val="32"/>
          <w:szCs w:val="32"/>
        </w:rPr>
        <w:t>《中华人民共和国预算法》、</w:t>
      </w:r>
      <w:r>
        <w:rPr>
          <w:rFonts w:hint="eastAsia" w:ascii="仿宋_GB2312" w:hAnsi="Arial" w:cs="宋体"/>
          <w:bCs/>
          <w:color w:val="000000"/>
          <w:sz w:val="32"/>
          <w:szCs w:val="32"/>
        </w:rPr>
        <w:t>《关于印发&lt;项目支出绩效评价管理办法&gt;的通知》（财预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w:t>
      </w:r>
      <w:r>
        <w:rPr>
          <w:rFonts w:hint="eastAsia"/>
          <w:sz w:val="32"/>
          <w:szCs w:val="32"/>
        </w:rPr>
        <w:t>等法规和政策文件要求，本次绩效评价秉承科学规范、公正公开、分级分类、绩效相关等原则，按照从投入、过程到产出效果和影响的绩效逻辑路径，结合</w:t>
      </w:r>
      <w:r>
        <w:rPr>
          <w:rFonts w:hint="eastAsia" w:ascii="仿宋_GB2312"/>
          <w:sz w:val="32"/>
          <w:szCs w:val="32"/>
        </w:rPr>
        <w:t>2023年基本公共卫生</w:t>
      </w:r>
      <w:r>
        <w:rPr>
          <w:rFonts w:hint="eastAsia"/>
          <w:sz w:val="32"/>
          <w:szCs w:val="32"/>
        </w:rPr>
        <w:t>项目实际开展情况，运用定量和定性分析相结合的方法，总结经验做法，反思项目实施和管理中的问题，以切实提升财政资金管理的科学化、规范化和精细化水平。</w:t>
      </w:r>
    </w:p>
    <w:p>
      <w:pPr>
        <w:spacing w:line="600" w:lineRule="exact"/>
        <w:ind w:firstLine="640"/>
        <w:rPr>
          <w:sz w:val="32"/>
          <w:szCs w:val="32"/>
        </w:rPr>
      </w:pPr>
      <w:r>
        <w:rPr>
          <w:rFonts w:hint="eastAsia"/>
          <w:sz w:val="32"/>
          <w:szCs w:val="32"/>
        </w:rPr>
        <w:t>根据以上原则，绩效评价遵循如下具体要求：</w:t>
      </w:r>
    </w:p>
    <w:p>
      <w:pPr>
        <w:spacing w:line="600" w:lineRule="exact"/>
        <w:ind w:firstLine="640"/>
        <w:rPr>
          <w:sz w:val="32"/>
          <w:szCs w:val="32"/>
        </w:rPr>
      </w:pPr>
      <w:r>
        <w:rPr>
          <w:rFonts w:hint="eastAsia" w:ascii="仿宋_GB2312"/>
          <w:sz w:val="32"/>
          <w:szCs w:val="32"/>
        </w:rPr>
        <w:t>（1）</w:t>
      </w:r>
      <w:r>
        <w:rPr>
          <w:rFonts w:hint="eastAsia"/>
          <w:sz w:val="32"/>
          <w:szCs w:val="32"/>
        </w:rPr>
        <w:t>在数据采集时，采取客观数据主管部门审查、社会中介组织复查与问卷调查相结合的形式，以保证各项指标的真实性。</w:t>
      </w:r>
    </w:p>
    <w:p>
      <w:pPr>
        <w:spacing w:line="600" w:lineRule="exact"/>
        <w:ind w:firstLine="640"/>
        <w:rPr>
          <w:rFonts w:ascii="仿宋_GB2312"/>
          <w:sz w:val="32"/>
          <w:szCs w:val="32"/>
        </w:rPr>
      </w:pPr>
      <w:r>
        <w:rPr>
          <w:rFonts w:hint="eastAsia" w:ascii="仿宋_GB2312"/>
          <w:sz w:val="32"/>
          <w:szCs w:val="32"/>
        </w:rPr>
        <w:t>（2）保证评价结果的真实性、公正性，提高评价报告的公信力。</w:t>
      </w:r>
    </w:p>
    <w:p>
      <w:pPr>
        <w:spacing w:line="600" w:lineRule="exact"/>
        <w:ind w:firstLine="640"/>
        <w:rPr>
          <w:sz w:val="32"/>
          <w:szCs w:val="32"/>
        </w:rPr>
      </w:pPr>
      <w:r>
        <w:rPr>
          <w:rFonts w:hint="eastAsia" w:ascii="仿宋_GB2312"/>
          <w:sz w:val="32"/>
          <w:szCs w:val="32"/>
        </w:rPr>
        <w:t>（3）</w:t>
      </w:r>
      <w:r>
        <w:rPr>
          <w:rFonts w:hint="eastAsia"/>
          <w:sz w:val="32"/>
          <w:szCs w:val="32"/>
        </w:rPr>
        <w:t>绩效评价报告简明扼要，除对绩效评价的过程、结果描述外，还总结经验、指出问题，并就共性问题提出可操作性改进建议。</w:t>
      </w:r>
    </w:p>
    <w:p>
      <w:pPr>
        <w:ind w:firstLine="640"/>
        <w:rPr>
          <w:b/>
          <w:bCs/>
          <w:sz w:val="32"/>
          <w:szCs w:val="32"/>
        </w:rPr>
      </w:pPr>
      <w:bookmarkStart w:id="9" w:name="_Toc26131"/>
      <w:bookmarkStart w:id="10" w:name="_Toc428278230"/>
      <w:bookmarkStart w:id="11" w:name="_Toc419984722"/>
      <w:bookmarkStart w:id="12" w:name="_Toc1913"/>
      <w:r>
        <w:rPr>
          <w:rFonts w:hint="eastAsia"/>
          <w:b/>
          <w:bCs/>
          <w:sz w:val="32"/>
          <w:szCs w:val="32"/>
        </w:rPr>
        <w:t>2.绩效评价指标体系及绩效评价</w:t>
      </w:r>
      <w:bookmarkEnd w:id="9"/>
      <w:bookmarkEnd w:id="10"/>
      <w:bookmarkEnd w:id="11"/>
      <w:bookmarkEnd w:id="12"/>
      <w:r>
        <w:rPr>
          <w:rFonts w:hint="eastAsia"/>
          <w:b/>
          <w:bCs/>
          <w:sz w:val="32"/>
          <w:szCs w:val="32"/>
        </w:rPr>
        <w:t>标准</w:t>
      </w:r>
    </w:p>
    <w:p>
      <w:pPr>
        <w:spacing w:line="600" w:lineRule="exact"/>
        <w:ind w:firstLine="640"/>
        <w:rPr>
          <w:rFonts w:ascii="仿宋_GB2312"/>
          <w:color w:val="000000" w:themeColor="text1"/>
          <w:sz w:val="32"/>
          <w:szCs w:val="32"/>
        </w:rPr>
      </w:pPr>
      <w:r>
        <w:rPr>
          <w:rFonts w:hint="eastAsia" w:ascii="仿宋_GB2312"/>
          <w:color w:val="000000" w:themeColor="text1"/>
          <w:sz w:val="32"/>
          <w:szCs w:val="32"/>
        </w:rPr>
        <w:t>绩效评价指标体系根据财政部</w:t>
      </w:r>
      <w:r>
        <w:rPr>
          <w:rFonts w:hint="eastAsia" w:ascii="仿宋_GB2312" w:hAnsi="Arial" w:cs="宋体"/>
          <w:bCs/>
          <w:color w:val="000000" w:themeColor="text1"/>
          <w:sz w:val="32"/>
          <w:szCs w:val="32"/>
        </w:rPr>
        <w:t>《关于印发&lt;项目支出绩效评价管理办法&gt;的通知》（财预</w:t>
      </w:r>
      <w:r>
        <w:rPr>
          <w:rFonts w:hint="eastAsia" w:ascii="仿宋_GB2312" w:hAnsi="微软雅黑" w:cs="微软雅黑"/>
          <w:bCs/>
          <w:color w:val="000000" w:themeColor="text1"/>
          <w:sz w:val="32"/>
          <w:szCs w:val="32"/>
        </w:rPr>
        <w:t>〔</w:t>
      </w:r>
      <w:r>
        <w:rPr>
          <w:rFonts w:hint="eastAsia" w:ascii="仿宋_GB2312" w:hAnsi="Arial" w:cs="宋体"/>
          <w:bCs/>
          <w:color w:val="000000" w:themeColor="text1"/>
          <w:sz w:val="32"/>
          <w:szCs w:val="32"/>
        </w:rPr>
        <w:t>2020</w:t>
      </w:r>
      <w:r>
        <w:rPr>
          <w:rFonts w:hint="eastAsia" w:ascii="仿宋_GB2312" w:hAnsi="微软雅黑" w:cs="微软雅黑"/>
          <w:bCs/>
          <w:color w:val="000000" w:themeColor="text1"/>
          <w:sz w:val="32"/>
          <w:szCs w:val="32"/>
        </w:rPr>
        <w:t>〕</w:t>
      </w:r>
      <w:r>
        <w:rPr>
          <w:rFonts w:hint="eastAsia" w:ascii="仿宋_GB2312" w:hAnsi="Arial" w:cs="宋体"/>
          <w:bCs/>
          <w:color w:val="000000" w:themeColor="text1"/>
          <w:sz w:val="32"/>
          <w:szCs w:val="32"/>
        </w:rPr>
        <w:t>10号）、</w:t>
      </w:r>
      <w:r>
        <w:rPr>
          <w:rFonts w:hint="eastAsia" w:ascii="仿宋_GB2312" w:hAnsi="仿宋_GB2312" w:cs="仿宋_GB2312"/>
          <w:color w:val="000000" w:themeColor="text1"/>
          <w:sz w:val="32"/>
          <w:szCs w:val="32"/>
        </w:rPr>
        <w:t>自治区财政厅《自治区财政支出绩效评价管理暂行办法》（新财预〔2018〕189号）</w:t>
      </w:r>
      <w:r>
        <w:rPr>
          <w:rFonts w:hint="eastAsia" w:ascii="仿宋_GB2312"/>
          <w:color w:val="000000" w:themeColor="text1"/>
          <w:sz w:val="32"/>
          <w:szCs w:val="32"/>
        </w:rPr>
        <w:t>等文件要求，结合本项目特点，在与专家组充分协商的基础上，评价工作组细化了该项目的绩效评价指标体系（详见附表1）：</w:t>
      </w:r>
    </w:p>
    <w:p>
      <w:pPr>
        <w:spacing w:line="600" w:lineRule="exact"/>
        <w:ind w:firstLine="640"/>
        <w:rPr>
          <w:rFonts w:ascii="仿宋_GB2312"/>
          <w:color w:val="000000" w:themeColor="text1"/>
          <w:sz w:val="32"/>
          <w:szCs w:val="32"/>
        </w:rPr>
      </w:pPr>
      <w:r>
        <w:rPr>
          <w:rFonts w:hint="eastAsia" w:ascii="仿宋_GB2312"/>
          <w:color w:val="000000" w:themeColor="text1"/>
          <w:sz w:val="32"/>
          <w:szCs w:val="32"/>
        </w:rPr>
        <w:t>一级指标为：决策、过程、产出、成本、效益。</w:t>
      </w:r>
    </w:p>
    <w:p>
      <w:pPr>
        <w:spacing w:line="600" w:lineRule="exact"/>
        <w:ind w:firstLine="640"/>
        <w:rPr>
          <w:rFonts w:ascii="仿宋_GB2312"/>
          <w:color w:val="000000" w:themeColor="text1"/>
          <w:sz w:val="32"/>
          <w:szCs w:val="32"/>
        </w:rPr>
      </w:pPr>
      <w:r>
        <w:rPr>
          <w:rFonts w:hint="eastAsia" w:ascii="仿宋_GB2312"/>
          <w:color w:val="000000" w:themeColor="text1"/>
          <w:sz w:val="32"/>
          <w:szCs w:val="32"/>
        </w:rPr>
        <w:t>二级指标为：项目立项、绩效目标、资金投入、资金管理、组织实施、产出数量、产出质量、产出时效、经济成本、项目效益。</w:t>
      </w:r>
    </w:p>
    <w:p>
      <w:pPr>
        <w:spacing w:line="600" w:lineRule="exact"/>
        <w:ind w:firstLine="640"/>
        <w:rPr>
          <w:rFonts w:ascii="仿宋_GB2312"/>
          <w:color w:val="000000" w:themeColor="text1"/>
          <w:sz w:val="32"/>
          <w:szCs w:val="32"/>
        </w:rPr>
      </w:pPr>
      <w:r>
        <w:rPr>
          <w:rFonts w:hint="eastAsia" w:ascii="仿宋_GB2312"/>
          <w:color w:val="000000" w:themeColor="text1"/>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p>
    <w:p>
      <w:pPr>
        <w:ind w:firstLine="640"/>
        <w:rPr>
          <w:b/>
          <w:bCs/>
          <w:sz w:val="32"/>
          <w:szCs w:val="32"/>
        </w:rPr>
      </w:pPr>
      <w:r>
        <w:rPr>
          <w:rFonts w:hint="eastAsia"/>
          <w:b/>
          <w:bCs/>
          <w:sz w:val="32"/>
          <w:szCs w:val="32"/>
        </w:rPr>
        <w:t>3.评价方法</w:t>
      </w:r>
    </w:p>
    <w:p>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本次评价采取定量与定性评价相结合的方式，采用比较法、公众评判法对</w:t>
      </w:r>
      <w:r>
        <w:rPr>
          <w:rFonts w:hint="eastAsia"/>
          <w:sz w:val="32"/>
          <w:szCs w:val="32"/>
        </w:rPr>
        <w:t>项目实施过程以及预期绩效目标完成情况进行全面、系统的评价，</w:t>
      </w:r>
      <w:r>
        <w:rPr>
          <w:rFonts w:hint="eastAsia" w:ascii="仿宋_GB2312" w:hAnsi="仿宋_GB2312" w:cs="仿宋_GB2312"/>
          <w:bCs/>
          <w:sz w:val="32"/>
          <w:szCs w:val="32"/>
        </w:rPr>
        <w:t>总分由各项指标得分汇总形成。</w:t>
      </w:r>
    </w:p>
    <w:p>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ind w:firstLine="640"/>
        <w:rPr>
          <w:b/>
          <w:bCs/>
          <w:sz w:val="32"/>
          <w:szCs w:val="32"/>
        </w:rPr>
      </w:pPr>
    </w:p>
    <w:p>
      <w:pPr>
        <w:ind w:firstLine="640"/>
        <w:rPr>
          <w:b/>
          <w:bCs/>
          <w:sz w:val="32"/>
          <w:szCs w:val="32"/>
        </w:rPr>
      </w:pPr>
      <w:r>
        <w:rPr>
          <w:rFonts w:hint="eastAsia"/>
          <w:b/>
          <w:bCs/>
          <w:sz w:val="32"/>
          <w:szCs w:val="32"/>
        </w:rPr>
        <w:t>4.评价标准</w:t>
      </w:r>
    </w:p>
    <w:p>
      <w:pPr>
        <w:spacing w:line="600" w:lineRule="exact"/>
        <w:ind w:firstLine="640"/>
        <w:rPr>
          <w:color w:val="FF0000"/>
          <w:sz w:val="32"/>
          <w:szCs w:val="32"/>
        </w:rPr>
      </w:pPr>
      <w:r>
        <w:rPr>
          <w:rFonts w:hint="eastAsia" w:ascii="仿宋_GB2312" w:hAnsi="仿宋_GB2312" w:cs="仿宋_GB2312"/>
          <w:bCs/>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Style w:val="3"/>
        <w:spacing w:line="600" w:lineRule="exact"/>
        <w:ind w:left="420" w:firstLine="0" w:firstLineChars="0"/>
        <w:rPr>
          <w:szCs w:val="32"/>
        </w:rPr>
      </w:pPr>
      <w:r>
        <w:rPr>
          <w:rFonts w:hint="eastAsia"/>
          <w:szCs w:val="32"/>
        </w:rPr>
        <w:t>（三）绩效评价工作过程</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第一阶段：前期准备。</w:t>
      </w:r>
    </w:p>
    <w:p>
      <w:pPr>
        <w:pStyle w:val="21"/>
        <w:spacing w:line="600" w:lineRule="exact"/>
        <w:ind w:firstLine="640"/>
        <w:rPr>
          <w:rFonts w:ascii="仿宋_GB2312" w:hAnsi="仿宋_GB2312" w:cs="仿宋_GB2312"/>
          <w:color w:val="FF0000"/>
          <w:sz w:val="32"/>
          <w:szCs w:val="32"/>
        </w:rPr>
      </w:pPr>
      <w:r>
        <w:rPr>
          <w:rFonts w:hint="eastAsia" w:ascii="仿宋_GB2312" w:hAnsi="仿宋" w:cs="仿宋"/>
          <w:color w:val="000000"/>
          <w:sz w:val="32"/>
          <w:szCs w:val="32"/>
        </w:rPr>
        <w:t>我单位绩效评价人员</w:t>
      </w:r>
      <w:r>
        <w:rPr>
          <w:rFonts w:hint="eastAsia" w:ascii="仿宋_GB2312" w:hAnsi="仿宋" w:cs="仿宋"/>
          <w:color w:val="000000"/>
          <w:spacing w:val="-4"/>
          <w:sz w:val="32"/>
          <w:szCs w:val="32"/>
        </w:rPr>
        <w:t>根据《项目支出绩效评价管理办法》（财预</w:t>
      </w:r>
      <w:r>
        <w:rPr>
          <w:rFonts w:hint="eastAsia" w:ascii="仿宋_GB2312" w:hAnsi="仿宋" w:cs="仿宋"/>
          <w:color w:val="000000"/>
          <w:sz w:val="32"/>
          <w:szCs w:val="32"/>
        </w:rPr>
        <w:t>〔2020〕</w:t>
      </w:r>
      <w:r>
        <w:rPr>
          <w:rFonts w:hint="eastAsia" w:ascii="仿宋_GB2312" w:hAnsi="仿宋" w:cs="仿宋"/>
          <w:color w:val="000000"/>
          <w:spacing w:val="-4"/>
          <w:sz w:val="32"/>
          <w:szCs w:val="32"/>
        </w:rPr>
        <w:t>10号）文件精神</w:t>
      </w:r>
      <w:r>
        <w:rPr>
          <w:rFonts w:hint="eastAsia" w:ascii="仿宋_GB2312" w:hAnsi="仿宋_GB2312" w:cs="仿宋_GB2312"/>
          <w:sz w:val="32"/>
          <w:szCs w:val="32"/>
        </w:rPr>
        <w:t>认真学习相关要求与规定，成立绩效评价工作组，作为绩效评价工作具体实施机构。成员构成如下：</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特列克任评价组组长，绩效评价工作职责为检查项目绩效指标完成情况、审定项目支出绩效评价结果及项目支出绩效评价报告。</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达力哈任评价组副组长，绩效评价工作职责为组织和协调项目工作人员采取实地调查、资料检查等方式，核实项目绩效指标完成情况；组织受益对象对项目工作进行评价等。</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恒巴提任评价组成员，绩效评价工作职责为做好项目支出绩效评价工作的沟通协调工作，对项目实施情况进行实地调查，编写项目支出绩效评价报告。</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第二阶段：组织实施。</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经评价组通过实地调研、查阅资料等方式，采用综合分析法对项目的决策、管理、绩效进行的综合评价分析。</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第三阶段：分析评价。</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首先按照指标体系进行定量、定性分析。其次开展量化打分、综合评价工作，形成初步评价结论。最后归纳整体项目情况与存在问题，撰写部门绩效评价报告。</w:t>
      </w:r>
    </w:p>
    <w:p>
      <w:pPr>
        <w:pStyle w:val="21"/>
        <w:spacing w:line="600" w:lineRule="exact"/>
        <w:ind w:firstLine="640"/>
        <w:rPr>
          <w:rFonts w:ascii="仿宋_GB2312" w:hAnsi="仿宋_GB2312" w:cs="仿宋_GB2312"/>
          <w:sz w:val="32"/>
          <w:szCs w:val="32"/>
        </w:rPr>
      </w:pPr>
      <w:bookmarkStart w:id="13" w:name="_Toc2618"/>
      <w:r>
        <w:rPr>
          <w:rFonts w:hint="eastAsia" w:ascii="仿宋_GB2312" w:hAnsi="仿宋_GB2312" w:cs="仿宋_GB2312"/>
          <w:sz w:val="32"/>
          <w:szCs w:val="32"/>
        </w:rPr>
        <w:t>第四阶段：撰写与提交评价报告</w:t>
      </w:r>
      <w:bookmarkEnd w:id="13"/>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项目撰写绩效评价报告，按照财政局大平台绩效系统中统一格式和文本框架撰写绩效评价报告。</w:t>
      </w:r>
    </w:p>
    <w:p>
      <w:pPr>
        <w:pStyle w:val="21"/>
        <w:spacing w:line="600" w:lineRule="exact"/>
        <w:ind w:firstLine="640"/>
        <w:rPr>
          <w:rFonts w:ascii="仿宋_GB2312" w:hAnsi="仿宋_GB2312" w:cs="仿宋_GB2312"/>
          <w:sz w:val="32"/>
          <w:szCs w:val="32"/>
        </w:rPr>
      </w:pPr>
      <w:bookmarkStart w:id="14" w:name="_Toc5055"/>
      <w:r>
        <w:rPr>
          <w:rFonts w:hint="eastAsia" w:ascii="仿宋_GB2312" w:hAnsi="仿宋_GB2312" w:cs="仿宋_GB2312"/>
          <w:sz w:val="32"/>
          <w:szCs w:val="32"/>
        </w:rPr>
        <w:t>第五阶段：归集档案</w:t>
      </w:r>
      <w:bookmarkEnd w:id="14"/>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建立和落实档案管理制度，将项目相关资料存档，包括但不限于：评价项目基本情况和相关文件、评价实施方案、项目支付资料等相关档案。</w:t>
      </w:r>
    </w:p>
    <w:p>
      <w:pPr>
        <w:pStyle w:val="2"/>
        <w:numPr>
          <w:ilvl w:val="0"/>
          <w:numId w:val="4"/>
        </w:numPr>
        <w:spacing w:line="600" w:lineRule="exact"/>
        <w:ind w:firstLine="640"/>
        <w:rPr>
          <w:szCs w:val="32"/>
        </w:rPr>
      </w:pPr>
      <w:r>
        <w:rPr>
          <w:rFonts w:hint="eastAsia"/>
          <w:szCs w:val="32"/>
        </w:rPr>
        <w:t>综合评价情况及评价结论</w:t>
      </w:r>
    </w:p>
    <w:p>
      <w:pPr>
        <w:pStyle w:val="23"/>
        <w:spacing w:before="0" w:after="0" w:line="600" w:lineRule="exact"/>
        <w:ind w:left="560"/>
        <w:rPr>
          <w:rFonts w:ascii="仿宋_GB2312" w:hAnsi="仿宋_GB2312" w:cs="仿宋_GB2312"/>
          <w:sz w:val="32"/>
        </w:rPr>
      </w:pPr>
      <w:bookmarkStart w:id="15" w:name="_Toc68364665"/>
      <w:r>
        <w:rPr>
          <w:rFonts w:hint="eastAsia" w:ascii="仿宋_GB2312" w:hAnsi="仿宋_GB2312" w:cs="仿宋_GB2312"/>
          <w:sz w:val="32"/>
        </w:rPr>
        <w:t>（一）综合评价情况</w:t>
      </w:r>
      <w:bookmarkEnd w:id="15"/>
    </w:p>
    <w:p>
      <w:pPr>
        <w:ind w:firstLine="640"/>
        <w:contextualSpacing/>
        <w:rPr>
          <w:rFonts w:ascii="仿宋_GB2312"/>
          <w:sz w:val="32"/>
          <w:szCs w:val="32"/>
        </w:rPr>
      </w:pPr>
      <w:r>
        <w:rPr>
          <w:rFonts w:hint="eastAsia" w:ascii="仿宋_GB2312"/>
          <w:sz w:val="32"/>
          <w:szCs w:val="32"/>
        </w:rPr>
        <w:t>通过2023年基本公共卫生项目的实施，解决了当前城乡居</w:t>
      </w:r>
      <w:r>
        <w:rPr>
          <w:rFonts w:hint="eastAsia" w:ascii="仿宋_GB2312" w:hAnsi="仿宋_GB2312" w:cs="仿宋_GB2312"/>
          <w:kern w:val="0"/>
          <w:sz w:val="32"/>
          <w:szCs w:val="32"/>
        </w:rPr>
        <w:t>民存在的主要健康问题问题，实现了实施基本公共卫生服务项目，对影响居民健康的主要卫生问题实施干预，减少主要健康危险因素，有效预防和控制主要传染病及慢性病，使城乡居民逐步享有均等化的公共卫生服务</w:t>
      </w:r>
      <w:r>
        <w:rPr>
          <w:rFonts w:hint="eastAsia" w:ascii="仿宋_GB2312"/>
          <w:sz w:val="32"/>
          <w:szCs w:val="32"/>
        </w:rPr>
        <w:t>效益，该项目预算执行率达100</w:t>
      </w:r>
      <w:r>
        <w:rPr>
          <w:rFonts w:ascii="仿宋_GB2312"/>
          <w:sz w:val="32"/>
          <w:szCs w:val="32"/>
        </w:rPr>
        <w:t>%</w:t>
      </w:r>
      <w:r>
        <w:rPr>
          <w:rFonts w:hint="eastAsia" w:ascii="仿宋_GB2312"/>
          <w:sz w:val="32"/>
          <w:szCs w:val="32"/>
        </w:rPr>
        <w:t>，项目预期绩效目标及各项具体指标均已全部达成。</w:t>
      </w:r>
    </w:p>
    <w:p>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（二）综合评价结论</w:t>
      </w:r>
    </w:p>
    <w:p>
      <w:pPr>
        <w:spacing w:line="600" w:lineRule="exact"/>
        <w:ind w:firstLine="640"/>
        <w:rPr>
          <w:rFonts w:ascii="仿宋_GB2312"/>
          <w:sz w:val="32"/>
          <w:szCs w:val="32"/>
        </w:rPr>
      </w:pPr>
      <w:r>
        <w:rPr>
          <w:rFonts w:hint="eastAsia" w:ascii="仿宋_GB2312" w:hAnsi="仿宋_GB2312" w:cs="仿宋_GB2312"/>
          <w:bCs/>
          <w:sz w:val="32"/>
          <w:szCs w:val="32"/>
        </w:rPr>
        <w:t>本次评价采取定量与定性评价相结合的方式，</w:t>
      </w:r>
      <w:r>
        <w:rPr>
          <w:rFonts w:hint="eastAsia" w:ascii="仿宋_GB2312"/>
          <w:sz w:val="32"/>
          <w:szCs w:val="32"/>
        </w:rPr>
        <w:t>对2023年基本公共卫生项目的绩效目标和各项具体绩效指标实现情况进行了客观评价，最终评分为99.9分。</w:t>
      </w:r>
      <w:r>
        <w:rPr>
          <w:rFonts w:hint="eastAsia"/>
          <w:sz w:val="30"/>
          <w:szCs w:val="30"/>
        </w:rPr>
        <w:t>绩效评级为</w:t>
      </w:r>
      <w:r>
        <w:rPr>
          <w:rFonts w:hint="eastAsia" w:ascii="仿宋_GB2312" w:cs="仿宋_GB2312"/>
          <w:sz w:val="32"/>
          <w:szCs w:val="32"/>
        </w:rPr>
        <w:t>“优”，具体得分情况为：项目决策</w:t>
      </w:r>
      <w:r>
        <w:rPr>
          <w:rFonts w:hint="eastAsia" w:ascii="仿宋_GB2312"/>
          <w:sz w:val="32"/>
          <w:szCs w:val="32"/>
        </w:rPr>
        <w:t>15</w:t>
      </w:r>
      <w:r>
        <w:rPr>
          <w:rFonts w:hint="eastAsia" w:ascii="仿宋_GB2312" w:cs="仿宋_GB2312"/>
          <w:sz w:val="32"/>
          <w:szCs w:val="32"/>
        </w:rPr>
        <w:t>分、项目过程</w:t>
      </w:r>
      <w:r>
        <w:rPr>
          <w:rFonts w:hint="eastAsia" w:ascii="仿宋_GB2312"/>
          <w:sz w:val="32"/>
          <w:szCs w:val="32"/>
        </w:rPr>
        <w:t>15</w:t>
      </w:r>
      <w:r>
        <w:rPr>
          <w:rFonts w:hint="eastAsia" w:ascii="仿宋_GB2312" w:cs="仿宋_GB2312"/>
          <w:sz w:val="32"/>
          <w:szCs w:val="32"/>
        </w:rPr>
        <w:t>分、项目产出</w:t>
      </w:r>
      <w:r>
        <w:rPr>
          <w:rFonts w:hint="eastAsia" w:ascii="仿宋_GB2312"/>
          <w:sz w:val="32"/>
          <w:szCs w:val="32"/>
        </w:rPr>
        <w:t>39.90</w:t>
      </w:r>
      <w:r>
        <w:rPr>
          <w:rFonts w:hint="eastAsia" w:ascii="仿宋_GB2312" w:cs="仿宋_GB2312"/>
          <w:sz w:val="32"/>
          <w:szCs w:val="32"/>
        </w:rPr>
        <w:t>分、项目效益</w:t>
      </w:r>
      <w:r>
        <w:rPr>
          <w:rFonts w:hint="eastAsia" w:ascii="仿宋_GB2312"/>
          <w:sz w:val="32"/>
          <w:szCs w:val="32"/>
        </w:rPr>
        <w:t>20</w:t>
      </w:r>
      <w:r>
        <w:rPr>
          <w:rFonts w:hint="eastAsia" w:ascii="仿宋_GB2312" w:cs="仿宋_GB2312"/>
          <w:sz w:val="32"/>
          <w:szCs w:val="32"/>
        </w:rPr>
        <w:t>分、项目满意度10分。</w:t>
      </w:r>
    </w:p>
    <w:p>
      <w:pPr>
        <w:pStyle w:val="2"/>
        <w:spacing w:line="600" w:lineRule="exact"/>
        <w:ind w:firstLine="640"/>
        <w:rPr>
          <w:szCs w:val="32"/>
        </w:rPr>
      </w:pPr>
      <w:r>
        <w:rPr>
          <w:rFonts w:hint="eastAsia"/>
          <w:szCs w:val="32"/>
        </w:rPr>
        <w:t>四、绩效评价指标分析</w:t>
      </w:r>
    </w:p>
    <w:p>
      <w:pPr>
        <w:pStyle w:val="3"/>
        <w:spacing w:line="600" w:lineRule="exact"/>
        <w:ind w:firstLine="640"/>
        <w:rPr>
          <w:rFonts w:ascii="楷体_GB2312" w:eastAsia="楷体_GB2312"/>
          <w:szCs w:val="32"/>
        </w:rPr>
      </w:pPr>
      <w:r>
        <w:rPr>
          <w:rFonts w:hint="eastAsia" w:ascii="楷体_GB2312" w:eastAsia="楷体_GB2312"/>
          <w:szCs w:val="32"/>
        </w:rPr>
        <w:t>（一）项目决策情况</w:t>
      </w:r>
    </w:p>
    <w:p>
      <w:pPr>
        <w:overflowPunct w:val="0"/>
        <w:spacing w:line="600" w:lineRule="exact"/>
        <w:ind w:firstLine="640"/>
        <w:contextualSpacing/>
        <w:rPr>
          <w:rFonts w:ascii="仿宋_GB2312" w:hAnsi="仿宋_GB2312" w:cs="仿宋_GB2312"/>
          <w:sz w:val="32"/>
          <w:szCs w:val="32"/>
        </w:rPr>
      </w:pPr>
      <w:r>
        <w:rPr>
          <w:rFonts w:hint="eastAsia" w:ascii="仿宋_GB2312" w:hAnsi="仿宋_GB2312" w:cs="仿宋_GB2312"/>
          <w:sz w:val="32"/>
          <w:szCs w:val="32"/>
        </w:rPr>
        <w:t>项目决策类指标从项目立项、绩效目标和资金投入三个方面评价项目前期准备工作，权重分值为 15 分，本项目实际得分</w:t>
      </w:r>
      <w:r>
        <w:rPr>
          <w:rFonts w:hint="eastAsia" w:ascii="仿宋_GB2312"/>
          <w:sz w:val="32"/>
          <w:szCs w:val="32"/>
        </w:rPr>
        <w:t>15</w:t>
      </w:r>
      <w:r>
        <w:rPr>
          <w:rFonts w:hint="eastAsia" w:ascii="仿宋_GB2312" w:hAnsi="仿宋_GB2312" w:cs="仿宋_GB2312"/>
          <w:sz w:val="32"/>
          <w:szCs w:val="32"/>
        </w:rPr>
        <w:t>分，得分率为</w:t>
      </w:r>
      <w:r>
        <w:rPr>
          <w:rFonts w:hint="eastAsia" w:ascii="仿宋_GB2312"/>
          <w:sz w:val="32"/>
          <w:szCs w:val="32"/>
        </w:rPr>
        <w:t>100</w:t>
      </w:r>
      <w:r>
        <w:rPr>
          <w:rFonts w:hint="eastAsia" w:ascii="仿宋_GB2312" w:hAnsi="仿宋_GB2312" w:cs="仿宋_GB2312"/>
          <w:sz w:val="32"/>
          <w:szCs w:val="32"/>
        </w:rPr>
        <w:t>%。具体各项指标得分如下</w:t>
      </w:r>
      <w:r>
        <w:rPr>
          <w:rFonts w:ascii="仿宋_GB2312" w:hAnsi="仿宋_GB2312" w:cs="仿宋_GB2312"/>
          <w:sz w:val="32"/>
          <w:szCs w:val="32"/>
        </w:rPr>
        <w:t>：</w:t>
      </w:r>
    </w:p>
    <w:p>
      <w:pPr>
        <w:pStyle w:val="24"/>
        <w:spacing w:line="600" w:lineRule="exact"/>
        <w:ind w:firstLine="734"/>
        <w:rPr>
          <w:rFonts w:cs="仿宋_GB2312"/>
          <w:color w:val="auto"/>
        </w:rPr>
      </w:pPr>
      <w:r>
        <w:rPr>
          <w:rFonts w:hint="eastAsia" w:cs="仿宋_GB2312"/>
          <w:b/>
          <w:bCs/>
          <w:color w:val="auto"/>
        </w:rPr>
        <w:t>1.立项依据充分性：</w:t>
      </w:r>
      <w:r>
        <w:rPr>
          <w:rFonts w:hint="eastAsia" w:cs="仿宋_GB2312"/>
          <w:color w:val="auto"/>
        </w:rPr>
        <w:t>本项目是由沙湾市牛圈子卫生院单位提出申报</w:t>
      </w:r>
      <w:r>
        <w:rPr>
          <w:rFonts w:cs="仿宋_GB2312"/>
          <w:color w:val="auto"/>
        </w:rPr>
        <w:t>，202</w:t>
      </w:r>
      <w:r>
        <w:rPr>
          <w:rFonts w:hint="eastAsia" w:cs="仿宋_GB2312"/>
          <w:color w:val="auto"/>
        </w:rPr>
        <w:t>3年我单位根据</w:t>
      </w:r>
      <w:r>
        <w:rPr>
          <w:rFonts w:cs="仿宋_GB2312"/>
          <w:color w:val="auto"/>
        </w:rPr>
        <w:t>《</w:t>
      </w:r>
      <w:r>
        <w:rPr>
          <w:rFonts w:hint="eastAsia" w:hAnsi="仿宋_GB2312" w:cs="仿宋_GB2312"/>
          <w:color w:val="auto"/>
        </w:rPr>
        <w:t>关于拨付</w:t>
      </w:r>
      <w:r>
        <w:rPr>
          <w:rFonts w:hint="eastAsia"/>
          <w:color w:val="auto"/>
        </w:rPr>
        <w:t>2023年中央及自治区财政基本公共卫生服务补助资金预算</w:t>
      </w:r>
      <w:r>
        <w:rPr>
          <w:rFonts w:hint="eastAsia" w:hAnsi="仿宋_GB2312" w:cs="仿宋_GB2312"/>
          <w:color w:val="auto"/>
        </w:rPr>
        <w:t>的通知》（塔地财预〔2022〕</w:t>
      </w:r>
      <w:r>
        <w:rPr>
          <w:rFonts w:hint="eastAsia"/>
          <w:color w:val="auto"/>
        </w:rPr>
        <w:t>91</w:t>
      </w:r>
      <w:r>
        <w:rPr>
          <w:rFonts w:hint="eastAsia" w:hAnsi="仿宋_GB2312" w:cs="仿宋_GB2312"/>
          <w:color w:val="auto"/>
        </w:rPr>
        <w:t>号，塔地财社[2023]25号，塔地财社[2022]103号）</w:t>
      </w:r>
      <w:r>
        <w:rPr>
          <w:rFonts w:cs="仿宋_GB2312"/>
          <w:color w:val="auto"/>
        </w:rPr>
        <w:t>》</w:t>
      </w:r>
      <w:r>
        <w:rPr>
          <w:rFonts w:hint="eastAsia" w:cs="仿宋_GB2312"/>
          <w:color w:val="auto"/>
        </w:rPr>
        <w:t>文件要求组织实施该项目。</w:t>
      </w:r>
      <w:r>
        <w:rPr>
          <w:rFonts w:hint="eastAsia" w:hAnsi="仿宋_GB2312" w:cs="仿宋_GB2312"/>
          <w:color w:val="auto"/>
          <w:spacing w:val="0"/>
        </w:rPr>
        <w:t>项目立项符合国家法律法规、自治区和地区行业发展规划和政策要求，属于本部门履职所需。</w:t>
      </w:r>
      <w:r>
        <w:rPr>
          <w:rFonts w:hint="eastAsia" w:cs="仿宋_GB2312"/>
          <w:color w:val="auto"/>
        </w:rPr>
        <w:t>根据评分标准，该指标2.5分，得2.5分。</w:t>
      </w:r>
    </w:p>
    <w:p>
      <w:pPr>
        <w:pStyle w:val="24"/>
        <w:spacing w:line="600" w:lineRule="exact"/>
        <w:ind w:firstLine="734"/>
        <w:rPr>
          <w:rFonts w:cs="仿宋_GB2312"/>
          <w:color w:val="auto"/>
        </w:rPr>
      </w:pPr>
      <w:r>
        <w:rPr>
          <w:rFonts w:hint="eastAsia" w:cs="仿宋_GB2312"/>
          <w:b/>
          <w:bCs/>
          <w:color w:val="auto"/>
        </w:rPr>
        <w:t>2.立项程序规范性：</w:t>
      </w:r>
      <w:r>
        <w:rPr>
          <w:rFonts w:hint="eastAsia" w:cs="仿宋_GB2312"/>
          <w:color w:val="auto"/>
        </w:rPr>
        <w:t>根据决策依据编制工作计划和经费预算，经过与部门市政府分管领导进行沟通、筛选确定经费预算计划，上党委会研究确定最终预算方案</w:t>
      </w:r>
      <w:r>
        <w:rPr>
          <w:rFonts w:cs="仿宋_GB2312"/>
          <w:color w:val="auto"/>
        </w:rPr>
        <w:t>。</w:t>
      </w:r>
      <w:r>
        <w:rPr>
          <w:rFonts w:hint="eastAsia" w:cs="仿宋_GB2312"/>
          <w:color w:val="auto"/>
        </w:rPr>
        <w:t>根据评分标准，该指标2.5分，得2.5分。</w:t>
      </w:r>
    </w:p>
    <w:p>
      <w:pPr>
        <w:spacing w:line="600" w:lineRule="exact"/>
        <w:ind w:firstLine="640"/>
        <w:rPr>
          <w:rFonts w:ascii="仿宋_GB2312" w:cs="仿宋_GB2312"/>
          <w:sz w:val="32"/>
          <w:szCs w:val="32"/>
        </w:rPr>
      </w:pPr>
      <w:r>
        <w:rPr>
          <w:rFonts w:hint="eastAsia" w:ascii="仿宋_GB2312" w:cs="仿宋_GB2312"/>
          <w:b/>
          <w:bCs/>
          <w:sz w:val="32"/>
          <w:szCs w:val="32"/>
        </w:rPr>
        <w:t>3.绩效目标合理性</w:t>
      </w:r>
      <w:r>
        <w:rPr>
          <w:rFonts w:hint="eastAsia" w:ascii="仿宋_GB2312" w:cs="仿宋_GB2312"/>
          <w:sz w:val="32"/>
          <w:szCs w:val="32"/>
        </w:rPr>
        <w:t>：本项目制定了项目支出绩效目标，明确了项目总体思路及总目标、并对项目任务进行了详细分解，对目标进行了细化</w:t>
      </w:r>
      <w:r>
        <w:rPr>
          <w:rFonts w:ascii="仿宋_GB2312" w:cs="仿宋_GB2312"/>
          <w:sz w:val="32"/>
          <w:szCs w:val="32"/>
        </w:rPr>
        <w:t>。</w:t>
      </w:r>
      <w:r>
        <w:rPr>
          <w:rFonts w:hint="eastAsia" w:ascii="仿宋_GB2312" w:cs="仿宋_GB2312"/>
          <w:sz w:val="32"/>
          <w:szCs w:val="32"/>
        </w:rPr>
        <w:t>根据评分标准，该指标</w:t>
      </w:r>
      <w:r>
        <w:rPr>
          <w:rFonts w:ascii="仿宋_GB2312" w:cs="仿宋_GB2312"/>
          <w:sz w:val="32"/>
          <w:szCs w:val="32"/>
        </w:rPr>
        <w:t>3</w:t>
      </w:r>
      <w:r>
        <w:rPr>
          <w:rFonts w:hint="eastAsia" w:ascii="仿宋_GB2312" w:cs="仿宋_GB2312"/>
          <w:sz w:val="32"/>
          <w:szCs w:val="32"/>
        </w:rPr>
        <w:t>分，得3分。</w:t>
      </w:r>
    </w:p>
    <w:p>
      <w:pPr>
        <w:spacing w:line="600" w:lineRule="exact"/>
        <w:ind w:firstLine="640"/>
        <w:rPr>
          <w:rFonts w:ascii="仿宋_GB2312" w:cs="仿宋_GB2312"/>
          <w:sz w:val="32"/>
          <w:szCs w:val="32"/>
        </w:rPr>
      </w:pPr>
      <w:r>
        <w:rPr>
          <w:rFonts w:hint="eastAsia" w:ascii="仿宋_GB2312" w:cs="仿宋_GB2312"/>
          <w:b/>
          <w:bCs/>
          <w:sz w:val="32"/>
          <w:szCs w:val="32"/>
        </w:rPr>
        <w:t>4.绩效指标明确性：</w:t>
      </w:r>
      <w:r>
        <w:rPr>
          <w:rFonts w:hint="eastAsia" w:ascii="仿宋_GB2312" w:cs="仿宋_GB2312"/>
          <w:sz w:val="32"/>
          <w:szCs w:val="32"/>
        </w:rPr>
        <w:t>本项目已将项目绩效目标细化分解为具体的绩效指标，并通过清晰、可衡量的指标值予以体现，与项目目标任务数或计划数相对应。根据评分标准，该指标</w:t>
      </w:r>
      <w:r>
        <w:rPr>
          <w:rFonts w:ascii="仿宋_GB2312" w:cs="仿宋_GB2312"/>
          <w:sz w:val="32"/>
          <w:szCs w:val="32"/>
        </w:rPr>
        <w:t>2</w:t>
      </w:r>
      <w:r>
        <w:rPr>
          <w:rFonts w:hint="eastAsia" w:ascii="仿宋_GB2312" w:cs="仿宋_GB2312"/>
          <w:sz w:val="32"/>
          <w:szCs w:val="32"/>
        </w:rPr>
        <w:t>分，得2分。</w:t>
      </w:r>
    </w:p>
    <w:p>
      <w:pPr>
        <w:spacing w:line="600" w:lineRule="exact"/>
        <w:ind w:firstLine="640"/>
        <w:rPr>
          <w:rFonts w:ascii="仿宋_GB2312" w:cs="仿宋_GB2312"/>
          <w:sz w:val="32"/>
          <w:szCs w:val="32"/>
        </w:rPr>
      </w:pPr>
      <w:r>
        <w:rPr>
          <w:rFonts w:hint="eastAsia" w:ascii="仿宋_GB2312" w:cs="仿宋_GB2312"/>
          <w:b/>
          <w:bCs/>
          <w:sz w:val="32"/>
          <w:szCs w:val="32"/>
        </w:rPr>
        <w:t>5.预算编制科学性：</w:t>
      </w:r>
      <w:r>
        <w:rPr>
          <w:rFonts w:hint="eastAsia" w:ascii="仿宋_GB2312" w:cs="仿宋_GB2312"/>
          <w:sz w:val="32"/>
          <w:szCs w:val="32"/>
        </w:rPr>
        <w:t>预算编制经过科学论证，内容与项目内容匹配，项目投资额与工作任务相匹配，根据评分标准，该指标3分，得3分。</w:t>
      </w:r>
    </w:p>
    <w:p>
      <w:pPr>
        <w:spacing w:line="600" w:lineRule="exact"/>
        <w:ind w:firstLine="640"/>
        <w:rPr>
          <w:rFonts w:ascii="仿宋_GB2312" w:cs="仿宋_GB2312"/>
          <w:sz w:val="32"/>
          <w:szCs w:val="32"/>
        </w:rPr>
      </w:pPr>
      <w:r>
        <w:rPr>
          <w:rFonts w:hint="eastAsia" w:ascii="仿宋_GB2312" w:cs="仿宋_GB2312"/>
          <w:b/>
          <w:bCs/>
          <w:sz w:val="32"/>
          <w:szCs w:val="32"/>
        </w:rPr>
        <w:t>6.资金分配合理性：</w:t>
      </w:r>
      <w:r>
        <w:rPr>
          <w:rFonts w:hint="eastAsia" w:ascii="仿宋_GB2312" w:cs="仿宋_GB2312"/>
          <w:sz w:val="32"/>
          <w:szCs w:val="32"/>
        </w:rPr>
        <w:t>本项目资金分配依据充分，资金分配额度合理，与项目地方实际相适应。根据评分标准，该指标2分，得2分。</w:t>
      </w:r>
    </w:p>
    <w:p>
      <w:pPr>
        <w:pStyle w:val="3"/>
        <w:spacing w:line="600" w:lineRule="exact"/>
        <w:ind w:firstLine="640"/>
        <w:rPr>
          <w:rFonts w:ascii="楷体_GB2312" w:eastAsia="楷体_GB2312"/>
          <w:szCs w:val="32"/>
        </w:rPr>
      </w:pPr>
      <w:r>
        <w:rPr>
          <w:rFonts w:hint="eastAsia" w:ascii="楷体_GB2312" w:eastAsia="楷体_GB2312"/>
          <w:szCs w:val="32"/>
        </w:rPr>
        <w:t>（二）项目过程情况</w:t>
      </w:r>
    </w:p>
    <w:p>
      <w:pPr>
        <w:overflowPunct w:val="0"/>
        <w:spacing w:line="600" w:lineRule="exact"/>
        <w:ind w:firstLine="640"/>
        <w:contextualSpacing/>
        <w:rPr>
          <w:rFonts w:ascii="仿宋_GB2312" w:hAnsi="仿宋_GB2312" w:cs="仿宋_GB2312"/>
          <w:sz w:val="32"/>
          <w:szCs w:val="32"/>
        </w:rPr>
      </w:pPr>
      <w:r>
        <w:rPr>
          <w:rFonts w:hint="eastAsia" w:ascii="仿宋_GB2312" w:cs="仿宋_GB2312"/>
          <w:sz w:val="32"/>
          <w:szCs w:val="32"/>
        </w:rPr>
        <w:t>项目过程类指标包括资金管理和组织实施两方面的内容，由 5个三级指标构成，</w:t>
      </w:r>
      <w:r>
        <w:rPr>
          <w:rFonts w:hint="eastAsia" w:ascii="仿宋_GB2312" w:hAnsi="仿宋_GB2312" w:cs="仿宋_GB2312"/>
          <w:sz w:val="32"/>
          <w:szCs w:val="32"/>
        </w:rPr>
        <w:t>权重分值为 15 分，本项目实际得分</w:t>
      </w:r>
      <w:r>
        <w:rPr>
          <w:rFonts w:hint="eastAsia" w:ascii="仿宋_GB2312"/>
          <w:sz w:val="32"/>
          <w:szCs w:val="32"/>
        </w:rPr>
        <w:t>15</w:t>
      </w:r>
      <w:r>
        <w:rPr>
          <w:rFonts w:hint="eastAsia" w:ascii="仿宋_GB2312" w:hAnsi="仿宋_GB2312" w:cs="仿宋_GB2312"/>
          <w:sz w:val="32"/>
          <w:szCs w:val="32"/>
        </w:rPr>
        <w:t>分，得分率为</w:t>
      </w:r>
      <w:r>
        <w:rPr>
          <w:rFonts w:hint="eastAsia" w:ascii="仿宋_GB2312"/>
          <w:sz w:val="32"/>
          <w:szCs w:val="32"/>
        </w:rPr>
        <w:t>100</w:t>
      </w:r>
      <w:r>
        <w:rPr>
          <w:rFonts w:hint="eastAsia" w:ascii="仿宋_GB2312" w:hAnsi="仿宋_GB2312" w:cs="仿宋_GB2312"/>
          <w:sz w:val="32"/>
          <w:szCs w:val="32"/>
        </w:rPr>
        <w:t>%。具体各项指标得分如下</w:t>
      </w:r>
      <w:r>
        <w:rPr>
          <w:rFonts w:ascii="仿宋_GB2312" w:hAnsi="仿宋_GB2312" w:cs="仿宋_GB2312"/>
          <w:sz w:val="32"/>
          <w:szCs w:val="32"/>
        </w:rPr>
        <w:t>：</w:t>
      </w:r>
    </w:p>
    <w:p>
      <w:pPr>
        <w:spacing w:line="600" w:lineRule="exact"/>
        <w:ind w:firstLine="640"/>
        <w:rPr>
          <w:rFonts w:ascii="仿宋_GB2312" w:cs="仿宋_GB2312"/>
          <w:sz w:val="32"/>
          <w:szCs w:val="32"/>
        </w:rPr>
      </w:pPr>
      <w:r>
        <w:rPr>
          <w:rFonts w:hint="eastAsia" w:ascii="仿宋_GB2312" w:cs="仿宋_GB2312"/>
          <w:b/>
          <w:bCs/>
          <w:sz w:val="32"/>
          <w:szCs w:val="32"/>
        </w:rPr>
        <w:t>1.资金到位率：</w:t>
      </w:r>
      <w:r>
        <w:rPr>
          <w:rFonts w:hint="eastAsia" w:ascii="仿宋_GB2312" w:cs="仿宋_GB2312"/>
          <w:sz w:val="32"/>
          <w:szCs w:val="32"/>
        </w:rPr>
        <w:t xml:space="preserve">该项目所需财政资金能够足额拨付到位，牵头单位能够及时足额按照合同约定将专项资金拨付给单位，根据评分标准，该指标2分，得2分。   </w:t>
      </w:r>
    </w:p>
    <w:p>
      <w:pPr>
        <w:spacing w:line="600" w:lineRule="exact"/>
        <w:ind w:firstLine="640"/>
        <w:rPr>
          <w:rFonts w:ascii="仿宋_GB2312" w:cs="仿宋_GB2312"/>
          <w:sz w:val="32"/>
          <w:szCs w:val="32"/>
        </w:rPr>
      </w:pPr>
      <w:r>
        <w:rPr>
          <w:rFonts w:hint="eastAsia" w:ascii="仿宋_GB2312" w:cs="仿宋_GB2312"/>
          <w:b/>
          <w:bCs/>
          <w:sz w:val="32"/>
          <w:szCs w:val="32"/>
        </w:rPr>
        <w:t>2.预算执行率：</w:t>
      </w:r>
      <w:r>
        <w:rPr>
          <w:rFonts w:hint="eastAsia" w:ascii="仿宋_GB2312" w:cs="仿宋_GB2312"/>
          <w:sz w:val="32"/>
          <w:szCs w:val="32"/>
        </w:rPr>
        <w:t>本项目预算编制较为详细，预算资金17万元</w:t>
      </w:r>
      <w:r>
        <w:rPr>
          <w:rFonts w:ascii="仿宋_GB2312" w:cs="仿宋_GB2312"/>
          <w:sz w:val="32"/>
          <w:szCs w:val="32"/>
        </w:rPr>
        <w:t>，</w:t>
      </w:r>
      <w:r>
        <w:rPr>
          <w:rFonts w:hint="eastAsia" w:ascii="仿宋_GB2312" w:cs="仿宋_GB2312"/>
          <w:sz w:val="32"/>
          <w:szCs w:val="32"/>
        </w:rPr>
        <w:t>实际执行17万元，预算执行率为100</w:t>
      </w:r>
      <w:r>
        <w:rPr>
          <w:rFonts w:ascii="仿宋_GB2312" w:cs="仿宋_GB2312"/>
          <w:sz w:val="32"/>
          <w:szCs w:val="32"/>
        </w:rPr>
        <w:t>%</w:t>
      </w:r>
      <w:r>
        <w:rPr>
          <w:rFonts w:hint="eastAsia" w:ascii="仿宋_GB2312" w:cs="仿宋_GB2312"/>
          <w:sz w:val="32"/>
          <w:szCs w:val="32"/>
        </w:rPr>
        <w:t>，项目资金支出总体能够按照预算执行，根据评分标准，该指标2分，得2分。</w:t>
      </w:r>
    </w:p>
    <w:p>
      <w:pPr>
        <w:spacing w:line="600" w:lineRule="exact"/>
        <w:ind w:firstLine="640"/>
        <w:rPr>
          <w:rFonts w:ascii="仿宋_GB2312" w:cs="仿宋_GB2312"/>
          <w:sz w:val="32"/>
          <w:szCs w:val="32"/>
        </w:rPr>
      </w:pPr>
      <w:r>
        <w:rPr>
          <w:rFonts w:hint="eastAsia" w:ascii="仿宋_GB2312" w:cs="仿宋_GB2312"/>
          <w:b/>
          <w:bCs/>
          <w:sz w:val="32"/>
          <w:szCs w:val="32"/>
        </w:rPr>
        <w:t>3.资金使用合规性：</w:t>
      </w:r>
      <w:r>
        <w:rPr>
          <w:rFonts w:hint="eastAsia" w:ascii="仿宋_GB2312" w:cs="仿宋_GB2312"/>
          <w:sz w:val="32"/>
          <w:szCs w:val="32"/>
        </w:rPr>
        <w:t>项目任务下达后</w:t>
      </w:r>
      <w:r>
        <w:rPr>
          <w:rFonts w:ascii="仿宋_GB2312" w:cs="仿宋_GB2312"/>
          <w:sz w:val="32"/>
          <w:szCs w:val="32"/>
        </w:rPr>
        <w:t>，</w:t>
      </w:r>
      <w:r>
        <w:rPr>
          <w:rFonts w:hint="eastAsia" w:ascii="仿宋_GB2312" w:cs="仿宋_GB2312"/>
          <w:sz w:val="32"/>
          <w:szCs w:val="32"/>
        </w:rPr>
        <w:t>我单位制定了</w:t>
      </w:r>
      <w:r>
        <w:rPr>
          <w:rFonts w:ascii="仿宋_GB2312" w:cs="仿宋_GB2312"/>
          <w:sz w:val="32"/>
          <w:szCs w:val="32"/>
        </w:rPr>
        <w:t>《</w:t>
      </w:r>
      <w:r>
        <w:rPr>
          <w:rFonts w:hint="eastAsia" w:ascii="仿宋_GB2312" w:cs="仿宋_GB2312"/>
          <w:sz w:val="32"/>
          <w:szCs w:val="32"/>
        </w:rPr>
        <w:t>专项资金</w:t>
      </w:r>
      <w:r>
        <w:rPr>
          <w:rFonts w:ascii="仿宋_GB2312" w:cs="仿宋_GB2312"/>
          <w:sz w:val="32"/>
          <w:szCs w:val="32"/>
        </w:rPr>
        <w:t>》</w:t>
      </w:r>
      <w:r>
        <w:rPr>
          <w:rFonts w:hint="eastAsia" w:ascii="仿宋_GB2312" w:cs="仿宋_GB2312"/>
          <w:sz w:val="32"/>
          <w:szCs w:val="32"/>
        </w:rPr>
        <w:t>制度和管理规定对经费使用进行规范管理，财务制度健全、执行严格；根据评分标准，该指标3分，得3分。</w:t>
      </w:r>
    </w:p>
    <w:p>
      <w:pPr>
        <w:spacing w:line="600" w:lineRule="exact"/>
        <w:ind w:firstLine="640"/>
        <w:rPr>
          <w:rFonts w:ascii="仿宋_GB2312" w:cs="仿宋_GB2312"/>
          <w:sz w:val="32"/>
          <w:szCs w:val="32"/>
        </w:rPr>
      </w:pPr>
      <w:r>
        <w:rPr>
          <w:rFonts w:hint="eastAsia" w:ascii="仿宋_GB2312" w:cs="仿宋_GB2312"/>
          <w:b/>
          <w:bCs/>
          <w:sz w:val="32"/>
          <w:szCs w:val="32"/>
        </w:rPr>
        <w:t>4.管理制度健全性：</w:t>
      </w:r>
      <w:r>
        <w:rPr>
          <w:rFonts w:hint="eastAsia" w:ascii="仿宋_GB2312" w:cs="仿宋_GB2312"/>
          <w:sz w:val="32"/>
          <w:szCs w:val="32"/>
        </w:rPr>
        <w:t>我单位制定了</w:t>
      </w:r>
      <w:r>
        <w:rPr>
          <w:rFonts w:ascii="仿宋_GB2312" w:cs="仿宋_GB2312"/>
          <w:sz w:val="32"/>
          <w:szCs w:val="32"/>
        </w:rPr>
        <w:t>《</w:t>
      </w:r>
      <w:r>
        <w:rPr>
          <w:rFonts w:hint="eastAsia" w:ascii="仿宋_GB2312"/>
          <w:szCs w:val="28"/>
        </w:rPr>
        <w:t>专项资金管理制度</w:t>
      </w:r>
      <w:r>
        <w:rPr>
          <w:rFonts w:ascii="仿宋_GB2312" w:cs="仿宋_GB2312"/>
          <w:sz w:val="32"/>
          <w:szCs w:val="32"/>
        </w:rPr>
        <w:t>》</w:t>
      </w:r>
      <w:r>
        <w:rPr>
          <w:rFonts w:hint="eastAsia" w:ascii="仿宋_GB2312" w:cs="仿宋_GB2312"/>
          <w:sz w:val="32"/>
          <w:szCs w:val="32"/>
        </w:rPr>
        <w:t>等</w:t>
      </w:r>
      <w:r>
        <w:rPr>
          <w:rFonts w:ascii="仿宋_GB2312" w:cs="仿宋_GB2312"/>
          <w:sz w:val="32"/>
          <w:szCs w:val="32"/>
        </w:rPr>
        <w:t>相关</w:t>
      </w:r>
      <w:r>
        <w:rPr>
          <w:rFonts w:hint="eastAsia" w:ascii="仿宋_GB2312" w:cs="仿宋_GB2312"/>
          <w:sz w:val="32"/>
          <w:szCs w:val="32"/>
        </w:rPr>
        <w:t>项目</w:t>
      </w:r>
      <w:r>
        <w:rPr>
          <w:rFonts w:ascii="仿宋_GB2312" w:cs="仿宋_GB2312"/>
          <w:sz w:val="32"/>
          <w:szCs w:val="32"/>
        </w:rPr>
        <w:t>管理办法，</w:t>
      </w:r>
      <w:r>
        <w:rPr>
          <w:rFonts w:hint="eastAsia" w:ascii="仿宋_GB2312" w:cs="仿宋_GB2312"/>
          <w:sz w:val="32"/>
          <w:szCs w:val="32"/>
        </w:rPr>
        <w:t>同时对财政专项资金进行</w:t>
      </w:r>
      <w:r>
        <w:rPr>
          <w:rFonts w:ascii="仿宋_GB2312" w:cs="仿宋_GB2312"/>
          <w:sz w:val="32"/>
          <w:szCs w:val="32"/>
        </w:rPr>
        <w:t>严格</w:t>
      </w:r>
      <w:r>
        <w:rPr>
          <w:rFonts w:hint="eastAsia" w:ascii="仿宋_GB2312" w:cs="仿宋_GB2312"/>
          <w:sz w:val="32"/>
          <w:szCs w:val="32"/>
        </w:rPr>
        <w:t>管理，基本做到了专款专用，根据评分标准，该指标4分，得4分。</w:t>
      </w:r>
    </w:p>
    <w:p>
      <w:pPr>
        <w:spacing w:line="600" w:lineRule="exact"/>
        <w:ind w:firstLine="640"/>
        <w:rPr>
          <w:rFonts w:ascii="仿宋_GB2312" w:cs="仿宋_GB2312"/>
          <w:sz w:val="32"/>
          <w:szCs w:val="32"/>
        </w:rPr>
      </w:pPr>
      <w:r>
        <w:rPr>
          <w:rFonts w:hint="eastAsia" w:ascii="仿宋_GB2312" w:cs="仿宋_GB2312"/>
          <w:b/>
          <w:bCs/>
          <w:sz w:val="32"/>
          <w:szCs w:val="32"/>
        </w:rPr>
        <w:t>5.制度执行有效性</w:t>
      </w:r>
      <w:r>
        <w:rPr>
          <w:rFonts w:hint="eastAsia" w:ascii="仿宋_GB2312" w:cs="仿宋_GB2312"/>
          <w:sz w:val="32"/>
          <w:szCs w:val="32"/>
        </w:rPr>
        <w:t>：由部门提出经费预算支出可行性方案，经过与市政府分管领导沟通后</w:t>
      </w:r>
      <w:r>
        <w:rPr>
          <w:rFonts w:ascii="仿宋_GB2312" w:cs="仿宋_GB2312"/>
          <w:sz w:val="32"/>
          <w:szCs w:val="32"/>
        </w:rPr>
        <w:t>，</w:t>
      </w:r>
      <w:r>
        <w:rPr>
          <w:rFonts w:hint="eastAsia" w:ascii="仿宋_GB2312" w:cs="仿宋_GB2312"/>
          <w:sz w:val="32"/>
          <w:szCs w:val="32"/>
        </w:rPr>
        <w:t>报</w:t>
      </w:r>
      <w:r>
        <w:rPr>
          <w:rFonts w:ascii="仿宋_GB2312" w:cs="仿宋_GB2312"/>
          <w:sz w:val="32"/>
          <w:szCs w:val="32"/>
        </w:rPr>
        <w:t>党</w:t>
      </w:r>
      <w:r>
        <w:rPr>
          <w:rFonts w:hint="eastAsia" w:ascii="仿宋_GB2312" w:cs="仿宋_GB2312"/>
          <w:sz w:val="32"/>
          <w:szCs w:val="32"/>
        </w:rPr>
        <w:t>委</w:t>
      </w:r>
      <w:r>
        <w:rPr>
          <w:rFonts w:ascii="仿宋_GB2312" w:cs="仿宋_GB2312"/>
          <w:sz w:val="32"/>
          <w:szCs w:val="32"/>
        </w:rPr>
        <w:t>会议</w:t>
      </w:r>
      <w:r>
        <w:rPr>
          <w:rFonts w:hint="eastAsia" w:ascii="仿宋_GB2312" w:cs="仿宋_GB2312"/>
          <w:sz w:val="32"/>
          <w:szCs w:val="32"/>
        </w:rPr>
        <w:t>研究执行，财务对资金的使用合法合规性进行监督，年底对资金使用效果进行自评，根据评分标准，该指标4分，得4分。</w:t>
      </w:r>
    </w:p>
    <w:p>
      <w:pPr>
        <w:pStyle w:val="3"/>
        <w:spacing w:line="600" w:lineRule="exact"/>
        <w:ind w:firstLine="640"/>
        <w:rPr>
          <w:rFonts w:ascii="楷体_GB2312" w:eastAsia="楷体_GB2312"/>
          <w:szCs w:val="32"/>
        </w:rPr>
      </w:pPr>
      <w:r>
        <w:rPr>
          <w:rFonts w:hint="eastAsia" w:ascii="楷体_GB2312" w:eastAsia="楷体_GB2312"/>
          <w:szCs w:val="32"/>
        </w:rPr>
        <w:t>（三）项目产出情况</w:t>
      </w:r>
    </w:p>
    <w:p>
      <w:pPr>
        <w:overflowPunct w:val="0"/>
        <w:spacing w:line="600" w:lineRule="exact"/>
        <w:ind w:firstLine="640"/>
        <w:contextualSpacing/>
        <w:rPr>
          <w:rFonts w:ascii="仿宋_GB2312" w:hAnsi="仿宋_GB2312" w:cs="仿宋_GB2312"/>
          <w:sz w:val="32"/>
          <w:szCs w:val="32"/>
        </w:rPr>
      </w:pPr>
      <w:r>
        <w:rPr>
          <w:rFonts w:hint="eastAsia" w:ascii="仿宋_GB2312" w:cs="仿宋_GB2312"/>
          <w:sz w:val="32"/>
          <w:szCs w:val="32"/>
        </w:rPr>
        <w:t>项目产出类指标包括产出数量、产出质量、产出时效、产出成本共四方面的内容，由10个三级指标构成，权重分为4</w:t>
      </w:r>
      <w:r>
        <w:rPr>
          <w:rFonts w:ascii="仿宋_GB2312" w:cs="仿宋_GB2312"/>
          <w:sz w:val="32"/>
          <w:szCs w:val="32"/>
        </w:rPr>
        <w:t>0</w:t>
      </w:r>
      <w:r>
        <w:rPr>
          <w:rFonts w:hint="eastAsia" w:ascii="仿宋_GB2312" w:cs="仿宋_GB2312"/>
          <w:sz w:val="32"/>
          <w:szCs w:val="32"/>
        </w:rPr>
        <w:t>分，</w:t>
      </w:r>
      <w:r>
        <w:rPr>
          <w:rFonts w:hint="eastAsia" w:ascii="仿宋_GB2312" w:hAnsi="仿宋_GB2312" w:cs="仿宋_GB2312"/>
          <w:sz w:val="32"/>
          <w:szCs w:val="32"/>
        </w:rPr>
        <w:t>本项目实际得分</w:t>
      </w:r>
      <w:r>
        <w:rPr>
          <w:rFonts w:hint="eastAsia" w:ascii="仿宋_GB2312"/>
          <w:sz w:val="32"/>
          <w:szCs w:val="32"/>
        </w:rPr>
        <w:t>39.9</w:t>
      </w:r>
      <w:r>
        <w:rPr>
          <w:rFonts w:hint="eastAsia" w:ascii="仿宋_GB2312" w:hAnsi="仿宋_GB2312" w:cs="仿宋_GB2312"/>
          <w:sz w:val="32"/>
          <w:szCs w:val="32"/>
        </w:rPr>
        <w:t>分，得分率为</w:t>
      </w:r>
      <w:r>
        <w:rPr>
          <w:rFonts w:hint="eastAsia" w:ascii="仿宋_GB2312"/>
          <w:sz w:val="32"/>
          <w:szCs w:val="32"/>
        </w:rPr>
        <w:t>99.7</w:t>
      </w:r>
      <w:r>
        <w:rPr>
          <w:rFonts w:hint="eastAsia" w:ascii="仿宋_GB2312" w:hAnsi="仿宋_GB2312" w:cs="仿宋_GB2312"/>
          <w:sz w:val="32"/>
          <w:szCs w:val="32"/>
        </w:rPr>
        <w:t>%。具体各项指标得分如下</w:t>
      </w:r>
      <w:r>
        <w:rPr>
          <w:rFonts w:ascii="仿宋_GB2312" w:hAnsi="仿宋_GB2312" w:cs="仿宋_GB2312"/>
          <w:sz w:val="32"/>
          <w:szCs w:val="32"/>
        </w:rPr>
        <w:t>：</w:t>
      </w:r>
    </w:p>
    <w:p>
      <w:pPr>
        <w:spacing w:line="600" w:lineRule="exact"/>
        <w:ind w:firstLineChars="0"/>
        <w:rPr>
          <w:rFonts w:ascii="仿宋_GB2312" w:hAnsi="仿宋_GB2312" w:cs="仿宋_GB2312"/>
          <w:b/>
          <w:bCs/>
          <w:sz w:val="32"/>
          <w:szCs w:val="32"/>
        </w:rPr>
      </w:pPr>
      <w:r>
        <w:rPr>
          <w:rFonts w:hint="eastAsia" w:ascii="仿宋_GB2312" w:hAnsi="仿宋_GB2312" w:cs="仿宋_GB2312"/>
          <w:b/>
          <w:bCs/>
          <w:sz w:val="32"/>
          <w:szCs w:val="32"/>
        </w:rPr>
        <w:t>1. 产出数量</w:t>
      </w:r>
    </w:p>
    <w:p>
      <w:pPr>
        <w:spacing w:line="600" w:lineRule="exact"/>
        <w:ind w:firstLine="640"/>
        <w:rPr>
          <w:rFonts w:ascii="仿宋_GB2312" w:hAnsi="仿宋_GB2312" w:cs="仿宋_GB2312"/>
          <w:sz w:val="32"/>
          <w:szCs w:val="32"/>
        </w:rPr>
      </w:pPr>
      <w:r>
        <w:rPr>
          <w:rFonts w:hint="eastAsia" w:ascii="仿宋_GB2312" w:hAnsi="仿宋_GB2312" w:cs="仿宋_GB2312"/>
          <w:sz w:val="32"/>
          <w:szCs w:val="32"/>
        </w:rPr>
        <w:t>数量指标：指标1：高血压患者管理人数指标，预期指标值为“大于等于180人”，根据高血压患者管理人员花名册可知，实际完成180人，与预期目标一致，根据评分标准，该指标5分，得5分。</w:t>
      </w:r>
    </w:p>
    <w:p>
      <w:pPr>
        <w:spacing w:line="600" w:lineRule="exact"/>
        <w:ind w:firstLine="640"/>
        <w:rPr>
          <w:rFonts w:ascii="仿宋_GB2312" w:hAnsi="仿宋_GB2312" w:cs="仿宋_GB2312"/>
          <w:sz w:val="32"/>
          <w:szCs w:val="32"/>
        </w:rPr>
      </w:pPr>
      <w:r>
        <w:rPr>
          <w:rFonts w:hint="eastAsia" w:ascii="仿宋_GB2312" w:hAnsi="仿宋_GB2312" w:cs="仿宋_GB2312"/>
          <w:sz w:val="32"/>
          <w:szCs w:val="32"/>
        </w:rPr>
        <w:t>数量指标：指标2：2型糖尿病患者管理人数指标，预期指标值为“大于等于10人”，根据糖尿病患者管理人员花名册可知，实际完成10人，与预期目标一致，根据评分标准，该指标5分，得5分。</w:t>
      </w:r>
    </w:p>
    <w:p>
      <w:pPr>
        <w:spacing w:line="600" w:lineRule="exact"/>
        <w:ind w:firstLine="640"/>
        <w:rPr>
          <w:rFonts w:ascii="仿宋_GB2312"/>
          <w:b/>
          <w:bCs/>
          <w:sz w:val="32"/>
        </w:rPr>
      </w:pPr>
      <w:r>
        <w:rPr>
          <w:rFonts w:hint="eastAsia" w:ascii="仿宋_GB2312"/>
          <w:b/>
          <w:bCs/>
          <w:sz w:val="32"/>
        </w:rPr>
        <w:t>2.产出质量</w:t>
      </w:r>
    </w:p>
    <w:p>
      <w:pPr>
        <w:spacing w:line="600" w:lineRule="exact"/>
        <w:ind w:firstLine="640"/>
        <w:rPr>
          <w:rFonts w:ascii="仿宋_GB2312" w:hAnsi="仿宋_GB2312" w:cs="仿宋_GB2312"/>
          <w:sz w:val="32"/>
          <w:szCs w:val="32"/>
        </w:rPr>
      </w:pPr>
      <w:r>
        <w:rPr>
          <w:rFonts w:hint="eastAsia" w:ascii="仿宋_GB2312" w:hAnsi="仿宋_GB2312" w:cs="仿宋_GB2312"/>
          <w:sz w:val="32"/>
          <w:szCs w:val="32"/>
        </w:rPr>
        <w:t>数量指标：指标1：高血压患者规范管理率指标，预期指标值为“大于等于60%”，根据2023年基本公共卫生服务项目完成表可知，实际完成60%，与预期目标一致，根据评分标准，该指标5分，得5分。</w:t>
      </w:r>
    </w:p>
    <w:p>
      <w:pPr>
        <w:spacing w:line="600" w:lineRule="exact"/>
        <w:ind w:firstLine="640"/>
        <w:rPr>
          <w:rFonts w:ascii="仿宋_GB2312" w:hAnsi="仿宋_GB2312" w:cs="仿宋_GB2312"/>
          <w:sz w:val="32"/>
          <w:szCs w:val="32"/>
        </w:rPr>
      </w:pPr>
      <w:r>
        <w:rPr>
          <w:rFonts w:hint="eastAsia" w:ascii="仿宋_GB2312" w:hAnsi="仿宋_GB2312" w:cs="仿宋_GB2312"/>
          <w:sz w:val="32"/>
          <w:szCs w:val="32"/>
        </w:rPr>
        <w:t>数量指标：指标2：2型糖尿病患者率规范管理率指标，预期指标值为“大于等于60%”，根据2023年基本公共卫生服务项目完成表可知，实际完成60%人，与预期目标一致，根据评分标准，该指标5分，得5分。</w:t>
      </w:r>
    </w:p>
    <w:p>
      <w:pPr>
        <w:pStyle w:val="6"/>
        <w:spacing w:before="0" w:after="0" w:line="600" w:lineRule="exact"/>
        <w:ind w:firstLine="640"/>
        <w:jc w:val="both"/>
        <w:rPr>
          <w:rFonts w:ascii="仿宋_GB2312" w:cs="仿宋_GB2312"/>
          <w:bCs/>
          <w:sz w:val="32"/>
          <w:szCs w:val="32"/>
        </w:rPr>
      </w:pPr>
      <w:r>
        <w:rPr>
          <w:rFonts w:hint="eastAsia" w:ascii="仿宋_GB2312" w:cs="仿宋_GB2312"/>
          <w:bCs/>
          <w:sz w:val="32"/>
          <w:szCs w:val="32"/>
        </w:rPr>
        <w:t>3.产出时效</w:t>
      </w:r>
    </w:p>
    <w:p>
      <w:pPr>
        <w:spacing w:line="600" w:lineRule="exact"/>
        <w:ind w:firstLine="640"/>
        <w:rPr>
          <w:rFonts w:ascii="仿宋_GB2312" w:hAnsi="仿宋_GB2312" w:cs="仿宋_GB2312"/>
          <w:sz w:val="32"/>
          <w:szCs w:val="32"/>
        </w:rPr>
      </w:pPr>
      <w:r>
        <w:rPr>
          <w:rFonts w:hint="eastAsia" w:ascii="仿宋_GB2312" w:hAnsi="仿宋_GB2312" w:cs="仿宋_GB2312"/>
          <w:sz w:val="32"/>
          <w:szCs w:val="32"/>
        </w:rPr>
        <w:t>“基本公共卫生服务项目完成时限”指标，预期指标值为“2023年12月25日”；根据资金支付凭证显示，该项目于2023年12月完成，资金已于2023年12月已支付完毕，与预期目标指标一致，根据评分标准，该指标10分，得10分。</w:t>
      </w:r>
    </w:p>
    <w:p>
      <w:pPr>
        <w:pStyle w:val="6"/>
        <w:spacing w:before="0" w:after="0" w:line="600" w:lineRule="exact"/>
        <w:ind w:left="643" w:firstLine="0" w:firstLineChars="0"/>
        <w:jc w:val="both"/>
        <w:rPr>
          <w:rFonts w:ascii="仿宋_GB2312" w:cs="仿宋_GB2312"/>
          <w:bCs/>
          <w:sz w:val="32"/>
          <w:szCs w:val="32"/>
        </w:rPr>
      </w:pPr>
      <w:r>
        <w:rPr>
          <w:rFonts w:hint="eastAsia" w:ascii="仿宋_GB2312" w:cs="仿宋_GB2312"/>
          <w:bCs/>
          <w:sz w:val="32"/>
          <w:szCs w:val="32"/>
        </w:rPr>
        <w:t>4.产出成本</w:t>
      </w:r>
    </w:p>
    <w:p>
      <w:pPr>
        <w:spacing w:line="600" w:lineRule="exact"/>
        <w:ind w:firstLine="640"/>
        <w:rPr>
          <w:rFonts w:ascii="仿宋_GB2312" w:hAnsi="仿宋_GB2312" w:cs="仿宋_GB2312"/>
          <w:sz w:val="32"/>
          <w:szCs w:val="32"/>
        </w:rPr>
      </w:pPr>
      <w:r>
        <w:rPr>
          <w:rFonts w:hint="eastAsia" w:ascii="仿宋_GB2312" w:hAnsi="仿宋_GB2312" w:cs="仿宋_GB2312"/>
          <w:sz w:val="32"/>
          <w:szCs w:val="32"/>
        </w:rPr>
        <w:t>经济成本“基本公共卫生服务成本”指标，预期指标值为“小于等于17万元”，根据项目资金支付凭证显示，本项目202</w:t>
      </w:r>
      <w:r>
        <w:rPr>
          <w:rFonts w:ascii="仿宋_GB2312" w:hAnsi="仿宋_GB2312" w:cs="仿宋_GB2312"/>
          <w:sz w:val="32"/>
          <w:szCs w:val="32"/>
        </w:rPr>
        <w:t>3</w:t>
      </w:r>
      <w:r>
        <w:rPr>
          <w:rFonts w:hint="eastAsia" w:ascii="仿宋_GB2312" w:hAnsi="仿宋_GB2312" w:cs="仿宋_GB2312"/>
          <w:sz w:val="32"/>
          <w:szCs w:val="32"/>
        </w:rPr>
        <w:t>年共计支付成本17万元，经费支出能够控制在年度计划成本范围内，根据评分标准，该指标10分，得10分。</w:t>
      </w:r>
    </w:p>
    <w:p>
      <w:pPr>
        <w:pStyle w:val="3"/>
        <w:spacing w:line="600" w:lineRule="exact"/>
        <w:ind w:left="560" w:leftChars="200" w:firstLine="0" w:firstLineChars="0"/>
        <w:rPr>
          <w:rFonts w:ascii="楷体_GB2312" w:eastAsia="楷体_GB2312"/>
          <w:szCs w:val="32"/>
        </w:rPr>
      </w:pPr>
      <w:r>
        <w:rPr>
          <w:rFonts w:hint="eastAsia" w:ascii="楷体_GB2312" w:eastAsia="楷体_GB2312"/>
          <w:szCs w:val="32"/>
        </w:rPr>
        <w:t>（四）项目效益情况</w:t>
      </w:r>
    </w:p>
    <w:p>
      <w:pPr>
        <w:overflowPunct w:val="0"/>
        <w:spacing w:line="600" w:lineRule="exact"/>
        <w:ind w:firstLine="640"/>
        <w:contextualSpacing/>
        <w:rPr>
          <w:rFonts w:ascii="仿宋_GB2312" w:hAnsi="仿宋_GB2312" w:cs="仿宋_GB2312"/>
          <w:sz w:val="32"/>
          <w:szCs w:val="32"/>
        </w:rPr>
      </w:pPr>
      <w:r>
        <w:rPr>
          <w:rFonts w:hint="eastAsia" w:ascii="仿宋_GB2312" w:hAnsi="仿宋_GB2312" w:cs="仿宋_GB2312"/>
          <w:sz w:val="32"/>
          <w:szCs w:val="32"/>
          <w:u w:color="000000"/>
          <w:lang w:val="zh-TW" w:eastAsia="zh-TW"/>
        </w:rPr>
        <w:t>项目</w:t>
      </w:r>
      <w:r>
        <w:rPr>
          <w:rFonts w:hint="eastAsia" w:ascii="仿宋_GB2312" w:hAnsi="仿宋_GB2312" w:cs="仿宋_GB2312"/>
          <w:sz w:val="32"/>
          <w:szCs w:val="32"/>
        </w:rPr>
        <w:t>效益</w:t>
      </w:r>
      <w:r>
        <w:rPr>
          <w:rFonts w:hint="eastAsia" w:ascii="仿宋_GB2312" w:hAnsi="仿宋_GB2312" w:cs="仿宋_GB2312"/>
          <w:sz w:val="32"/>
          <w:szCs w:val="32"/>
          <w:u w:color="000000"/>
          <w:lang w:val="zh-TW" w:eastAsia="zh-TW"/>
        </w:rPr>
        <w:t>类指标由</w:t>
      </w:r>
      <w:r>
        <w:rPr>
          <w:rFonts w:hint="eastAsia" w:ascii="仿宋_GB2312" w:hAnsi="仿宋_GB2312" w:cs="仿宋_GB2312"/>
          <w:sz w:val="32"/>
          <w:szCs w:val="32"/>
          <w:u w:color="000000"/>
        </w:rPr>
        <w:t>社会效益等1</w:t>
      </w:r>
      <w:r>
        <w:rPr>
          <w:rFonts w:hint="eastAsia" w:ascii="仿宋_GB2312" w:hAnsi="仿宋_GB2312" w:cs="仿宋_GB2312"/>
          <w:sz w:val="32"/>
          <w:szCs w:val="32"/>
          <w:u w:color="000000"/>
          <w:lang w:val="zh-TW" w:eastAsia="zh-TW"/>
        </w:rPr>
        <w:t>个</w:t>
      </w:r>
      <w:r>
        <w:rPr>
          <w:rFonts w:hint="eastAsia" w:ascii="仿宋_GB2312" w:hAnsi="仿宋_GB2312" w:cs="仿宋_GB2312"/>
          <w:sz w:val="32"/>
          <w:szCs w:val="32"/>
          <w:u w:color="000000"/>
          <w:lang w:val="zh-TW"/>
        </w:rPr>
        <w:t>二</w:t>
      </w:r>
      <w:r>
        <w:rPr>
          <w:rFonts w:hint="eastAsia" w:ascii="仿宋_GB2312" w:hAnsi="仿宋_GB2312" w:cs="仿宋_GB2312"/>
          <w:sz w:val="32"/>
          <w:szCs w:val="32"/>
          <w:u w:color="000000"/>
          <w:lang w:val="zh-TW" w:eastAsia="zh-TW"/>
        </w:rPr>
        <w:t>级指标和</w:t>
      </w:r>
      <w:r>
        <w:rPr>
          <w:rFonts w:hint="eastAsia" w:ascii="仿宋_GB2312" w:hAnsi="仿宋_GB2312" w:cs="仿宋_GB2312"/>
          <w:sz w:val="32"/>
          <w:szCs w:val="32"/>
          <w:u w:color="000000"/>
        </w:rPr>
        <w:t>1</w:t>
      </w:r>
      <w:r>
        <w:rPr>
          <w:rFonts w:hint="eastAsia" w:ascii="仿宋_GB2312" w:hAnsi="仿宋_GB2312" w:cs="仿宋_GB2312"/>
          <w:sz w:val="32"/>
          <w:szCs w:val="32"/>
          <w:u w:color="000000"/>
          <w:lang w:val="zh-TW" w:eastAsia="zh-TW"/>
        </w:rPr>
        <w:t>个</w:t>
      </w:r>
      <w:r>
        <w:rPr>
          <w:rFonts w:hint="eastAsia" w:ascii="仿宋_GB2312" w:hAnsi="仿宋_GB2312" w:cs="仿宋_GB2312"/>
          <w:sz w:val="32"/>
          <w:szCs w:val="32"/>
          <w:u w:color="000000"/>
        </w:rPr>
        <w:t>三</w:t>
      </w:r>
      <w:r>
        <w:rPr>
          <w:rFonts w:hint="eastAsia" w:ascii="仿宋_GB2312" w:hAnsi="仿宋_GB2312" w:cs="仿宋_GB2312"/>
          <w:sz w:val="32"/>
          <w:szCs w:val="32"/>
          <w:u w:color="000000"/>
          <w:lang w:val="zh-TW" w:eastAsia="zh-TW"/>
        </w:rPr>
        <w:t>级指标构成，</w:t>
      </w:r>
      <w:r>
        <w:rPr>
          <w:rFonts w:hint="eastAsia" w:ascii="仿宋_GB2312" w:hAnsi="仿宋_GB2312" w:cs="仿宋_GB2312"/>
          <w:sz w:val="32"/>
          <w:szCs w:val="32"/>
        </w:rPr>
        <w:t>权重分为20分，本项目实际得分20分，得分率为100%。具体各项指标得分如下：</w:t>
      </w:r>
    </w:p>
    <w:p>
      <w:pPr>
        <w:spacing w:line="600" w:lineRule="exact"/>
        <w:ind w:firstLine="640"/>
        <w:rPr>
          <w:rFonts w:ascii="仿宋_GB2312"/>
          <w:b/>
          <w:bCs/>
          <w:sz w:val="32"/>
          <w:szCs w:val="32"/>
        </w:rPr>
      </w:pPr>
      <w:r>
        <w:rPr>
          <w:rFonts w:hint="eastAsia" w:ascii="仿宋_GB2312" w:hAnsi="仿宋_GB2312" w:cs="仿宋_GB2312"/>
          <w:b/>
          <w:bCs/>
          <w:sz w:val="32"/>
        </w:rPr>
        <w:t>1.</w:t>
      </w:r>
      <w:r>
        <w:rPr>
          <w:rFonts w:hint="eastAsia" w:ascii="仿宋_GB2312"/>
          <w:b/>
          <w:bCs/>
          <w:sz w:val="32"/>
          <w:szCs w:val="32"/>
        </w:rPr>
        <w:t>社会效益指标</w:t>
      </w:r>
    </w:p>
    <w:p>
      <w:pPr>
        <w:spacing w:line="600" w:lineRule="exact"/>
        <w:ind w:firstLine="640"/>
      </w:pPr>
      <w:r>
        <w:rPr>
          <w:rFonts w:hint="eastAsia" w:ascii="仿宋_GB2312"/>
          <w:sz w:val="32"/>
          <w:szCs w:val="32"/>
        </w:rPr>
        <w:t>“城乡居民基本公共卫生服务均等化水平”</w:t>
      </w:r>
      <w:r>
        <w:rPr>
          <w:rFonts w:hint="eastAsia" w:ascii="仿宋_GB2312" w:hAnsi="仿宋_GB2312" w:cs="仿宋_GB2312"/>
          <w:sz w:val="32"/>
          <w:szCs w:val="32"/>
        </w:rPr>
        <w:t>指标，预期指标值为</w:t>
      </w:r>
      <w:r>
        <w:rPr>
          <w:rFonts w:hint="eastAsia" w:ascii="仿宋_GB2312"/>
          <w:sz w:val="32"/>
          <w:szCs w:val="32"/>
        </w:rPr>
        <w:t>“有效提升”，</w:t>
      </w:r>
      <w:r>
        <w:rPr>
          <w:rFonts w:hint="eastAsia"/>
          <w:sz w:val="32"/>
          <w:szCs w:val="32"/>
        </w:rPr>
        <w:t>根据</w:t>
      </w:r>
      <w:r>
        <w:rPr>
          <w:rFonts w:hint="eastAsia" w:ascii="仿宋_GB2312"/>
          <w:sz w:val="32"/>
          <w:szCs w:val="32"/>
        </w:rPr>
        <w:t>本单位年度工作总结</w:t>
      </w:r>
      <w:r>
        <w:rPr>
          <w:rFonts w:hint="eastAsia"/>
          <w:sz w:val="32"/>
          <w:szCs w:val="32"/>
        </w:rPr>
        <w:t>，实际完成值为</w:t>
      </w:r>
      <w:r>
        <w:rPr>
          <w:rFonts w:hint="eastAsia" w:ascii="仿宋_GB2312"/>
          <w:sz w:val="32"/>
          <w:szCs w:val="32"/>
        </w:rPr>
        <w:t>“基本达成目标”该指标20分，得20分。</w:t>
      </w:r>
    </w:p>
    <w:p>
      <w:pPr>
        <w:spacing w:line="600" w:lineRule="exact"/>
        <w:ind w:firstLine="640"/>
        <w:rPr>
          <w:rFonts w:ascii="仿宋_GB2312"/>
          <w:b/>
          <w:bCs/>
          <w:sz w:val="32"/>
          <w:szCs w:val="32"/>
        </w:rPr>
      </w:pPr>
      <w:r>
        <w:rPr>
          <w:rFonts w:hint="eastAsia" w:ascii="仿宋_GB2312" w:hAnsi="仿宋_GB2312" w:cs="仿宋_GB2312"/>
          <w:b/>
          <w:bCs/>
          <w:sz w:val="32"/>
        </w:rPr>
        <w:t>2.</w:t>
      </w:r>
      <w:r>
        <w:rPr>
          <w:rFonts w:hint="eastAsia" w:ascii="仿宋_GB2312"/>
          <w:b/>
          <w:bCs/>
          <w:sz w:val="32"/>
          <w:szCs w:val="32"/>
        </w:rPr>
        <w:t>经济效益指标</w:t>
      </w:r>
    </w:p>
    <w:p>
      <w:pPr>
        <w:spacing w:line="600" w:lineRule="exact"/>
        <w:ind w:firstLine="640"/>
      </w:pPr>
      <w:r>
        <w:rPr>
          <w:rFonts w:hint="eastAsia" w:ascii="仿宋_GB2312"/>
          <w:sz w:val="32"/>
          <w:szCs w:val="32"/>
        </w:rPr>
        <w:t>“本项目无该项指标。</w:t>
      </w:r>
    </w:p>
    <w:p>
      <w:pPr>
        <w:spacing w:line="600" w:lineRule="exact"/>
        <w:ind w:firstLine="640"/>
        <w:rPr>
          <w:rFonts w:ascii="仿宋_GB2312"/>
          <w:b/>
          <w:bCs/>
          <w:sz w:val="32"/>
          <w:szCs w:val="32"/>
        </w:rPr>
      </w:pPr>
      <w:r>
        <w:rPr>
          <w:rFonts w:hint="eastAsia" w:ascii="仿宋_GB2312" w:hAnsi="仿宋_GB2312" w:cs="仿宋_GB2312"/>
          <w:b/>
          <w:bCs/>
          <w:sz w:val="32"/>
        </w:rPr>
        <w:t>3.</w:t>
      </w:r>
      <w:r>
        <w:rPr>
          <w:rFonts w:hint="eastAsia" w:ascii="仿宋_GB2312"/>
          <w:b/>
          <w:bCs/>
          <w:sz w:val="32"/>
          <w:szCs w:val="32"/>
        </w:rPr>
        <w:t>生态效益指标</w:t>
      </w:r>
    </w:p>
    <w:p>
      <w:pPr>
        <w:spacing w:line="600" w:lineRule="exact"/>
        <w:ind w:firstLine="640"/>
        <w:rPr>
          <w:rFonts w:ascii="仿宋_GB2312"/>
          <w:b/>
          <w:sz w:val="32"/>
          <w:szCs w:val="32"/>
        </w:rPr>
      </w:pPr>
      <w:r>
        <w:rPr>
          <w:rFonts w:hint="eastAsia" w:ascii="仿宋_GB2312"/>
          <w:sz w:val="32"/>
          <w:szCs w:val="32"/>
        </w:rPr>
        <w:t>“本项目无该项指标。”</w:t>
      </w:r>
    </w:p>
    <w:p>
      <w:pPr>
        <w:pStyle w:val="3"/>
        <w:spacing w:line="600" w:lineRule="exact"/>
        <w:ind w:left="560" w:leftChars="200" w:firstLine="0" w:firstLineChars="0"/>
        <w:rPr>
          <w:rFonts w:ascii="楷体_GB2312" w:eastAsia="楷体_GB2312"/>
          <w:szCs w:val="32"/>
        </w:rPr>
      </w:pPr>
      <w:r>
        <w:rPr>
          <w:rFonts w:hint="eastAsia" w:ascii="楷体_GB2312" w:eastAsia="楷体_GB2312"/>
          <w:szCs w:val="32"/>
        </w:rPr>
        <w:t>（五）满意度指标完成情况分析</w:t>
      </w:r>
    </w:p>
    <w:p>
      <w:pPr>
        <w:pStyle w:val="21"/>
        <w:spacing w:line="600" w:lineRule="exact"/>
        <w:ind w:firstLine="640"/>
        <w:rPr>
          <w:rFonts w:ascii="仿宋_GB2312" w:cs="仿宋_GB2312"/>
          <w:kern w:val="2"/>
          <w:sz w:val="32"/>
          <w:szCs w:val="32"/>
        </w:rPr>
      </w:pPr>
      <w:bookmarkStart w:id="16" w:name="_Toc28290"/>
      <w:bookmarkStart w:id="17" w:name="_Toc1921"/>
      <w:r>
        <w:rPr>
          <w:rFonts w:hint="eastAsia" w:ascii="仿宋_GB2312" w:hAnsi="仿宋_GB2312" w:cs="仿宋_GB2312"/>
          <w:kern w:val="2"/>
          <w:sz w:val="32"/>
          <w:szCs w:val="32"/>
        </w:rPr>
        <w:t>“服务对象满意度”指标，预期指标值为“大于等于95%”，根据对进行满意度问卷调查的结果可知，服务满意度达95%，根据评分标准，该指标10分,得10分。</w:t>
      </w:r>
    </w:p>
    <w:p>
      <w:pPr>
        <w:pStyle w:val="2"/>
        <w:spacing w:line="600" w:lineRule="exact"/>
        <w:ind w:firstLine="640"/>
        <w:rPr>
          <w:szCs w:val="32"/>
        </w:rPr>
      </w:pPr>
      <w:r>
        <w:rPr>
          <w:rFonts w:hint="eastAsia"/>
          <w:szCs w:val="32"/>
        </w:rPr>
        <w:t>五、预算执行进度与绩效指标偏差情况</w:t>
      </w:r>
    </w:p>
    <w:p>
      <w:pPr>
        <w:pStyle w:val="3"/>
        <w:numPr>
          <w:ilvl w:val="0"/>
          <w:numId w:val="5"/>
        </w:numPr>
        <w:spacing w:line="600" w:lineRule="exact"/>
        <w:ind w:firstLine="643" w:firstLineChars="0"/>
        <w:rPr>
          <w:rFonts w:ascii="楷体_GB2312" w:eastAsia="楷体_GB2312"/>
          <w:szCs w:val="32"/>
        </w:rPr>
      </w:pPr>
      <w:r>
        <w:rPr>
          <w:rFonts w:hint="eastAsia" w:ascii="楷体_GB2312" w:eastAsia="楷体_GB2312"/>
          <w:szCs w:val="32"/>
        </w:rPr>
        <w:t>预算执行进度</w:t>
      </w:r>
    </w:p>
    <w:p>
      <w:pPr>
        <w:pStyle w:val="21"/>
        <w:spacing w:line="600" w:lineRule="exact"/>
        <w:ind w:firstLine="640"/>
        <w:rPr>
          <w:rFonts w:ascii="仿宋_GB2312"/>
          <w:sz w:val="32"/>
          <w:szCs w:val="32"/>
        </w:rPr>
      </w:pPr>
      <w:r>
        <w:rPr>
          <w:rFonts w:hint="eastAsia" w:ascii="仿宋_GB2312"/>
          <w:sz w:val="32"/>
          <w:szCs w:val="32"/>
        </w:rPr>
        <w:t>基本公共卫生项目预算金额17万元，实际到位17万元，全年项目实际支出17万元，预算执行率为100%。</w:t>
      </w:r>
    </w:p>
    <w:p>
      <w:pPr>
        <w:pStyle w:val="3"/>
        <w:numPr>
          <w:ilvl w:val="0"/>
          <w:numId w:val="5"/>
        </w:numPr>
        <w:spacing w:line="600" w:lineRule="exact"/>
        <w:ind w:firstLine="643" w:firstLineChars="0"/>
        <w:rPr>
          <w:rFonts w:ascii="楷体_GB2312" w:eastAsia="楷体_GB2312"/>
          <w:szCs w:val="32"/>
        </w:rPr>
      </w:pPr>
      <w:r>
        <w:rPr>
          <w:rFonts w:hint="eastAsia" w:ascii="楷体_GB2312" w:eastAsia="楷体_GB2312"/>
          <w:szCs w:val="32"/>
        </w:rPr>
        <w:t>绩效指标偏差情况</w:t>
      </w:r>
    </w:p>
    <w:p>
      <w:pPr>
        <w:spacing w:line="600" w:lineRule="exact"/>
        <w:ind w:firstLine="640"/>
        <w:rPr>
          <w:rFonts w:ascii="仿宋_GB2312"/>
          <w:sz w:val="32"/>
          <w:szCs w:val="32"/>
        </w:rPr>
      </w:pPr>
      <w:r>
        <w:rPr>
          <w:rFonts w:hint="eastAsia" w:ascii="仿宋_GB2312"/>
          <w:sz w:val="32"/>
          <w:szCs w:val="32"/>
        </w:rPr>
        <w:t>2023年本单位负责实施的基本公共卫生项目当中，成本指标和经济指标的实际完成情况未能达到预算指标值，存在偏差的原因如下：</w:t>
      </w:r>
    </w:p>
    <w:p>
      <w:pPr>
        <w:spacing w:line="600" w:lineRule="exact"/>
        <w:ind w:firstLine="640"/>
        <w:rPr>
          <w:rFonts w:ascii="仿宋_GB2312" w:hAnsi="仿宋_GB2312" w:cs="仿宋_GB2312"/>
          <w:b/>
          <w:bCs/>
          <w:sz w:val="32"/>
          <w:szCs w:val="32"/>
        </w:rPr>
      </w:pPr>
      <w:r>
        <w:rPr>
          <w:rFonts w:hint="eastAsia" w:ascii="仿宋_GB2312" w:hAnsi="仿宋_GB2312" w:cs="仿宋_GB2312"/>
          <w:sz w:val="32"/>
          <w:szCs w:val="32"/>
        </w:rPr>
        <w:t>“基本公共卫生服务成本”指标</w:t>
      </w:r>
      <w:r>
        <w:rPr>
          <w:rFonts w:ascii="仿宋_GB2312" w:hAnsi="仿宋_GB2312" w:cs="仿宋_GB2312"/>
          <w:sz w:val="32"/>
          <w:szCs w:val="32"/>
        </w:rPr>
        <w:t>，</w:t>
      </w:r>
      <w:r>
        <w:rPr>
          <w:rFonts w:hint="eastAsia" w:ascii="仿宋_GB2312" w:hAnsi="仿宋_GB2312" w:cs="仿宋_GB2312"/>
          <w:sz w:val="32"/>
          <w:szCs w:val="32"/>
        </w:rPr>
        <w:t>预期指标值为“小于等于17万元”</w:t>
      </w:r>
      <w:r>
        <w:rPr>
          <w:rFonts w:ascii="仿宋_GB2312" w:hAnsi="仿宋_GB2312" w:cs="仿宋_GB2312"/>
          <w:sz w:val="32"/>
          <w:szCs w:val="32"/>
        </w:rPr>
        <w:t>，</w:t>
      </w:r>
      <w:r>
        <w:rPr>
          <w:rFonts w:hint="eastAsia" w:ascii="仿宋_GB2312" w:hAnsi="仿宋_GB2312" w:cs="仿宋_GB2312"/>
          <w:sz w:val="32"/>
          <w:szCs w:val="32"/>
        </w:rPr>
        <w:t>实际完成值为“17万元”，存在偏差原因是</w:t>
      </w:r>
      <w:bookmarkStart w:id="19" w:name="_GoBack"/>
      <w:bookmarkEnd w:id="19"/>
      <w:r>
        <w:rPr>
          <w:rFonts w:hint="eastAsia" w:ascii="仿宋_GB2312" w:hAnsi="仿宋_GB2312" w:cs="仿宋_GB2312"/>
          <w:sz w:val="32"/>
          <w:szCs w:val="32"/>
        </w:rPr>
        <w:t>项目已全部实施完成，因收款人账户信息有误银行退款且国库年末扎账</w:t>
      </w:r>
      <w:r>
        <w:rPr>
          <w:rFonts w:ascii="仿宋_GB2312" w:hAnsi="仿宋_GB2312" w:cs="仿宋_GB2312"/>
          <w:sz w:val="32"/>
          <w:szCs w:val="32"/>
        </w:rPr>
        <w:t>。</w:t>
      </w:r>
    </w:p>
    <w:bookmarkEnd w:id="16"/>
    <w:bookmarkEnd w:id="17"/>
    <w:p>
      <w:pPr>
        <w:pStyle w:val="2"/>
        <w:spacing w:line="600" w:lineRule="exact"/>
        <w:ind w:firstLine="640"/>
        <w:rPr>
          <w:szCs w:val="32"/>
        </w:rPr>
      </w:pPr>
      <w:r>
        <w:rPr>
          <w:rFonts w:hint="eastAsia"/>
          <w:szCs w:val="32"/>
        </w:rPr>
        <w:t>六、主要经验及做法</w:t>
      </w:r>
      <w:r>
        <w:rPr>
          <w:szCs w:val="32"/>
        </w:rPr>
        <w:t>、</w:t>
      </w:r>
      <w:r>
        <w:rPr>
          <w:rFonts w:hint="eastAsia"/>
          <w:szCs w:val="32"/>
        </w:rPr>
        <w:t>存在的问题及原因分析</w:t>
      </w:r>
    </w:p>
    <w:p>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（一）主要经验及做法</w:t>
      </w:r>
    </w:p>
    <w:p>
      <w:pPr>
        <w:pStyle w:val="21"/>
        <w:spacing w:line="600" w:lineRule="exact"/>
        <w:ind w:firstLine="640"/>
        <w:rPr>
          <w:rFonts w:ascii="仿宋_GB2312" w:hAnsi="仿宋_GB2312" w:cs="仿宋_GB2312"/>
          <w:b/>
          <w:bCs/>
          <w:sz w:val="32"/>
          <w:szCs w:val="32"/>
        </w:rPr>
      </w:pPr>
      <w:r>
        <w:rPr>
          <w:rFonts w:hint="eastAsia" w:ascii="仿宋_GB2312" w:hAnsi="仿宋_GB2312" w:cs="仿宋_GB2312"/>
          <w:b/>
          <w:bCs/>
          <w:sz w:val="32"/>
          <w:szCs w:val="32"/>
        </w:rPr>
        <w:t>1.聚焦重点任务，推动项目工作落地落实</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p>
    <w:p>
      <w:pPr>
        <w:pStyle w:val="21"/>
        <w:spacing w:line="600" w:lineRule="exact"/>
        <w:ind w:firstLine="640"/>
        <w:rPr>
          <w:rFonts w:ascii="仿宋_GB2312" w:hAnsi="仿宋_GB2312" w:cs="仿宋_GB2312"/>
          <w:sz w:val="32"/>
          <w:szCs w:val="32"/>
        </w:rPr>
      </w:pPr>
      <w:r>
        <w:rPr>
          <w:rFonts w:hint="eastAsia" w:ascii="仿宋_GB2312" w:hAnsi="仿宋_GB2312" w:cs="仿宋_GB2312"/>
          <w:b/>
          <w:bCs/>
          <w:sz w:val="32"/>
          <w:szCs w:val="32"/>
        </w:rPr>
        <w:t>2.坚持问题导向，加强执行监控，提高资金效益</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p>
    <w:p>
      <w:pPr>
        <w:pStyle w:val="21"/>
        <w:spacing w:line="600" w:lineRule="exact"/>
        <w:ind w:firstLine="640"/>
        <w:rPr>
          <w:rFonts w:ascii="仿宋_GB2312" w:hAnsi="仿宋_GB2312" w:cs="仿宋_GB2312"/>
          <w:b/>
          <w:bCs/>
          <w:sz w:val="32"/>
          <w:szCs w:val="32"/>
        </w:rPr>
      </w:pPr>
      <w:bookmarkStart w:id="18" w:name="_Toc68364674"/>
      <w:r>
        <w:rPr>
          <w:rFonts w:ascii="仿宋_GB2312" w:hAnsi="仿宋_GB2312" w:cs="仿宋_GB2312"/>
          <w:b/>
          <w:bCs/>
          <w:sz w:val="32"/>
          <w:szCs w:val="32"/>
        </w:rPr>
        <w:t>3</w:t>
      </w:r>
      <w:r>
        <w:rPr>
          <w:rFonts w:hint="eastAsia" w:ascii="仿宋_GB2312" w:hAnsi="仿宋_GB2312" w:cs="仿宋_GB2312"/>
          <w:b/>
          <w:bCs/>
          <w:sz w:val="32"/>
          <w:szCs w:val="32"/>
        </w:rPr>
        <w:t>.强化绩效目标刚性约束，及时对项目进行跟踪问效</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（二）存在问题及原因分析</w:t>
      </w:r>
      <w:bookmarkEnd w:id="18"/>
    </w:p>
    <w:p>
      <w:pPr>
        <w:pStyle w:val="21"/>
        <w:spacing w:line="600" w:lineRule="exact"/>
        <w:ind w:firstLine="640"/>
        <w:rPr>
          <w:rFonts w:ascii="仿宋_GB2312" w:hAnsi="仿宋_GB2312" w:cs="仿宋_GB2312"/>
          <w:b/>
          <w:bCs/>
          <w:sz w:val="32"/>
          <w:szCs w:val="32"/>
        </w:rPr>
      </w:pPr>
      <w:r>
        <w:rPr>
          <w:rFonts w:hint="eastAsia" w:ascii="仿宋_GB2312" w:hAnsi="仿宋_GB2312" w:cs="仿宋_GB2312"/>
          <w:b/>
          <w:bCs/>
          <w:sz w:val="32"/>
          <w:szCs w:val="32"/>
        </w:rPr>
        <w:t>1.绩效预算认识不够充分，绩效理念有待进一步强化</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pPr>
        <w:pStyle w:val="21"/>
        <w:spacing w:line="600" w:lineRule="exact"/>
        <w:ind w:firstLine="640"/>
        <w:rPr>
          <w:rFonts w:ascii="仿宋_GB2312" w:hAnsi="仿宋_GB2312" w:cs="仿宋_GB2312"/>
          <w:b/>
          <w:bCs/>
          <w:sz w:val="32"/>
          <w:szCs w:val="32"/>
        </w:rPr>
      </w:pPr>
      <w:r>
        <w:rPr>
          <w:rFonts w:hint="eastAsia" w:ascii="仿宋_GB2312" w:hAnsi="仿宋_GB2312" w:cs="仿宋_GB2312"/>
          <w:b/>
          <w:bCs/>
          <w:sz w:val="32"/>
          <w:szCs w:val="32"/>
        </w:rPr>
        <w:t>2.绩效档案归档工作有待提高</w:t>
      </w:r>
    </w:p>
    <w:p>
      <w:pPr>
        <w:spacing w:line="600" w:lineRule="exact"/>
        <w:ind w:firstLine="640"/>
        <w:rPr>
          <w:rFonts w:ascii="仿宋_GB2312" w:hAnsi="仿宋_GB2312" w:cs="仿宋_GB2312"/>
          <w:sz w:val="32"/>
        </w:rPr>
      </w:pPr>
      <w:r>
        <w:rPr>
          <w:rFonts w:hint="eastAsia" w:ascii="仿宋_GB2312" w:hAnsi="仿宋_GB2312" w:cs="仿宋_GB2312"/>
          <w:kern w:val="0"/>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w:t>
      </w:r>
      <w:r>
        <w:rPr>
          <w:rFonts w:hint="eastAsia" w:ascii="仿宋_GB2312" w:hAnsi="仿宋_GB2312" w:cs="仿宋_GB2312"/>
          <w:sz w:val="32"/>
        </w:rPr>
        <w:t>理与实际业务存在一定偏差，未发挥其综合价值。</w:t>
      </w:r>
    </w:p>
    <w:p>
      <w:pPr>
        <w:pStyle w:val="21"/>
        <w:spacing w:line="600" w:lineRule="exact"/>
        <w:ind w:firstLine="640"/>
        <w:rPr>
          <w:rFonts w:ascii="仿宋_GB2312" w:hAnsi="仿宋_GB2312" w:cs="仿宋_GB2312"/>
          <w:b/>
          <w:bCs/>
          <w:sz w:val="32"/>
          <w:szCs w:val="32"/>
        </w:rPr>
      </w:pPr>
      <w:r>
        <w:rPr>
          <w:rFonts w:hint="eastAsia" w:ascii="仿宋_GB2312" w:hAnsi="仿宋_GB2312" w:cs="仿宋_GB2312"/>
          <w:b/>
          <w:bCs/>
          <w:sz w:val="32"/>
          <w:szCs w:val="32"/>
        </w:rPr>
        <w:t>3.项目支出绩效评价存在局限，客观性有待加强</w:t>
      </w:r>
    </w:p>
    <w:p>
      <w:pPr>
        <w:pStyle w:val="22"/>
        <w:spacing w:line="600" w:lineRule="exact"/>
        <w:ind w:firstLine="640"/>
        <w:rPr>
          <w:rFonts w:ascii="仿宋_GB2312" w:hAnsi="仿宋_GB2312" w:cs="仿宋_GB2312"/>
          <w:kern w:val="0"/>
          <w:sz w:val="32"/>
          <w:szCs w:val="32"/>
        </w:rPr>
      </w:pPr>
      <w:r>
        <w:rPr>
          <w:rFonts w:hint="eastAsia" w:ascii="仿宋_GB2312" w:hAnsi="仿宋_GB2312" w:cs="仿宋_GB2312"/>
          <w:kern w:val="0"/>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pStyle w:val="2"/>
        <w:spacing w:line="600" w:lineRule="exact"/>
        <w:ind w:firstLine="640"/>
        <w:rPr>
          <w:szCs w:val="32"/>
        </w:rPr>
      </w:pPr>
      <w:r>
        <w:rPr>
          <w:rFonts w:hint="eastAsia"/>
          <w:szCs w:val="32"/>
        </w:rPr>
        <w:t>七、有关建议</w:t>
      </w:r>
    </w:p>
    <w:p>
      <w:pPr>
        <w:pStyle w:val="21"/>
        <w:spacing w:line="600" w:lineRule="exact"/>
        <w:ind w:firstLine="640"/>
        <w:rPr>
          <w:rFonts w:ascii="仿宋_GB2312"/>
          <w:b/>
          <w:bCs/>
          <w:sz w:val="32"/>
          <w:szCs w:val="32"/>
        </w:rPr>
      </w:pPr>
      <w:r>
        <w:rPr>
          <w:rFonts w:hint="eastAsia" w:ascii="仿宋_GB2312"/>
          <w:b/>
          <w:bCs/>
          <w:sz w:val="32"/>
          <w:szCs w:val="32"/>
        </w:rPr>
        <w:t>1.加强培训，提高相关人员工作水平</w:t>
      </w:r>
    </w:p>
    <w:p>
      <w:pPr>
        <w:pStyle w:val="21"/>
        <w:spacing w:line="600" w:lineRule="exact"/>
        <w:ind w:firstLine="640"/>
        <w:rPr>
          <w:sz w:val="32"/>
          <w:szCs w:val="32"/>
        </w:rPr>
      </w:pPr>
      <w:r>
        <w:rPr>
          <w:rFonts w:hint="eastAsia"/>
          <w:sz w:val="32"/>
          <w:szCs w:val="32"/>
        </w:rPr>
        <w:t>采取多种培训形式对单位财务人员、业务科室人员进行集中培训，进一步树牢绩效观念，提高本单位工作人员的绩效管理能力和工作水平，为预算绩效管理相关工作的顺利开展提供保障。</w:t>
      </w:r>
    </w:p>
    <w:p>
      <w:pPr>
        <w:pStyle w:val="21"/>
        <w:spacing w:line="600" w:lineRule="exact"/>
        <w:ind w:firstLine="640"/>
        <w:rPr>
          <w:rFonts w:ascii="仿宋_GB2312"/>
          <w:b/>
          <w:bCs/>
          <w:sz w:val="32"/>
          <w:szCs w:val="32"/>
        </w:rPr>
      </w:pPr>
      <w:r>
        <w:rPr>
          <w:rFonts w:hint="eastAsia" w:ascii="仿宋_GB2312"/>
          <w:b/>
          <w:bCs/>
          <w:sz w:val="32"/>
          <w:szCs w:val="32"/>
        </w:rPr>
        <w:t>2.扎实推进档案规范化建设，提升档案管理水平</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一是进一步完善项目评价资料。项目启动时同步做好档案的归纳与整理，及时整理、收集、汇总，健全档案资料。二是严格落实喀什地区关于绩效管理工作档案资料归档的相关要求，强化收集力度，确保归档资料的完整齐全。</w:t>
      </w:r>
    </w:p>
    <w:p>
      <w:pPr>
        <w:pStyle w:val="21"/>
        <w:spacing w:line="600" w:lineRule="exact"/>
        <w:ind w:firstLine="640"/>
        <w:rPr>
          <w:rFonts w:ascii="仿宋_GB2312"/>
          <w:b/>
          <w:bCs/>
          <w:sz w:val="32"/>
          <w:szCs w:val="32"/>
        </w:rPr>
      </w:pPr>
      <w:r>
        <w:rPr>
          <w:rFonts w:hint="eastAsia" w:ascii="仿宋_GB2312"/>
          <w:b/>
          <w:bCs/>
          <w:sz w:val="32"/>
          <w:szCs w:val="32"/>
        </w:rPr>
        <w:t>3.高度重视，加强领导</w:t>
      </w:r>
    </w:p>
    <w:p>
      <w:pPr>
        <w:pStyle w:val="21"/>
        <w:spacing w:line="600" w:lineRule="exact"/>
        <w:ind w:firstLine="640"/>
        <w:rPr>
          <w:rFonts w:ascii="仿宋_GB2312" w:hAnsi="仿宋_GB2312" w:cs="仿宋_GB2312"/>
          <w:sz w:val="32"/>
          <w:szCs w:val="32"/>
        </w:rPr>
      </w:pPr>
      <w:r>
        <w:rPr>
          <w:rFonts w:hint="eastAsia" w:ascii="仿宋_GB2312"/>
          <w:sz w:val="32"/>
          <w:szCs w:val="32"/>
        </w:rPr>
        <w:t>高度重视，加强领导，精心组织。项目绩效领导小组对绩效评价工作进行指导、监督、检查，确保项目绩效评价反映项目完成真实情况。严格执行项目绩效评价工作要求，切实提高项目绩效报告的</w:t>
      </w:r>
      <w:r>
        <w:rPr>
          <w:rFonts w:hint="eastAsia" w:ascii="仿宋_GB2312" w:hAnsi="仿宋_GB2312" w:cs="仿宋_GB2312"/>
          <w:sz w:val="32"/>
          <w:szCs w:val="32"/>
        </w:rPr>
        <w:t>客观性和公正性。</w:t>
      </w:r>
    </w:p>
    <w:p>
      <w:pPr>
        <w:pStyle w:val="21"/>
        <w:spacing w:line="600" w:lineRule="exact"/>
        <w:ind w:firstLine="640"/>
        <w:rPr>
          <w:rFonts w:ascii="仿宋_GB2312"/>
          <w:b/>
          <w:bCs/>
          <w:sz w:val="32"/>
          <w:szCs w:val="32"/>
        </w:rPr>
      </w:pPr>
      <w:r>
        <w:rPr>
          <w:rFonts w:hint="eastAsia" w:ascii="仿宋_GB2312"/>
          <w:b/>
          <w:bCs/>
          <w:sz w:val="32"/>
          <w:szCs w:val="32"/>
        </w:rPr>
        <w:t>4.</w:t>
      </w:r>
      <w:r>
        <w:rPr>
          <w:rFonts w:ascii="仿宋_GB2312"/>
          <w:b/>
          <w:bCs/>
          <w:sz w:val="32"/>
          <w:szCs w:val="32"/>
        </w:rPr>
        <w:t>加大宣传力度，强化绩效理念</w:t>
      </w:r>
    </w:p>
    <w:p>
      <w:pPr>
        <w:pStyle w:val="21"/>
        <w:spacing w:line="600" w:lineRule="exact"/>
        <w:ind w:firstLine="640"/>
        <w:rPr>
          <w:rFonts w:ascii="仿宋_GB2312"/>
          <w:sz w:val="32"/>
          <w:szCs w:val="32"/>
        </w:rPr>
      </w:pPr>
      <w:r>
        <w:rPr>
          <w:rFonts w:ascii="仿宋_GB2312"/>
          <w:sz w:val="32"/>
          <w:szCs w:val="32"/>
        </w:rPr>
        <w:t>通过召开会议、县级融媒体举办业务讲座等多种形式，组织预算单位的领导和财务人员学习预算绩效法律法规和相关政策，让绩效理念深入人心，让绩效操作人员吃透政策、知行合一。通过专门的工作报告、情况通报、工作简报等方式方法，积极向县委、县政府、人大、政协党政机关和主要党政领导汇报，最大限度争取重视和支持，提升预算绩效管理的权威性。</w:t>
      </w:r>
    </w:p>
    <w:p>
      <w:pPr>
        <w:pStyle w:val="21"/>
        <w:spacing w:line="600" w:lineRule="exact"/>
        <w:ind w:firstLine="640"/>
        <w:rPr>
          <w:rFonts w:ascii="仿宋_GB2312"/>
          <w:b/>
          <w:bCs/>
          <w:sz w:val="32"/>
          <w:szCs w:val="32"/>
        </w:rPr>
      </w:pPr>
      <w:r>
        <w:rPr>
          <w:rFonts w:hint="eastAsia" w:ascii="仿宋_GB2312"/>
          <w:b/>
          <w:bCs/>
          <w:sz w:val="32"/>
          <w:szCs w:val="32"/>
        </w:rPr>
        <w:t>5.</w:t>
      </w:r>
      <w:r>
        <w:rPr>
          <w:rFonts w:ascii="仿宋_GB2312"/>
          <w:b/>
          <w:bCs/>
          <w:sz w:val="32"/>
          <w:szCs w:val="32"/>
        </w:rPr>
        <w:t>加强业务培训，提升专业能力</w:t>
      </w:r>
    </w:p>
    <w:p>
      <w:pPr>
        <w:pStyle w:val="21"/>
        <w:spacing w:line="600" w:lineRule="exact"/>
        <w:ind w:firstLine="640"/>
        <w:rPr>
          <w:rFonts w:ascii="仿宋_GB2312"/>
          <w:sz w:val="32"/>
          <w:szCs w:val="32"/>
        </w:rPr>
      </w:pPr>
      <w:r>
        <w:rPr>
          <w:rFonts w:ascii="仿宋_GB2312"/>
          <w:sz w:val="32"/>
          <w:szCs w:val="32"/>
        </w:rPr>
        <w:t>预算绩效管理是一项专业性、技术性较强的工作，没有人才支撑，只能是纸上谈兵。县级财政部门可多聘请专家学者开展预算绩效管理专题培训班，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由财政部门每年再举办一次预算绩效管理业务知识考试，奖励一批优胜者，巩固并提升预算绩效业务知识，同时也有助于形成一个良性的“新陈代谢”人才生态空间。</w:t>
      </w:r>
    </w:p>
    <w:p>
      <w:pPr>
        <w:pStyle w:val="21"/>
        <w:spacing w:line="600" w:lineRule="exact"/>
        <w:ind w:left="560" w:leftChars="200" w:firstLine="0" w:firstLineChars="0"/>
        <w:rPr>
          <w:rFonts w:ascii="仿宋_GB2312"/>
          <w:b/>
          <w:bCs/>
          <w:sz w:val="32"/>
          <w:szCs w:val="32"/>
        </w:rPr>
      </w:pPr>
      <w:r>
        <w:rPr>
          <w:rFonts w:hint="eastAsia" w:ascii="仿宋_GB2312"/>
          <w:b/>
          <w:bCs/>
          <w:sz w:val="32"/>
          <w:szCs w:val="32"/>
        </w:rPr>
        <w:t>6.</w:t>
      </w:r>
      <w:r>
        <w:rPr>
          <w:rFonts w:ascii="仿宋_GB2312"/>
          <w:b/>
          <w:bCs/>
          <w:sz w:val="32"/>
          <w:szCs w:val="32"/>
        </w:rPr>
        <w:t>健全管理机制，促进深度融合</w:t>
      </w:r>
    </w:p>
    <w:p>
      <w:pPr>
        <w:pStyle w:val="21"/>
        <w:spacing w:line="600" w:lineRule="exact"/>
        <w:ind w:firstLine="640"/>
        <w:rPr>
          <w:rFonts w:ascii="仿宋_GB2312"/>
          <w:sz w:val="32"/>
          <w:szCs w:val="32"/>
        </w:rPr>
      </w:pPr>
      <w:r>
        <w:rPr>
          <w:rFonts w:ascii="仿宋_GB2312"/>
          <w:sz w:val="32"/>
          <w:szCs w:val="32"/>
        </w:rPr>
        <w:t>目前县级财政部门的预算股、资金管理股室和绩效管理股之间的预算绩效业务工作缺乏紧密配合，基本处于脱节状态，必须要加强县级财政部门的预算股、资金管理股和绩效管理股之间的密切沟通和深度融合，真正形成预算绩效一体化管理体系。切实把握财政预算绩效管理的自身规律和本质属性，在明确预算和绩效、资金管理股室与绩效之间相互关系的基础上，突出绩效的“预算”属性。强化和落实预算主体责任，强化绩效目标意识，标本兼治，运用预算安排和资金管理股室的巧实力，推进预算绩效管理过程中的各个环节上强化三者的有机融合，更好发挥四两拨千斤作用。</w:t>
      </w:r>
    </w:p>
    <w:p>
      <w:pPr>
        <w:pStyle w:val="2"/>
        <w:spacing w:line="600" w:lineRule="exact"/>
        <w:ind w:firstLine="640"/>
        <w:rPr>
          <w:szCs w:val="32"/>
        </w:rPr>
      </w:pPr>
      <w:r>
        <w:rPr>
          <w:rFonts w:hint="eastAsia"/>
          <w:szCs w:val="32"/>
        </w:rPr>
        <w:t>八、其他需要说明的问题</w:t>
      </w:r>
    </w:p>
    <w:p>
      <w:pPr>
        <w:pStyle w:val="21"/>
        <w:spacing w:line="600" w:lineRule="exact"/>
        <w:ind w:firstLine="624"/>
        <w:rPr>
          <w:rFonts w:ascii="仿宋_GB2312"/>
          <w:sz w:val="32"/>
          <w:szCs w:val="32"/>
        </w:rPr>
      </w:pPr>
      <w:r>
        <w:rPr>
          <w:rFonts w:hint="eastAsia"/>
          <w:spacing w:val="-4"/>
          <w:sz w:val="32"/>
          <w:szCs w:val="32"/>
        </w:rPr>
        <w:t>“无其他说明内容”。</w:t>
      </w: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2000000000000000000"/>
    <w:charset w:val="86"/>
    <w:family w:val="script"/>
    <w:pitch w:val="default"/>
    <w:sig w:usb0="A00002BF" w:usb1="184F6CFA" w:usb2="00000012" w:usb3="00000000" w:csb0="00040001" w:csb1="00000000"/>
  </w:font>
  <w:font w:name="方正小标宋_GBK">
    <w:panose1 w:val="02000000000000000000"/>
    <w:charset w:val="86"/>
    <w:family w:val="script"/>
    <w:pitch w:val="default"/>
    <w:sig w:usb0="A00002BF" w:usb1="38CF7CFA" w:usb2="00082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602"/>
        <w:tab w:val="clear" w:pos="4153"/>
        <w:tab w:val="clear" w:pos="8306"/>
      </w:tabs>
      <w:ind w:firstLine="360"/>
    </w:pPr>
    <w:r>
      <w:pict>
        <v:shape id="_x0000_s1026"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itSUz9MA&#10;AAADAQAADwAAAAAAAAABACAAAAAiAAAAZHJzL2Rvd25yZXYueG1sUEsBAhQAFAAAAAgAh07iQCT+&#10;CtOyAQAARgMAAA4AAAAAAAAAAQAgAAAAIgEAAGRycy9lMm9Eb2MueG1sUEsFBgAAAAAGAAYAWQEA&#10;AEYFAAAAAA==&#10;">
          <v:path/>
          <v:fill on="f" focussize="0,0"/>
          <v:stroke on="f" weight="0.5pt" joinstyle="miter"/>
          <v:imagedata o:title=""/>
          <o:lock v:ext="edit"/>
          <v:textbox inset="0mm,0mm,0mm,0mm" style="mso-fit-shape-to-text:t;">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21</w:t>
                </w:r>
                <w:r>
                  <w:rPr>
                    <w:rFonts w:hint="eastAsia"/>
                    <w:sz w:val="24"/>
                  </w:rPr>
                  <w:fldChar w:fldCharType="end"/>
                </w:r>
              </w:p>
            </w:txbxContent>
          </v:textbox>
        </v:shape>
      </w:pic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3">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166511E"/>
    <w:multiLevelType w:val="singleLevel"/>
    <w:tmpl w:val="4166511E"/>
    <w:lvl w:ilvl="0" w:tentative="0">
      <w:start w:val="1"/>
      <w:numFmt w:val="chineseCounting"/>
      <w:suff w:val="nothing"/>
      <w:lvlText w:val="（%1）"/>
      <w:lvlJc w:val="left"/>
      <w:pPr>
        <w:ind w:left="-83"/>
      </w:pPr>
      <w:rPr>
        <w:rFonts w:hint="eastAsia"/>
      </w:r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40"/>
  <w:drawingGridVerticalSpacing w:val="204"/>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jI1Yzk0Yzc5NjA0ZTBiY2YzYWFhZjM4ZDA2ZjFkNGQifQ=="/>
  </w:docVars>
  <w:rsids>
    <w:rsidRoot w:val="68291A1A"/>
    <w:rsid w:val="00004DD3"/>
    <w:rsid w:val="000235A3"/>
    <w:rsid w:val="000255DA"/>
    <w:rsid w:val="000545A8"/>
    <w:rsid w:val="0008322F"/>
    <w:rsid w:val="000938B6"/>
    <w:rsid w:val="001472A5"/>
    <w:rsid w:val="0015505A"/>
    <w:rsid w:val="001623FF"/>
    <w:rsid w:val="00166E74"/>
    <w:rsid w:val="00175A91"/>
    <w:rsid w:val="00192D10"/>
    <w:rsid w:val="00197821"/>
    <w:rsid w:val="001A4AC3"/>
    <w:rsid w:val="001B5602"/>
    <w:rsid w:val="001D300E"/>
    <w:rsid w:val="001E2EBD"/>
    <w:rsid w:val="00210D91"/>
    <w:rsid w:val="0021146D"/>
    <w:rsid w:val="00223032"/>
    <w:rsid w:val="002A0995"/>
    <w:rsid w:val="002C7B03"/>
    <w:rsid w:val="002C7DD3"/>
    <w:rsid w:val="002F4254"/>
    <w:rsid w:val="00317926"/>
    <w:rsid w:val="00377CE9"/>
    <w:rsid w:val="00387B99"/>
    <w:rsid w:val="003E4703"/>
    <w:rsid w:val="003F37F5"/>
    <w:rsid w:val="004171F4"/>
    <w:rsid w:val="0043100D"/>
    <w:rsid w:val="0044675F"/>
    <w:rsid w:val="00456FC9"/>
    <w:rsid w:val="004601B7"/>
    <w:rsid w:val="004840A1"/>
    <w:rsid w:val="004977DC"/>
    <w:rsid w:val="004A2B0D"/>
    <w:rsid w:val="004B4870"/>
    <w:rsid w:val="005214C9"/>
    <w:rsid w:val="00527AEB"/>
    <w:rsid w:val="00534E53"/>
    <w:rsid w:val="005A0D91"/>
    <w:rsid w:val="005A5739"/>
    <w:rsid w:val="006270E6"/>
    <w:rsid w:val="0064219C"/>
    <w:rsid w:val="00665084"/>
    <w:rsid w:val="00672706"/>
    <w:rsid w:val="006A2200"/>
    <w:rsid w:val="006B1BC0"/>
    <w:rsid w:val="006C0C28"/>
    <w:rsid w:val="00730720"/>
    <w:rsid w:val="00776F73"/>
    <w:rsid w:val="00780DC1"/>
    <w:rsid w:val="007E058B"/>
    <w:rsid w:val="007E3997"/>
    <w:rsid w:val="007E5863"/>
    <w:rsid w:val="007E7875"/>
    <w:rsid w:val="007F45BB"/>
    <w:rsid w:val="00884D37"/>
    <w:rsid w:val="008A5386"/>
    <w:rsid w:val="008C044E"/>
    <w:rsid w:val="008D241D"/>
    <w:rsid w:val="00931BEF"/>
    <w:rsid w:val="0094358A"/>
    <w:rsid w:val="0094745E"/>
    <w:rsid w:val="00967D29"/>
    <w:rsid w:val="009762A0"/>
    <w:rsid w:val="009957B5"/>
    <w:rsid w:val="009B1503"/>
    <w:rsid w:val="009B3A45"/>
    <w:rsid w:val="00A12D83"/>
    <w:rsid w:val="00A51CD9"/>
    <w:rsid w:val="00A84F08"/>
    <w:rsid w:val="00AA4564"/>
    <w:rsid w:val="00AB718B"/>
    <w:rsid w:val="00AC6871"/>
    <w:rsid w:val="00B2498B"/>
    <w:rsid w:val="00B62943"/>
    <w:rsid w:val="00BB45C5"/>
    <w:rsid w:val="00BE687E"/>
    <w:rsid w:val="00C117F3"/>
    <w:rsid w:val="00C34ECE"/>
    <w:rsid w:val="00C431FD"/>
    <w:rsid w:val="00C45566"/>
    <w:rsid w:val="00C706DD"/>
    <w:rsid w:val="00C76B71"/>
    <w:rsid w:val="00C77EC3"/>
    <w:rsid w:val="00C84E4A"/>
    <w:rsid w:val="00CA56BB"/>
    <w:rsid w:val="00CC305E"/>
    <w:rsid w:val="00CE4D1D"/>
    <w:rsid w:val="00D17507"/>
    <w:rsid w:val="00D20437"/>
    <w:rsid w:val="00D300D4"/>
    <w:rsid w:val="00D35F4A"/>
    <w:rsid w:val="00D375F4"/>
    <w:rsid w:val="00D85D47"/>
    <w:rsid w:val="00DA077A"/>
    <w:rsid w:val="00DF59B3"/>
    <w:rsid w:val="00E1703B"/>
    <w:rsid w:val="00E333EB"/>
    <w:rsid w:val="00E401E2"/>
    <w:rsid w:val="00E56F32"/>
    <w:rsid w:val="00E752D2"/>
    <w:rsid w:val="00E829D1"/>
    <w:rsid w:val="00E944DF"/>
    <w:rsid w:val="00EB54EF"/>
    <w:rsid w:val="00F010D3"/>
    <w:rsid w:val="00F25858"/>
    <w:rsid w:val="00F26424"/>
    <w:rsid w:val="00FA49B8"/>
    <w:rsid w:val="00FB24DF"/>
    <w:rsid w:val="00FC5DC5"/>
    <w:rsid w:val="04E05AB3"/>
    <w:rsid w:val="07D73C24"/>
    <w:rsid w:val="09FE540A"/>
    <w:rsid w:val="0F5348B3"/>
    <w:rsid w:val="12F1313F"/>
    <w:rsid w:val="1310014C"/>
    <w:rsid w:val="164652CE"/>
    <w:rsid w:val="171C4BC7"/>
    <w:rsid w:val="18592889"/>
    <w:rsid w:val="199571A6"/>
    <w:rsid w:val="1AC9525C"/>
    <w:rsid w:val="23AA1BBF"/>
    <w:rsid w:val="245E1E24"/>
    <w:rsid w:val="27BA4440"/>
    <w:rsid w:val="28967AFE"/>
    <w:rsid w:val="2E483E7E"/>
    <w:rsid w:val="2FF22A22"/>
    <w:rsid w:val="317E7A7F"/>
    <w:rsid w:val="33944516"/>
    <w:rsid w:val="39337686"/>
    <w:rsid w:val="3A9C6CF2"/>
    <w:rsid w:val="3E2D1506"/>
    <w:rsid w:val="495E69EE"/>
    <w:rsid w:val="49A75425"/>
    <w:rsid w:val="4BA940AF"/>
    <w:rsid w:val="4E764FA8"/>
    <w:rsid w:val="4FA25921"/>
    <w:rsid w:val="52232583"/>
    <w:rsid w:val="52F57F03"/>
    <w:rsid w:val="55E3727D"/>
    <w:rsid w:val="5D7317A1"/>
    <w:rsid w:val="5EDF9208"/>
    <w:rsid w:val="5FAFB075"/>
    <w:rsid w:val="62D80D42"/>
    <w:rsid w:val="68291A1A"/>
    <w:rsid w:val="690331A8"/>
    <w:rsid w:val="691B1594"/>
    <w:rsid w:val="6CE72B70"/>
    <w:rsid w:val="6F0D6C22"/>
    <w:rsid w:val="6F6618A9"/>
    <w:rsid w:val="6FD35114"/>
    <w:rsid w:val="6FE70C15"/>
    <w:rsid w:val="6FF38B9B"/>
    <w:rsid w:val="721C4081"/>
    <w:rsid w:val="72853476"/>
    <w:rsid w:val="73D9A77D"/>
    <w:rsid w:val="73F90A54"/>
    <w:rsid w:val="74142707"/>
    <w:rsid w:val="7657F55C"/>
    <w:rsid w:val="76D2301A"/>
    <w:rsid w:val="77861774"/>
    <w:rsid w:val="77978BBA"/>
    <w:rsid w:val="77FD56A3"/>
    <w:rsid w:val="786D3A99"/>
    <w:rsid w:val="78EC4E9C"/>
    <w:rsid w:val="79300B45"/>
    <w:rsid w:val="7AFFA044"/>
    <w:rsid w:val="7B77339B"/>
    <w:rsid w:val="7C55A6FE"/>
    <w:rsid w:val="7C7F22A6"/>
    <w:rsid w:val="7D851E5D"/>
    <w:rsid w:val="7E0672B6"/>
    <w:rsid w:val="7EF13B70"/>
    <w:rsid w:val="7EF7BC1E"/>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2">
    <w:name w:val="heading 1"/>
    <w:basedOn w:val="1"/>
    <w:next w:val="1"/>
    <w:qFormat/>
    <w:uiPriority w:val="0"/>
    <w:pPr>
      <w:keepNext/>
      <w:keepLines/>
      <w:ind w:firstLine="964"/>
      <w:outlineLvl w:val="0"/>
    </w:pPr>
    <w:rPr>
      <w:rFonts w:eastAsia="黑体"/>
      <w:kern w:val="44"/>
      <w:sz w:val="32"/>
      <w:szCs w:val="22"/>
    </w:rPr>
  </w:style>
  <w:style w:type="paragraph" w:styleId="3">
    <w:name w:val="heading 2"/>
    <w:basedOn w:val="1"/>
    <w:next w:val="1"/>
    <w:unhideWhenUsed/>
    <w:qFormat/>
    <w:uiPriority w:val="0"/>
    <w:pPr>
      <w:keepNext/>
      <w:keepLines/>
      <w:ind w:firstLine="964"/>
      <w:outlineLvl w:val="1"/>
    </w:pPr>
    <w:rPr>
      <w:rFonts w:ascii="Arial" w:hAnsi="Arial" w:eastAsia="楷体"/>
      <w:b/>
      <w:sz w:val="32"/>
    </w:rPr>
  </w:style>
  <w:style w:type="paragraph" w:styleId="4">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Autospacing="1" w:afterAutospacing="1"/>
      <w:jc w:val="left"/>
    </w:pPr>
    <w:rPr>
      <w:kern w:val="0"/>
      <w:sz w:val="24"/>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Char"/>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3"/>
    <w:qFormat/>
    <w:uiPriority w:val="0"/>
    <w:pPr>
      <w:numPr>
        <w:ilvl w:val="0"/>
        <w:numId w:val="1"/>
      </w:numPr>
      <w:spacing w:before="120" w:after="120" w:line="500" w:lineRule="exact"/>
    </w:pPr>
    <w:rPr>
      <w:rFonts w:ascii="仿宋_GB2312" w:eastAsia="仿宋_GB2312"/>
    </w:rPr>
  </w:style>
  <w:style w:type="character" w:customStyle="1" w:styleId="20">
    <w:name w:val="页脚 Char"/>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3"/>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4"/>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21</Pages>
  <Words>8767</Words>
  <Characters>9144</Characters>
  <Lines>66</Lines>
  <Paragraphs>18</Paragraphs>
  <TotalTime>144</TotalTime>
  <ScaleCrop>false</ScaleCrop>
  <LinksUpToDate>false</LinksUpToDate>
  <CharactersWithSpaces>9157</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2024-05-21T02:22:00Z</dcterms:created>
  <dc:creator>驰远天合-柴万顺-18690160103</dc:creator>
  <cp:lastModifiedBy>Administrator</cp:lastModifiedBy>
  <cp:lastPrinted>2021-03-04T11:49:00Z</cp:lastPrinted>
  <dcterms:modified xsi:type="dcterms:W3CDTF">2025-03-17T08:30:32Z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235B44973DA9A7007EC2D165511795CE_42</vt:lpwstr>
  </property>
</Properties>
</file>