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沙湾市柳毛湾镇卫生院</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 xml:space="preserve">1、主要负责辖区内广大农牧民的基本医疗、 </w:t>
      </w:r>
      <w:r>
        <w:rPr>
          <w:rFonts w:hint="eastAsia" w:ascii="仿宋_GB2312" w:eastAsia="仿宋_GB2312"/>
          <w:sz w:val="32"/>
          <w:szCs w:val="32"/>
          <w:lang w:eastAsia="zh-CN"/>
        </w:rPr>
        <w:t>其他医疗</w:t>
      </w:r>
      <w:r>
        <w:rPr>
          <w:rFonts w:hint="eastAsia" w:ascii="仿宋_GB2312" w:eastAsia="仿宋_GB2312"/>
          <w:sz w:val="32"/>
          <w:szCs w:val="32"/>
        </w:rPr>
        <w:t>服务、预防保健；2、新型农牧区合作医疗的服务与管理；3、乡村统一管理，乡村医生的培训和村卫生室的管理；4、公共卫生监督协管；5、突发公共卫生事件的应急处理；6、恢复期病人的康复治疗与康复指导；7、健康教育等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沙湾市柳毛湾镇卫生院2023年度，实有人数</w:t>
      </w:r>
      <w:r>
        <w:rPr>
          <w:rFonts w:hint="eastAsia" w:ascii="仿宋_GB2312" w:eastAsia="仿宋_GB2312"/>
          <w:sz w:val="32"/>
          <w:szCs w:val="32"/>
          <w:lang w:val="zh-CN"/>
        </w:rPr>
        <w:t>27</w:t>
      </w:r>
      <w:r>
        <w:rPr>
          <w:rFonts w:hint="eastAsia" w:ascii="仿宋_GB2312" w:eastAsia="仿宋_GB2312"/>
          <w:sz w:val="32"/>
          <w:szCs w:val="32"/>
        </w:rPr>
        <w:t>人，其中：在职人员</w:t>
      </w:r>
      <w:r>
        <w:rPr>
          <w:rFonts w:hint="eastAsia" w:ascii="仿宋_GB2312" w:eastAsia="仿宋_GB2312"/>
          <w:sz w:val="32"/>
          <w:szCs w:val="32"/>
          <w:lang w:val="zh-CN"/>
        </w:rPr>
        <w:t>22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单位无下属预算单位，下设9个处室，分别是：药房、护士办公室、公共卫生办公室、化验室、防疫室、妇幼室、B超室、财务室、医保室。</w:t>
      </w:r>
    </w:p>
    <w:p>
      <w:pPr>
        <w:ind w:firstLine="643" w:firstLineChars="200"/>
        <w:rPr>
          <w:rFonts w:ascii="仿宋_GB2312" w:eastAsia="仿宋_GB2312"/>
          <w:b/>
          <w:bCs/>
          <w:sz w:val="32"/>
          <w:szCs w:val="32"/>
        </w:rPr>
      </w:pP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2023年度收入总计458.88万元，其中：本年收入合计458.88万元，使用非财政拨款结余0.00万元，年初结转和结余0.00万元。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2023年度支出总计458.88万元，其中：本年支出合计429.42万元，结余分配0.00万元，年末结转和结余29.45万元。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增加125.76万元</w:t>
      </w:r>
      <w:r>
        <w:rPr>
          <w:rFonts w:hint="eastAsia" w:ascii="仿宋_GB2312" w:eastAsia="仿宋_GB2312"/>
          <w:sz w:val="32"/>
          <w:szCs w:val="32"/>
        </w:rPr>
        <w:t>，增长37.75%，主要原因是：1、本年度增加了2023年调增工资、调增补发基础绩效、考核性工资:2、补发2018年下半年-2020年第一季度绩效工资增加:3、2023年新分配定向医学大学生3名,使得人员工资社保财政收入拨付大幅度增加。</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本年收入458.88万元，其中：财政拨款收入</w:t>
      </w:r>
      <w:r>
        <w:rPr>
          <w:rFonts w:hint="eastAsia" w:ascii="仿宋_GB2312" w:eastAsia="仿宋_GB2312"/>
          <w:sz w:val="32"/>
          <w:szCs w:val="32"/>
          <w:lang w:val="zh-CN"/>
        </w:rPr>
        <w:t>375.76</w:t>
      </w:r>
      <w:r>
        <w:rPr>
          <w:rFonts w:hint="eastAsia" w:ascii="仿宋_GB2312" w:eastAsia="仿宋_GB2312"/>
          <w:sz w:val="32"/>
          <w:szCs w:val="32"/>
        </w:rPr>
        <w:t>万元，占</w:t>
      </w:r>
      <w:r>
        <w:rPr>
          <w:rFonts w:hint="eastAsia" w:ascii="仿宋_GB2312" w:eastAsia="仿宋_GB2312"/>
          <w:sz w:val="32"/>
          <w:szCs w:val="32"/>
          <w:lang w:val="zh-CN"/>
        </w:rPr>
        <w:t>81.89%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83.05</w:t>
      </w:r>
      <w:r>
        <w:rPr>
          <w:rFonts w:hint="eastAsia" w:ascii="仿宋_GB2312" w:eastAsia="仿宋_GB2312"/>
          <w:sz w:val="32"/>
          <w:szCs w:val="32"/>
        </w:rPr>
        <w:t>万元，占</w:t>
      </w:r>
      <w:r>
        <w:rPr>
          <w:rFonts w:hint="eastAsia" w:ascii="仿宋_GB2312" w:eastAsia="仿宋_GB2312"/>
          <w:sz w:val="32"/>
          <w:szCs w:val="32"/>
          <w:lang w:val="zh-CN"/>
        </w:rPr>
        <w:t>18.10%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0.06</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本年支出429.42万元，其中：基本支出356.85万元，占83.10%；项目支出72.57万元，占16.90%；上缴上级支出0.00万元，占0.00%；经营支出0.00万元，占0.00%；对附属单位补助支出0.00万元，占0.00%。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375.76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375.76</w:t>
      </w:r>
      <w:r>
        <w:rPr>
          <w:rFonts w:hint="eastAsia" w:ascii="仿宋_GB2312" w:eastAsia="仿宋_GB2312"/>
          <w:sz w:val="32"/>
          <w:szCs w:val="32"/>
        </w:rPr>
        <w:t>万元。财政拨款支出总计</w:t>
      </w:r>
      <w:r>
        <w:rPr>
          <w:rFonts w:hint="eastAsia" w:ascii="仿宋_GB2312" w:eastAsia="仿宋_GB2312"/>
          <w:sz w:val="32"/>
          <w:szCs w:val="32"/>
          <w:lang w:val="zh-CN"/>
        </w:rPr>
        <w:t>375.76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375.76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增加42.64万元</w:t>
      </w:r>
      <w:r>
        <w:rPr>
          <w:rFonts w:hint="eastAsia" w:ascii="仿宋_GB2312" w:eastAsia="仿宋_GB2312"/>
          <w:sz w:val="32"/>
          <w:szCs w:val="32"/>
        </w:rPr>
        <w:t>，增长12.80%,主要原因是：1、本年度增加了2023年调增工资、调增补发基础绩效、考核性工资:2、补发2018年下半年-2020年第一季度绩效工资增加:3、2023年新分配定向医学大学生3名,使得人员工资社保财政收入拨付大幅度增加。</w:t>
      </w:r>
    </w:p>
    <w:p>
      <w:pPr>
        <w:ind w:firstLine="640" w:firstLineChars="200"/>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274.82</w:t>
      </w:r>
      <w:r>
        <w:rPr>
          <w:rFonts w:hint="eastAsia" w:ascii="仿宋_GB2312" w:eastAsia="仿宋_GB2312"/>
          <w:sz w:val="32"/>
          <w:szCs w:val="32"/>
        </w:rPr>
        <w:t>万元，决算数</w:t>
      </w:r>
      <w:r>
        <w:rPr>
          <w:rFonts w:hint="eastAsia" w:ascii="仿宋_GB2312" w:eastAsia="仿宋_GB2312"/>
          <w:sz w:val="32"/>
          <w:szCs w:val="32"/>
          <w:lang w:val="zh-CN"/>
        </w:rPr>
        <w:t>375.76</w:t>
      </w:r>
      <w:r>
        <w:rPr>
          <w:rFonts w:hint="eastAsia" w:ascii="仿宋_GB2312" w:eastAsia="仿宋_GB2312"/>
          <w:sz w:val="32"/>
          <w:szCs w:val="32"/>
        </w:rPr>
        <w:t>万元，预决算差异率36.73%，主要原因是：1、2023年新分配定向医学大学生3名,使得人员工资社保财政支出增加。2、本年度增加了2023年调增工资、调增补发使社保基数增加。</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2023年度一般公共预算财政拨款支出375.76万元，占本年支出合计的</w:t>
      </w:r>
      <w:r>
        <w:rPr>
          <w:rFonts w:hint="eastAsia" w:ascii="仿宋_GB2312" w:eastAsia="仿宋_GB2312"/>
          <w:sz w:val="32"/>
          <w:szCs w:val="32"/>
          <w:lang w:val="zh-CN"/>
        </w:rPr>
        <w:t>87.50%</w:t>
      </w:r>
      <w:r>
        <w:rPr>
          <w:rFonts w:hint="eastAsia" w:ascii="仿宋_GB2312" w:eastAsia="仿宋_GB2312"/>
          <w:sz w:val="32"/>
          <w:szCs w:val="32"/>
        </w:rPr>
        <w:t>。与上年相比，</w:t>
      </w:r>
      <w:r>
        <w:rPr>
          <w:rFonts w:hint="eastAsia" w:ascii="仿宋_GB2312" w:eastAsia="仿宋_GB2312"/>
          <w:sz w:val="32"/>
          <w:szCs w:val="32"/>
          <w:lang w:val="zh-CN"/>
        </w:rPr>
        <w:t>增加42.64万元</w:t>
      </w:r>
      <w:r>
        <w:rPr>
          <w:rFonts w:hint="eastAsia" w:ascii="仿宋_GB2312" w:eastAsia="仿宋_GB2312"/>
          <w:sz w:val="32"/>
          <w:szCs w:val="32"/>
        </w:rPr>
        <w:t>，增长12.80%,主要原因是：1本年度增加了2023年调增工资、调增补发基础绩效、考核性</w:t>
      </w:r>
      <w:r>
        <w:rPr>
          <w:rFonts w:hint="eastAsia" w:ascii="仿宋_GB2312" w:eastAsia="仿宋_GB2312"/>
          <w:sz w:val="32"/>
          <w:szCs w:val="32"/>
          <w:lang w:eastAsia="zh-CN"/>
        </w:rPr>
        <w:t>工资</w:t>
      </w:r>
      <w:r>
        <w:rPr>
          <w:rFonts w:hint="eastAsia" w:ascii="仿宋_GB2312" w:eastAsia="仿宋_GB2312"/>
          <w:sz w:val="32"/>
          <w:szCs w:val="32"/>
        </w:rPr>
        <w:t>;2、补发2018年下半年-2020年第一季度绩效工资;3、2023年新分配定向医学大学生3名,使得人员工资社保财政支出相应增加。</w:t>
      </w:r>
    </w:p>
    <w:p>
      <w:pPr>
        <w:ind w:firstLine="640" w:firstLineChars="200"/>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274.82</w:t>
      </w:r>
      <w:r>
        <w:rPr>
          <w:rFonts w:hint="eastAsia" w:ascii="仿宋_GB2312" w:eastAsia="仿宋_GB2312"/>
          <w:sz w:val="32"/>
          <w:szCs w:val="32"/>
        </w:rPr>
        <w:t>万元，决算数</w:t>
      </w:r>
      <w:r>
        <w:rPr>
          <w:rFonts w:hint="eastAsia" w:ascii="仿宋_GB2312" w:eastAsia="仿宋_GB2312"/>
          <w:sz w:val="32"/>
          <w:szCs w:val="32"/>
          <w:lang w:val="zh-CN"/>
        </w:rPr>
        <w:t>375.76</w:t>
      </w:r>
      <w:r>
        <w:rPr>
          <w:rFonts w:hint="eastAsia" w:ascii="仿宋_GB2312" w:eastAsia="仿宋_GB2312"/>
          <w:sz w:val="32"/>
          <w:szCs w:val="32"/>
        </w:rPr>
        <w:t>万元，预决算差异率</w:t>
      </w:r>
      <w:r>
        <w:rPr>
          <w:rFonts w:hint="eastAsia" w:ascii="仿宋_GB2312" w:eastAsia="仿宋_GB2312"/>
          <w:sz w:val="32"/>
          <w:szCs w:val="32"/>
          <w:lang w:val="zh-CN"/>
        </w:rPr>
        <w:t>36.73%</w:t>
      </w:r>
      <w:r>
        <w:rPr>
          <w:rFonts w:hint="eastAsia" w:ascii="仿宋_GB2312" w:eastAsia="仿宋_GB2312"/>
          <w:sz w:val="32"/>
          <w:szCs w:val="32"/>
        </w:rPr>
        <w:t>，主要原因是：1、2023年新分配定向医学大学生3名,使得人员工资社保财政支出增加。</w:t>
      </w:r>
      <w:r>
        <w:rPr>
          <w:rFonts w:hint="eastAsia" w:ascii="仿宋_GB2312" w:eastAsia="仿宋_GB2312"/>
          <w:sz w:val="32"/>
          <w:szCs w:val="32"/>
          <w:lang w:val="en-US" w:eastAsia="zh-CN"/>
        </w:rPr>
        <w:t>2、</w:t>
      </w:r>
      <w:r>
        <w:rPr>
          <w:rFonts w:hint="eastAsia" w:ascii="仿宋_GB2312" w:eastAsia="仿宋_GB2312"/>
          <w:sz w:val="32"/>
          <w:szCs w:val="32"/>
        </w:rPr>
        <w:t>本年度增加了2023年调增工资、调增补发使社保基数增加。</w:t>
      </w:r>
    </w:p>
    <w:p>
      <w:pPr>
        <w:ind w:firstLine="640" w:firstLineChars="200"/>
        <w:jc w:val="left"/>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30.64</w:t>
      </w:r>
      <w:r>
        <w:rPr>
          <w:rFonts w:ascii="仿宋_GB2312" w:eastAsia="仿宋_GB2312"/>
          <w:kern w:val="2"/>
          <w:sz w:val="32"/>
          <w:szCs w:val="32"/>
          <w:lang w:val="zh-CN"/>
        </w:rPr>
        <w:t>万元，占</w:t>
      </w:r>
      <w:r>
        <w:rPr>
          <w:rFonts w:hint="eastAsia" w:ascii="仿宋_GB2312" w:eastAsia="仿宋_GB2312"/>
          <w:kern w:val="2"/>
          <w:sz w:val="32"/>
          <w:szCs w:val="32"/>
          <w:lang w:val="zh-CN"/>
        </w:rPr>
        <w:t>8.15%</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322.73</w:t>
      </w:r>
      <w:r>
        <w:rPr>
          <w:rFonts w:ascii="仿宋_GB2312" w:eastAsia="仿宋_GB2312"/>
          <w:kern w:val="2"/>
          <w:sz w:val="32"/>
          <w:szCs w:val="32"/>
          <w:lang w:val="zh-CN"/>
        </w:rPr>
        <w:t>万元，占</w:t>
      </w:r>
      <w:r>
        <w:rPr>
          <w:rFonts w:hint="eastAsia" w:ascii="仿宋_GB2312" w:eastAsia="仿宋_GB2312"/>
          <w:kern w:val="2"/>
          <w:sz w:val="32"/>
          <w:szCs w:val="32"/>
          <w:lang w:val="zh-CN"/>
        </w:rPr>
        <w:t>85.89%</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22.39</w:t>
      </w:r>
      <w:r>
        <w:rPr>
          <w:rFonts w:ascii="仿宋_GB2312" w:eastAsia="仿宋_GB2312"/>
          <w:kern w:val="2"/>
          <w:sz w:val="32"/>
          <w:szCs w:val="32"/>
          <w:lang w:val="zh-CN"/>
        </w:rPr>
        <w:t>万元，占</w:t>
      </w:r>
      <w:r>
        <w:rPr>
          <w:rFonts w:hint="eastAsia" w:ascii="仿宋_GB2312" w:eastAsia="仿宋_GB2312"/>
          <w:kern w:val="2"/>
          <w:sz w:val="32"/>
          <w:szCs w:val="32"/>
          <w:lang w:val="zh-CN"/>
        </w:rPr>
        <w:t>5.96%</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1.卫生健康支出（类）行政事业单位医疗（款）事业单位医疗（项）:支出决算数为12.27万元，比上年决算减少0.36万元，下降2.85%，主要原因是：</w:t>
      </w:r>
      <w:r>
        <w:rPr>
          <w:rFonts w:hint="eastAsia" w:ascii="仿宋_GB2312" w:hAnsi="仿宋_GB2312" w:eastAsia="仿宋_GB2312" w:cs="仿宋_GB2312"/>
          <w:color w:val="auto"/>
          <w:kern w:val="2"/>
          <w:sz w:val="32"/>
          <w:szCs w:val="32"/>
          <w:highlight w:val="none"/>
          <w:lang w:val="en-US" w:eastAsia="zh-CN" w:bidi="ar-SA"/>
        </w:rPr>
        <w:t>2023年度取消退休人员医疗保险</w:t>
      </w:r>
      <w:r>
        <w:rPr>
          <w:rFonts w:hint="eastAsia" w:ascii="仿宋_GB2312" w:eastAsia="仿宋_GB2312"/>
          <w:sz w:val="32"/>
          <w:szCs w:val="32"/>
          <w:highlight w:val="none"/>
          <w:lang w:val="en-US" w:eastAsia="zh-CN"/>
        </w:rPr>
        <w:t>单位医疗支出减少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2.卫生健康支出（类）基层医疗卫生机构（款）其他基层医疗卫生机构支出（项）:支出决算数为20.12万元，比上年决算减少2.68万元，下降11.75%，主要原因是：2023年药品加成拨款减少及部分结转下年。</w:t>
      </w:r>
    </w:p>
    <w:p>
      <w:pPr>
        <w:ind w:firstLine="640" w:firstLineChars="200"/>
        <w:rPr>
          <w:rFonts w:ascii="仿宋_GB2312" w:hAnsi="仿宋_GB2312" w:eastAsia="仿宋_GB2312" w:cs="仿宋_GB2312"/>
          <w:color w:val="FF0000"/>
          <w:sz w:val="32"/>
          <w:szCs w:val="32"/>
          <w:lang w:val="zh-CN"/>
        </w:rPr>
      </w:pPr>
      <w:r>
        <w:rPr>
          <w:rFonts w:hint="eastAsia" w:ascii="仿宋_GB2312" w:hAnsi="仿宋_GB2312" w:eastAsia="仿宋_GB2312" w:cs="仿宋_GB2312"/>
          <w:sz w:val="32"/>
          <w:szCs w:val="32"/>
        </w:rPr>
        <w:t>3.卫生健康支出（类）公共卫生（款）其他公共卫生支出（项）:支出决算数为8.53万元，比上年决算减少15.55万元，下降64.58%，</w:t>
      </w:r>
      <w:r>
        <w:rPr>
          <w:rFonts w:hint="eastAsia" w:ascii="仿宋_GB2312" w:hAnsi="仿宋_GB2312" w:eastAsia="仿宋_GB2312" w:cs="仿宋_GB2312"/>
          <w:color w:val="auto"/>
          <w:sz w:val="32"/>
          <w:szCs w:val="32"/>
        </w:rPr>
        <w:t>主要原因是：辖区内人口减少，导致2023年其他公共卫生服务费用减少，2023年其他公共卫生支出资金-全民体检费结转下年使用</w:t>
      </w:r>
      <w:r>
        <w:rPr>
          <w:rFonts w:hint="eastAsia" w:ascii="仿宋_GB2312" w:hAnsi="仿宋_GB2312" w:eastAsia="仿宋_GB2312" w:cs="仿宋_GB2312"/>
          <w:color w:val="auto"/>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rPr>
        <w:t>4.卫生健康支出（类）基层医疗卫生机构（款）乡镇卫生院（项）:支出决算数为237.88万元，比上年决算增加51.50万元，增长27.63%，主要原因是：1、本年度增加了2023年调增工资、调增补发基础绩效、考核性工资：2、2018年下半年-2020年第一季度补助绩效工资增加：3、2023年新分配定向医学大学生3名,使得人员工资社保财政支出相应增加</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rPr>
        <w:t>5.住房保障支出（类）住房改革支出（款）住房公积金（项）:支出决算数为22.39万元，比上年决算增加4.57万元，增长25.65%，主要原因是：1、2023年住房公积金缴费基数增加：2、2023年新招聘3名工作人员，所以本年度住房公积金缴费增加。</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6.社会保障和就业支出（类）行政事业单位养老支出（款）事业单位离退休（项）:支出决算数为2.64万元，比上年决算增加1.05万元，增长66.04%，主要原因是：</w:t>
      </w:r>
      <w:r>
        <w:rPr>
          <w:rFonts w:hint="eastAsia" w:ascii="仿宋_GB2312" w:eastAsia="仿宋_GB2312"/>
          <w:sz w:val="32"/>
          <w:szCs w:val="32"/>
        </w:rPr>
        <w:t>2023年补发退休基础绩效增资，事业单位离退休支出增加。</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7.卫生健康支出（类）公共卫生（款）基本公共卫生服务（项）:支出决算数为43.93万元，比上年决算减少3.54万元，下降7.46%，主要原因是：开展乡村慢性病走访服务等基本公共卫生服务费用，部分结转下年</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8.社会保障和就业支出（类）行政事业单位养老支出（款）机关事业单位基本养老保险缴费支出（项）:支出决算数为28.00万元，比上年决算增加7.69万元，增长37.86%，主要原因是：1、</w:t>
      </w:r>
      <w:r>
        <w:rPr>
          <w:rFonts w:hint="eastAsia" w:ascii="仿宋_GB2312" w:eastAsia="仿宋_GB2312"/>
          <w:sz w:val="32"/>
          <w:szCs w:val="32"/>
        </w:rPr>
        <w:t>2023年养老社保缴费基数增加；（2）2023年新招聘3名工作人员，所以单位基本养老保险缴费增加。</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9.卫生健康支出（类）公立医院（款）其他公立医院支出（项）:支出决算数为0.00万元，比上年决算减少0.04万元，下降100%，主要原因是：2022年支付了乡镇村卫生室办公经费-医共体远程信息服务费</w:t>
      </w:r>
      <w:r>
        <w:rPr>
          <w:rFonts w:hint="eastAsia" w:ascii="仿宋_GB2312" w:eastAsia="仿宋_GB2312"/>
          <w:sz w:val="32"/>
          <w:szCs w:val="32"/>
        </w:rPr>
        <w:t>0.04万元，2023年未发生</w:t>
      </w:r>
      <w:r>
        <w:rPr>
          <w:rFonts w:hint="eastAsia" w:ascii="仿宋_GB2312" w:hAnsi="仿宋_GB2312" w:eastAsia="仿宋_GB2312" w:cs="仿宋_GB2312"/>
          <w:sz w:val="32"/>
          <w:szCs w:val="32"/>
        </w:rPr>
        <w:t>此项支出。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303.19万元，其中：人员经费302.50万元，包括：基本工资、津贴补贴、奖金、绩效工资、机关事业单位基本养老保险缴费、职工基本医疗保险缴费、其他社会保障缴费、住房公积金、退休费、其他对个人和家庭的补助。</w:t>
      </w:r>
    </w:p>
    <w:p>
      <w:pPr>
        <w:ind w:firstLine="640" w:firstLineChars="200"/>
        <w:jc w:val="left"/>
        <w:rPr>
          <w:rFonts w:ascii="仿宋_GB2312" w:hAnsi="宋体" w:eastAsia="仿宋_GB2312" w:cs="宋体"/>
          <w:kern w:val="0"/>
          <w:sz w:val="32"/>
          <w:szCs w:val="32"/>
        </w:rPr>
      </w:pPr>
      <w:r>
        <w:rPr>
          <w:rFonts w:hint="eastAsia" w:ascii="仿宋_GB2312" w:eastAsia="仿宋_GB2312"/>
          <w:sz w:val="32"/>
          <w:szCs w:val="32"/>
        </w:rPr>
        <w:t>公用经费0.69万元，包括：工会经费0.69万元。</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我单位无此项支出，所以“三公”经费支出0.00万元</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我单位未安排因公出国（境）费；公务用车购置及运行维护费支出0.00万元，占0.00%，比上年增加0.00万元，增长</w:t>
      </w:r>
      <w:r>
        <w:rPr>
          <w:rFonts w:hint="eastAsia" w:ascii="仿宋_GB2312" w:eastAsia="仿宋_GB2312"/>
          <w:color w:val="auto"/>
          <w:spacing w:val="0"/>
          <w:sz w:val="32"/>
          <w:szCs w:val="32"/>
          <w:highlight w:val="none"/>
          <w:lang w:val="en-US"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我单位无此项支出</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我单位无公务接待费支出</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单位无因公出国（境）费支出</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我单位无公务用车运行维护费开支</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原因是：卫生院公益类事业单位，卫生院车辆是救护车。</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无公务接待费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我单位未安排因公出国（境）费，预决算无差异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我单位未安排公务用车购置费，预决算无差异；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我单位未安排因公出国（境）费，预决算无差异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我单位未安排公务接待费，预决算无差异</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320" w:firstLineChars="1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hAnsi="仿宋_GB2312" w:eastAsia="仿宋_GB2312" w:cs="仿宋_GB2312"/>
          <w:sz w:val="32"/>
          <w:szCs w:val="32"/>
          <w:lang w:val="zh-CN"/>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沙湾市柳毛湾镇卫生院（事业单位）公用经费支出0.69万元，</w:t>
      </w:r>
      <w:r>
        <w:rPr>
          <w:rFonts w:hint="eastAsia" w:ascii="仿宋_GB2312" w:hAnsi="仿宋_GB2312" w:eastAsia="仿宋_GB2312" w:cs="仿宋_GB2312"/>
          <w:sz w:val="32"/>
          <w:szCs w:val="32"/>
          <w:lang w:val="zh-CN"/>
        </w:rPr>
        <w:t>比上年增加0.69万元，增长100.00%，主要原因是：</w:t>
      </w:r>
      <w:r>
        <w:rPr>
          <w:rFonts w:hint="eastAsia" w:ascii="仿宋_GB2312" w:eastAsia="仿宋_GB2312"/>
          <w:sz w:val="32"/>
          <w:szCs w:val="32"/>
        </w:rPr>
        <w:t>2023年公用经费支付单位工会经费相关费用，</w:t>
      </w:r>
      <w:r>
        <w:rPr>
          <w:rFonts w:hint="eastAsia" w:ascii="仿宋_GB2312" w:hAnsi="仿宋_GB2312" w:eastAsia="仿宋_GB2312" w:cs="仿宋_GB2312"/>
          <w:sz w:val="32"/>
          <w:szCs w:val="32"/>
        </w:rPr>
        <w:t>拨付工会经费0.69万元</w:t>
      </w:r>
      <w:r>
        <w:rPr>
          <w:rFonts w:hint="eastAsia" w:ascii="仿宋_GB2312" w:hAnsi="仿宋_GB2312" w:eastAsia="仿宋_GB2312" w:cs="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2023年度政府采购支出总额22.29万元，其中：政府采购货物支出5.29万元、政府采购工程支出14.00万元、政府采购服务支出2.99万元。</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授予中小企业合同金额22.29万元，占政府采购支出总额的100.00%，其中：授予小微企业合同金额20.74万元，占政府采购支出总额的93.05%</w:t>
      </w:r>
      <w:r>
        <w:rPr>
          <w:rFonts w:hint="eastAsia" w:ascii="仿宋_GB2312" w:hAnsi="仿宋_GB2312" w:eastAsia="仿宋_GB2312" w:cs="仿宋_GB2312"/>
          <w:sz w:val="32"/>
          <w:szCs w:val="32"/>
        </w:rPr>
        <w:t>。</w:t>
      </w:r>
    </w:p>
    <w:p>
      <w:pPr>
        <w:ind w:firstLine="640" w:firstLineChars="200"/>
        <w:jc w:val="left"/>
        <w:rPr>
          <w:rFonts w:ascii="仿宋_GB2312" w:hAnsi="仿宋_GB2312" w:eastAsia="仿宋_GB2312" w:cs="仿宋_GB2312"/>
          <w:sz w:val="32"/>
          <w:szCs w:val="30"/>
          <w:lang w:val="zh-CN"/>
        </w:rPr>
      </w:pPr>
      <w:bookmarkStart w:id="26" w:name="_Toc8391"/>
      <w:bookmarkStart w:id="27" w:name="_Toc4591"/>
      <w:r>
        <w:rPr>
          <w:rFonts w:hint="eastAsia" w:ascii="仿宋_GB2312" w:hAnsi="仿宋_GB2312" w:eastAsia="仿宋_GB2312" w:cs="仿宋_GB2312"/>
          <w:sz w:val="32"/>
          <w:szCs w:val="30"/>
          <w:lang w:val="zh-CN"/>
        </w:rPr>
        <w:t>（三）国有资产占用情况说明</w:t>
      </w:r>
      <w:bookmarkEnd w:id="26"/>
      <w:bookmarkEnd w:id="27"/>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362.48</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屋1,341.00平方米，价值181.48万元。车辆1辆，价值15.51万元，其中：副部（省）级及以上领导用车0辆、主要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用车0辆、机要通信用车0辆、应急保障用车0辆、执法执勤用车0辆、特种专业技术用车1辆、离退休干部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用车0辆、其他用车0辆，其他用车主要是：无其他用车辆。单价100万元（含）以上设备（不含车辆）0</w:t>
      </w:r>
      <w:r>
        <w:rPr>
          <w:rFonts w:hint="eastAsia" w:ascii="仿宋_GB2312" w:hAnsi="仿宋_GB2312" w:eastAsia="仿宋_GB2312" w:cs="仿宋_GB2312"/>
          <w:sz w:val="32"/>
          <w:szCs w:val="32"/>
        </w:rPr>
        <w:t>台（套）</w:t>
      </w:r>
      <w:r>
        <w:rPr>
          <w:rFonts w:hint="eastAsia" w:ascii="仿宋_GB2312" w:hAnsi="仿宋_GB2312" w:eastAsia="仿宋_GB2312" w:cs="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预算总额392.32万元，实际执行总额375.75万元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预算绩效评价项目6个，全年预算数</w:t>
      </w:r>
      <w:r>
        <w:rPr>
          <w:rFonts w:hint="eastAsia" w:ascii="仿宋_GB2312" w:eastAsia="仿宋_GB2312"/>
          <w:color w:val="auto"/>
          <w:sz w:val="32"/>
          <w:szCs w:val="32"/>
        </w:rPr>
        <w:t>8</w:t>
      </w:r>
      <w:r>
        <w:rPr>
          <w:rFonts w:hint="eastAsia" w:ascii="仿宋_GB2312" w:eastAsia="仿宋_GB2312"/>
          <w:color w:val="auto"/>
          <w:sz w:val="32"/>
          <w:szCs w:val="32"/>
          <w:lang w:val="en-US" w:eastAsia="zh-CN"/>
        </w:rPr>
        <w:t>5.69</w:t>
      </w:r>
      <w:r>
        <w:rPr>
          <w:rFonts w:hint="eastAsia" w:ascii="仿宋_GB2312" w:eastAsia="仿宋_GB2312"/>
          <w:color w:val="auto"/>
          <w:sz w:val="32"/>
          <w:szCs w:val="32"/>
        </w:rPr>
        <w:t>万元，全年执行数72.5</w:t>
      </w:r>
      <w:r>
        <w:rPr>
          <w:rFonts w:hint="eastAsia" w:ascii="仿宋_GB2312" w:eastAsia="仿宋_GB2312"/>
          <w:color w:val="auto"/>
          <w:sz w:val="32"/>
          <w:szCs w:val="32"/>
          <w:lang w:val="en-US" w:eastAsia="zh-CN"/>
        </w:rPr>
        <w:t>7</w:t>
      </w:r>
      <w:r>
        <w:rPr>
          <w:rFonts w:hint="eastAsia" w:ascii="仿宋_GB2312" w:eastAsia="仿宋_GB2312"/>
          <w:sz w:val="32"/>
          <w:szCs w:val="32"/>
        </w:rPr>
        <w:t>万元。预算绩效管理取得的成效：一是通过对每笔资金的细致化管理来保障资金使用的合规、合法性，</w:t>
      </w:r>
      <w:bookmarkStart w:id="48" w:name="_GoBack"/>
      <w:bookmarkEnd w:id="48"/>
      <w:r>
        <w:rPr>
          <w:rFonts w:hint="eastAsia" w:ascii="仿宋_GB2312" w:eastAsia="仿宋_GB2312"/>
          <w:sz w:val="32"/>
          <w:szCs w:val="32"/>
        </w:rPr>
        <w:t>并据此分析各类资金支出产生的效益，使本单位的绩效工作上一个新台阶；二是在项目实施过程中，业务人员加强项目管理，合理控制项目成本。发现的问题及原因：一是预算编制前根据年度内单位可预见的工作任务，确定了单位年度预算目标，细化了预算指标，但是在实际支付过程中，个别时候未严格按照预算指标执行；二是在预算绩效管理工作中，存在“重投入轻管理、重支出轻绩效”的情况，对全面实施预算绩效管理的要求认识还不到位，项目申报、实施等环节与预算绩效管理各个环节联系不够紧密。下一步改进措施：一是认真学习财务知识，加强单位内部管理，保障正常工作的开展。加强预算绩效管理，进一步加强单位的资金管理，减少资金使用的随意性，对资金事前、事中、事后进行全过程控制；二是加强各科室的衔接，明确分工，协调专人负责，确保项目的实施。</w:t>
      </w:r>
    </w:p>
    <w:p>
      <w:pPr>
        <w:ind w:firstLine="640" w:firstLineChars="200"/>
        <w:jc w:val="left"/>
        <w:rPr>
          <w:rFonts w:ascii="仿宋_GB2312" w:eastAsia="仿宋_GB2312"/>
          <w:sz w:val="32"/>
          <w:szCs w:val="32"/>
        </w:rPr>
      </w:pPr>
      <w:r>
        <w:rPr>
          <w:rFonts w:hint="eastAsia" w:ascii="仿宋_GB2312" w:eastAsia="仿宋_GB2312"/>
          <w:sz w:val="32"/>
          <w:szCs w:val="32"/>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FmYzAxNmM5YWFiMDhhNWY3ZjExYTQ2MTY4NGEyYjIifQ=="/>
    <w:docVar w:name="KSO_WPS_MARK_KEY" w:val="41ee2a61-2d54-4f93-83be-afdb9a40d732"/>
  </w:docVars>
  <w:rsids>
    <w:rsidRoot w:val="001460F6"/>
    <w:rsid w:val="001460F6"/>
    <w:rsid w:val="00213C59"/>
    <w:rsid w:val="003210CE"/>
    <w:rsid w:val="00692AD0"/>
    <w:rsid w:val="006B1BF5"/>
    <w:rsid w:val="0079399F"/>
    <w:rsid w:val="00811727"/>
    <w:rsid w:val="00A51104"/>
    <w:rsid w:val="00A52A56"/>
    <w:rsid w:val="00B70D59"/>
    <w:rsid w:val="00D53D27"/>
    <w:rsid w:val="00F52A8D"/>
    <w:rsid w:val="019404F8"/>
    <w:rsid w:val="01C30B6B"/>
    <w:rsid w:val="01ED22F2"/>
    <w:rsid w:val="029B5552"/>
    <w:rsid w:val="02BD3108"/>
    <w:rsid w:val="02F73D26"/>
    <w:rsid w:val="03074628"/>
    <w:rsid w:val="0333644D"/>
    <w:rsid w:val="034D4FEF"/>
    <w:rsid w:val="035D1785"/>
    <w:rsid w:val="039F47CE"/>
    <w:rsid w:val="03BD5310"/>
    <w:rsid w:val="03E05CE8"/>
    <w:rsid w:val="03F973EE"/>
    <w:rsid w:val="041A0822"/>
    <w:rsid w:val="043E5B56"/>
    <w:rsid w:val="04C04386"/>
    <w:rsid w:val="04D1736D"/>
    <w:rsid w:val="04D96608"/>
    <w:rsid w:val="04F210E4"/>
    <w:rsid w:val="04FA440D"/>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3D6121"/>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0AA4175"/>
    <w:rsid w:val="110D3BEF"/>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075828"/>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C70647"/>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4C2236"/>
    <w:rsid w:val="2483647E"/>
    <w:rsid w:val="24A32D55"/>
    <w:rsid w:val="24CE6D9A"/>
    <w:rsid w:val="25292727"/>
    <w:rsid w:val="252E5CA9"/>
    <w:rsid w:val="256F7692"/>
    <w:rsid w:val="25835E13"/>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371842"/>
    <w:rsid w:val="2C6F314E"/>
    <w:rsid w:val="2CA03777"/>
    <w:rsid w:val="2CC206BE"/>
    <w:rsid w:val="2D1136DF"/>
    <w:rsid w:val="2D20606D"/>
    <w:rsid w:val="2D6729FE"/>
    <w:rsid w:val="2DB87198"/>
    <w:rsid w:val="2DB93C54"/>
    <w:rsid w:val="2E3D144C"/>
    <w:rsid w:val="2E517411"/>
    <w:rsid w:val="2E891204"/>
    <w:rsid w:val="2F3F0A28"/>
    <w:rsid w:val="2FBF7029"/>
    <w:rsid w:val="2FD0187F"/>
    <w:rsid w:val="2FD27414"/>
    <w:rsid w:val="2FFE4BB0"/>
    <w:rsid w:val="300E7B60"/>
    <w:rsid w:val="300F6E18"/>
    <w:rsid w:val="30862F5F"/>
    <w:rsid w:val="30A4775A"/>
    <w:rsid w:val="314029C9"/>
    <w:rsid w:val="31A218C3"/>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B17D5C"/>
    <w:rsid w:val="36C549FD"/>
    <w:rsid w:val="378D3B13"/>
    <w:rsid w:val="37A755DD"/>
    <w:rsid w:val="37F33BFE"/>
    <w:rsid w:val="37F94FA0"/>
    <w:rsid w:val="380D3381"/>
    <w:rsid w:val="38115B1F"/>
    <w:rsid w:val="383C7F43"/>
    <w:rsid w:val="385E3AC3"/>
    <w:rsid w:val="387D6B9E"/>
    <w:rsid w:val="38806054"/>
    <w:rsid w:val="389C57DF"/>
    <w:rsid w:val="38B75FF0"/>
    <w:rsid w:val="38D45016"/>
    <w:rsid w:val="38D90432"/>
    <w:rsid w:val="3914510A"/>
    <w:rsid w:val="3926770B"/>
    <w:rsid w:val="3982065B"/>
    <w:rsid w:val="398D3668"/>
    <w:rsid w:val="39DA0497"/>
    <w:rsid w:val="3A893816"/>
    <w:rsid w:val="3A893B6D"/>
    <w:rsid w:val="3A9007D6"/>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95F48"/>
    <w:rsid w:val="3EBF1A11"/>
    <w:rsid w:val="3EC52607"/>
    <w:rsid w:val="3EEC6CEF"/>
    <w:rsid w:val="3F183429"/>
    <w:rsid w:val="3F8D622B"/>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48264E2"/>
    <w:rsid w:val="44B37F65"/>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9A47146"/>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B010FC"/>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3349C6"/>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856462"/>
    <w:rsid w:val="5ED44800"/>
    <w:rsid w:val="5F004F3C"/>
    <w:rsid w:val="5F350BDE"/>
    <w:rsid w:val="5F61632C"/>
    <w:rsid w:val="5FA17648"/>
    <w:rsid w:val="5FE705CB"/>
    <w:rsid w:val="6007714E"/>
    <w:rsid w:val="603D5080"/>
    <w:rsid w:val="606842D0"/>
    <w:rsid w:val="608A0F84"/>
    <w:rsid w:val="60D0261B"/>
    <w:rsid w:val="618E3791"/>
    <w:rsid w:val="61947DCA"/>
    <w:rsid w:val="61A46A97"/>
    <w:rsid w:val="61A740AD"/>
    <w:rsid w:val="61D1382F"/>
    <w:rsid w:val="61F114A2"/>
    <w:rsid w:val="6217722E"/>
    <w:rsid w:val="622B0ABA"/>
    <w:rsid w:val="62512BB4"/>
    <w:rsid w:val="625D7D1A"/>
    <w:rsid w:val="62660469"/>
    <w:rsid w:val="62DD7D21"/>
    <w:rsid w:val="637D586B"/>
    <w:rsid w:val="63A5560B"/>
    <w:rsid w:val="63E9091F"/>
    <w:rsid w:val="64322AF9"/>
    <w:rsid w:val="64D6010D"/>
    <w:rsid w:val="64D82665"/>
    <w:rsid w:val="64E47C96"/>
    <w:rsid w:val="651765C1"/>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1C1A7F"/>
    <w:rsid w:val="693748F0"/>
    <w:rsid w:val="69846A0E"/>
    <w:rsid w:val="69AA1366"/>
    <w:rsid w:val="69AD798C"/>
    <w:rsid w:val="69D005C0"/>
    <w:rsid w:val="69D80B96"/>
    <w:rsid w:val="69F47AD7"/>
    <w:rsid w:val="6A2C39D4"/>
    <w:rsid w:val="6AAA6452"/>
    <w:rsid w:val="6B68175F"/>
    <w:rsid w:val="6BFD799F"/>
    <w:rsid w:val="6C4A2E5A"/>
    <w:rsid w:val="6C616E7B"/>
    <w:rsid w:val="6C8138D0"/>
    <w:rsid w:val="6CEF0725"/>
    <w:rsid w:val="6D4B2604"/>
    <w:rsid w:val="6D77358F"/>
    <w:rsid w:val="6D8030E4"/>
    <w:rsid w:val="6E0E35C4"/>
    <w:rsid w:val="6E0F7A08"/>
    <w:rsid w:val="6E3947F5"/>
    <w:rsid w:val="6E6733A0"/>
    <w:rsid w:val="6E6E3938"/>
    <w:rsid w:val="6E9C74ED"/>
    <w:rsid w:val="6EF72976"/>
    <w:rsid w:val="6F0107FE"/>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34A0D"/>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C43C8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DE3678"/>
    <w:rsid w:val="7DF84014"/>
    <w:rsid w:val="7E207949"/>
    <w:rsid w:val="7E5C0A47"/>
    <w:rsid w:val="7E670C75"/>
    <w:rsid w:val="7EE24272"/>
    <w:rsid w:val="7EEA6053"/>
    <w:rsid w:val="7F487C04"/>
    <w:rsid w:val="7F611CBA"/>
    <w:rsid w:val="7FB45F21"/>
    <w:rsid w:val="7FE57088"/>
    <w:rsid w:val="7FF37FA3"/>
    <w:rsid w:val="7FF50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5856</Words>
  <Characters>6621</Characters>
  <Lines>53</Lines>
  <Paragraphs>15</Paragraphs>
  <TotalTime>11</TotalTime>
  <ScaleCrop>false</ScaleCrop>
  <LinksUpToDate>false</LinksUpToDate>
  <CharactersWithSpaces>6633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2025-01-08T10:21:48Z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1F3E723F0C1D4261A4273FD8D2CD2F14_13</vt:lpwstr>
  </property>
</Properties>
</file>