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沙湾市曹家坡牧场卫生院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rPr>
        <w:t>（一）主要负责辖区内广大农牧民的基本医疗、预防保健。</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（二）公共卫生事件的处理；承担乡村现场应急救护、转诊服务和康复服务。</w:t>
      </w:r>
      <w:r>
        <w:rPr>
          <w:rFonts w:hint="eastAsia" w:ascii="仿宋_GB2312" w:eastAsia="仿宋_GB2312"/>
          <w:sz w:val="32"/>
          <w:szCs w:val="32"/>
          <w:highlight w:val="none"/>
        </w:rPr>
        <w:br w:type="textWrapping"/>
      </w:r>
      <w:r>
        <w:rPr>
          <w:rFonts w:hint="eastAsia" w:ascii="仿宋_GB2312" w:eastAsia="仿宋_GB2312"/>
          <w:sz w:val="32"/>
          <w:szCs w:val="32"/>
          <w:highlight w:val="none"/>
        </w:rPr>
        <w:t>　　（三）做好基本公共卫生服务等项目：1、提供公共卫生承担农村居民健康档案规范建档指导、管理及服务普及卫生保健常识，在重点人群和重点场所开展健康教育，帮助居民形成有利于维护和增进健康的行为方式。2、提供并组织实施辖区预防接种服务，落实国家免疫规划。3、开展新生儿访视及儿童保健系统管理，进行体格检查和生长发育监测及评价，开展健康指导。开展孕产妇保健系统管理和产后访视，进行一般体格检查及孕期营养、心理等健康指导。4、对辖区65岁及以上老年人进行登记管理，进行健康危险因素调查和一般体格检查，开展健康指导。5、对确诊高血压、糖尿病等慢性病病例进行指导、登记管理、定期随访和健康指导。6、对辖区重性精神疾病患者进行登记管理、康复指导。7、做好体检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(四）执行国家基本药物制度药品</w:t>
      </w:r>
      <w:r>
        <w:rPr>
          <w:rFonts w:hint="eastAsia" w:ascii="仿宋_GB2312" w:eastAsia="仿宋_GB2312"/>
          <w:sz w:val="32"/>
          <w:szCs w:val="32"/>
          <w:highlight w:val="none"/>
          <w:lang w:eastAsia="zh-CN"/>
        </w:rPr>
        <w:t>集中采购</w:t>
      </w:r>
      <w:r>
        <w:rPr>
          <w:rFonts w:hint="eastAsia" w:ascii="仿宋_GB2312" w:eastAsia="仿宋_GB2312"/>
          <w:sz w:val="32"/>
          <w:szCs w:val="32"/>
          <w:highlight w:val="none"/>
        </w:rPr>
        <w:t>、零差率销售等政策，为实施一体化管理的村卫生室统一代购药品。</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（五）做好卫生监督协管各项工作，对村卫生室工作进行指导，培训，考核。严格执行</w:t>
      </w:r>
      <w:r>
        <w:rPr>
          <w:rFonts w:hint="eastAsia" w:ascii="仿宋_GB2312" w:eastAsia="仿宋_GB2312"/>
          <w:sz w:val="32"/>
          <w:szCs w:val="32"/>
          <w:highlight w:val="none"/>
          <w:lang w:eastAsia="zh-CN"/>
        </w:rPr>
        <w:t>城乡居民基本医疗保险</w:t>
      </w:r>
      <w:r>
        <w:rPr>
          <w:rFonts w:hint="eastAsia" w:ascii="仿宋_GB2312" w:eastAsia="仿宋_GB2312"/>
          <w:sz w:val="32"/>
          <w:szCs w:val="32"/>
          <w:highlight w:val="none"/>
        </w:rPr>
        <w:t>政策。</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（六）深入推进乡村卫生服务一体化管理，对村卫生室实行以行政、人员、业务、药品、财产为基本内容的“五统一”规范管理；负责村卫生室的技术指导和乡村医生培训等工作。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沙湾市曹家坡牧场卫生院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29374"/>
      <w:bookmarkStart w:id="7" w:name="_Toc3092"/>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sz w:val="32"/>
          <w:szCs w:val="32"/>
          <w:highlight w:val="none"/>
          <w:lang w:eastAsia="zh-CN"/>
        </w:rPr>
        <w:t>下设</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个处室，分别是：药房、医生办公室、护士办公室。</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73.40万元，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73.40万元，使用非财政拨款结余0.00万元，年初结转和结余0.00万元。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73.40万元，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73.40万元，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增加21.46万元</w:t>
      </w:r>
      <w:r>
        <w:rPr>
          <w:rFonts w:hint="eastAsia" w:ascii="仿宋_GB2312" w:eastAsia="仿宋_GB2312"/>
          <w:color w:val="auto"/>
          <w:spacing w:val="0"/>
          <w:sz w:val="32"/>
          <w:szCs w:val="32"/>
          <w:highlight w:val="none"/>
          <w:lang w:eastAsia="zh-CN"/>
        </w:rPr>
        <w:t>，增长41.32%，主要原因是：</w:t>
      </w:r>
      <w:r>
        <w:rPr>
          <w:rFonts w:hint="eastAsia" w:ascii="仿宋_GB2312" w:eastAsia="仿宋_GB2312"/>
          <w:color w:val="auto"/>
          <w:spacing w:val="0"/>
          <w:sz w:val="32"/>
          <w:szCs w:val="32"/>
          <w:highlight w:val="none"/>
          <w:lang w:val="en-US" w:eastAsia="zh-CN"/>
        </w:rPr>
        <w:t>1、2023年人员工资调资；2、</w:t>
      </w:r>
      <w:r>
        <w:rPr>
          <w:rFonts w:hint="eastAsia" w:ascii="仿宋_GB2312" w:eastAsia="仿宋_GB2312"/>
          <w:sz w:val="32"/>
          <w:szCs w:val="32"/>
          <w:highlight w:val="none"/>
          <w:lang w:val="en-US" w:eastAsia="zh-CN"/>
        </w:rPr>
        <w:t>2023年支付2018年下半年及2020年绩效工资，相应的人员经费增加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73.40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73.40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本年支出73.40万元，其中：基本支出60.41万元，占82.30%；项目支出12.99万元，占17.70%；上缴上级支出0.00万元，占0.00%；经营支出0.00万元，占0.00%；对附属单位补助支出0.00万元，占0.00%。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73.40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73.40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73.40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73.40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增加21.46万元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增长41.32%,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lang w:val="en-US" w:eastAsia="zh-CN"/>
        </w:rPr>
        <w:t>2023年人员工资调资；二是2023年支付2018年下半年及2020年绩效工资，相应的人员经费增加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69.03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73.40</w:t>
      </w:r>
      <w:r>
        <w:rPr>
          <w:rFonts w:hint="eastAsia" w:ascii="仿宋_GB2312" w:eastAsia="仿宋_GB2312"/>
          <w:color w:val="auto"/>
          <w:spacing w:val="0"/>
          <w:sz w:val="32"/>
          <w:szCs w:val="32"/>
          <w:highlight w:val="none"/>
          <w:lang w:eastAsia="zh-CN"/>
        </w:rPr>
        <w:t>万元，预决算差异率6.33%，主要原因是：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lang w:val="en-US" w:eastAsia="zh-CN"/>
        </w:rPr>
        <w:t>2023年人员工资调资；二是2023年支付2018年下半年及2020年绩效工资，相应的人员经费增加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2023年度一般公共预算财政拨款支出73.40万元，占本年支出合计的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增加21.46万元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增长41.32%,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lang w:val="en-US" w:eastAsia="zh-CN"/>
        </w:rPr>
        <w:t>2023年人员工资调资；二是2023年支付2018年下半年及2020年绩效工资，相应的人员经费增加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69.03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73.40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lang w:val="en-US" w:eastAsia="zh-CN"/>
        </w:rPr>
        <w:t>2023年人员工资调资；二是2023年支付2018年下半年及2020年绩效工资，相应的人员经费增加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63.41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86.39%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6.3</w:t>
      </w: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1.卫生健康支出（类）行政事业单位医疗（款）事业单位医疗（项）:支出决算数为2.39万元，比上年决算增加0.25万元，增长11.68%，主要原因是：人员工资增长，医疗保险缴费基数调增，事业单位医疗支出增加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2.卫生健康支出（类）基层医疗卫生机构（款）其他基层医疗卫生机构支出（项）:支出决算数为12.99万元，比上年决算增加12.99万元，增长100%，主要原因是：本年度新增</w:t>
      </w:r>
      <w:r>
        <w:rPr>
          <w:rFonts w:hint="eastAsia" w:ascii="仿宋_GB2312" w:hAnsi="仿宋_GB2312" w:eastAsia="仿宋_GB2312" w:cs="仿宋_GB2312"/>
          <w:color w:val="auto"/>
          <w:kern w:val="2"/>
          <w:sz w:val="32"/>
          <w:szCs w:val="32"/>
          <w:highlight w:val="none"/>
          <w:lang w:val="zh-CN" w:eastAsia="zh-CN" w:bidi="ar-SA"/>
        </w:rPr>
        <w:t>卫生院门诊</w:t>
      </w:r>
      <w:r>
        <w:rPr>
          <w:rFonts w:hint="eastAsia" w:ascii="仿宋_GB2312" w:hAnsi="仿宋_GB2312" w:eastAsia="仿宋_GB2312" w:cs="仿宋_GB2312"/>
          <w:color w:val="auto"/>
          <w:kern w:val="2"/>
          <w:sz w:val="32"/>
          <w:szCs w:val="32"/>
          <w:highlight w:val="none"/>
          <w:lang w:val="en-US" w:eastAsia="zh-CN" w:bidi="ar-SA"/>
        </w:rPr>
        <w:t>部</w:t>
      </w:r>
      <w:r>
        <w:rPr>
          <w:rFonts w:hint="eastAsia" w:ascii="仿宋_GB2312" w:hAnsi="仿宋_GB2312" w:eastAsia="仿宋_GB2312" w:cs="仿宋_GB2312"/>
          <w:color w:val="auto"/>
          <w:kern w:val="2"/>
          <w:sz w:val="32"/>
          <w:szCs w:val="32"/>
          <w:highlight w:val="none"/>
          <w:lang w:val="zh-CN" w:eastAsia="zh-CN" w:bidi="ar-SA"/>
        </w:rPr>
        <w:t>建设工程，</w:t>
      </w:r>
      <w:r>
        <w:rPr>
          <w:rFonts w:hint="eastAsia" w:ascii="仿宋_GB2312" w:hAnsi="仿宋_GB2312" w:eastAsia="仿宋_GB2312" w:cs="仿宋_GB2312"/>
          <w:color w:val="auto"/>
          <w:kern w:val="2"/>
          <w:sz w:val="32"/>
          <w:szCs w:val="32"/>
          <w:highlight w:val="none"/>
          <w:lang w:val="en-US" w:eastAsia="zh-CN" w:bidi="ar-SA"/>
        </w:rPr>
        <w:t>支付了工程款。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3.卫生健康支出（类）基层医疗卫生机构（款）乡镇卫生院（项）:支出决算数为48.03万元，比上年决算增加6.38万元，增长15.32%，主要原因是：</w:t>
      </w:r>
      <w:r>
        <w:rPr>
          <w:rFonts w:hint="eastAsia" w:ascii="仿宋_GB2312" w:eastAsia="仿宋_GB2312"/>
          <w:color w:val="auto"/>
          <w:spacing w:val="0"/>
          <w:sz w:val="32"/>
          <w:szCs w:val="32"/>
          <w:highlight w:val="none"/>
          <w:lang w:val="en-US" w:eastAsia="zh-CN"/>
        </w:rPr>
        <w:t>一是</w:t>
      </w:r>
      <w:r>
        <w:rPr>
          <w:rFonts w:hint="eastAsia" w:ascii="仿宋_GB2312" w:eastAsia="仿宋_GB2312"/>
          <w:sz w:val="32"/>
          <w:szCs w:val="32"/>
          <w:highlight w:val="none"/>
          <w:lang w:val="en-US" w:eastAsia="zh-CN"/>
        </w:rPr>
        <w:t>2023年人员工资调资；二是</w:t>
      </w:r>
      <w:bookmarkStart w:id="49" w:name="_GoBack"/>
      <w:bookmarkEnd w:id="49"/>
      <w:r>
        <w:rPr>
          <w:rFonts w:hint="eastAsia" w:ascii="仿宋_GB2312" w:eastAsia="仿宋_GB2312"/>
          <w:sz w:val="32"/>
          <w:szCs w:val="32"/>
          <w:highlight w:val="none"/>
          <w:lang w:val="en-US" w:eastAsia="zh-CN"/>
        </w:rPr>
        <w:t>2023年支付2018年下半年及2020年绩效工资，相应的人员经费增加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4.住房保障支出（类）住房改革支出（款）住房公积金（项）:支出决算数为4.65万元，比上年决算增加0.72万元，增长18.32%，主要原因是：人员工资增长，住房公积金缴费基数调增，住房公积金支出增加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5.33万元，比上年决算增加1.11万元，增长26.30%，主要原因是：人员工资增长，养老保险缴费基数调增，机关事业单位基本养老保险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60.41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60.25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7314"/>
      <w:bookmarkStart w:id="19" w:name="_Toc1235"/>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中固定资产车辆0</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无车辆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5810"/>
      <w:bookmarkStart w:id="21"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沙湾市曹家坡牧场卫生院（事业单位）公用经费支出0.16万元，</w:t>
      </w:r>
      <w:r>
        <w:rPr>
          <w:rFonts w:hint="eastAsia" w:ascii="仿宋_GB2312" w:hAnsi="仿宋_GB2312" w:eastAsia="仿宋_GB2312" w:cs="仿宋_GB2312"/>
          <w:color w:val="auto"/>
          <w:sz w:val="32"/>
          <w:szCs w:val="32"/>
          <w:highlight w:val="none"/>
          <w:lang w:val="zh-CN" w:eastAsia="zh-CN"/>
        </w:rPr>
        <w:t>比上年增加0.16万元，增长100.00%，主要原因是：</w:t>
      </w:r>
      <w:r>
        <w:rPr>
          <w:rFonts w:hint="eastAsia" w:ascii="仿宋_GB2312" w:hAnsi="仿宋_GB2312" w:eastAsia="仿宋_GB2312" w:cs="仿宋_GB2312"/>
          <w:color w:val="auto"/>
          <w:sz w:val="32"/>
          <w:szCs w:val="32"/>
          <w:highlight w:val="none"/>
          <w:lang w:val="en-US" w:eastAsia="zh-CN"/>
        </w:rPr>
        <w:t>2023年支付工会经费0.16万元，2022年未安排</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9.17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bookmarkStart w:id="30" w:name="_Toc24143"/>
      <w:bookmarkStart w:id="31" w:name="_Toc3250"/>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预算总额73.39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实际执行总额73.39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12.99</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12.99</w:t>
      </w:r>
      <w:r>
        <w:rPr>
          <w:rFonts w:hint="eastAsia" w:ascii="仿宋_GB2312" w:eastAsia="仿宋_GB2312"/>
          <w:color w:val="auto"/>
          <w:sz w:val="32"/>
          <w:szCs w:val="32"/>
          <w:highlight w:val="none"/>
          <w:lang w:eastAsia="zh-CN"/>
        </w:rPr>
        <w:t>万元，不予以公开</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预算绩效管理取得的成效：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发现的问题及原因：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下一步改进措施：一是提高对预算绩效管理的认识，充分理解财政绩效评价指标体系，加强预算的约束力；二是强化全过程预算绩效管理理念，突出绩效指标的重要性和综合性。</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bookmarkStart w:id="32" w:name="OLE_LINK1"/>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本单位无政府采购货物、服务、工程，故</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授予小微企业合同金额为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bookmarkEnd w:id="32"/>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本单位sm项目个，全年预算数</w:t>
      </w:r>
      <w:r>
        <w:rPr>
          <w:rFonts w:hint="eastAsia" w:ascii="仿宋_GB2312" w:eastAsia="仿宋_GB2312"/>
          <w:color w:val="000000" w:themeColor="text1"/>
          <w:sz w:val="32"/>
          <w:szCs w:val="32"/>
          <w:highlight w:val="none"/>
          <w:lang w:val="en-US" w:eastAsia="zh-CN"/>
          <w14:textFill>
            <w14:solidFill>
              <w14:schemeClr w14:val="tx1"/>
            </w14:solidFill>
          </w14:textFill>
        </w:rPr>
        <w:t>12.99</w:t>
      </w:r>
      <w:r>
        <w:rPr>
          <w:rFonts w:hint="eastAsia" w:ascii="仿宋_GB2312" w:eastAsia="仿宋_GB2312"/>
          <w:color w:val="000000" w:themeColor="text1"/>
          <w:sz w:val="32"/>
          <w:szCs w:val="32"/>
          <w:highlight w:val="none"/>
          <w:lang w:eastAsia="zh-CN"/>
          <w14:textFill>
            <w14:solidFill>
              <w14:schemeClr w14:val="tx1"/>
            </w14:solidFill>
          </w14:textFill>
        </w:rPr>
        <w:t>万元，全年执行数</w:t>
      </w:r>
      <w:r>
        <w:rPr>
          <w:rFonts w:hint="eastAsia" w:ascii="仿宋_GB2312" w:eastAsia="仿宋_GB2312"/>
          <w:color w:val="000000" w:themeColor="text1"/>
          <w:sz w:val="32"/>
          <w:szCs w:val="32"/>
          <w:highlight w:val="none"/>
          <w:lang w:val="en-US" w:eastAsia="zh-CN"/>
          <w14:textFill>
            <w14:solidFill>
              <w14:schemeClr w14:val="tx1"/>
            </w14:solidFill>
          </w14:textFill>
        </w:rPr>
        <w:t>12.99</w:t>
      </w:r>
      <w:r>
        <w:rPr>
          <w:rFonts w:hint="eastAsia" w:ascii="仿宋_GB2312" w:eastAsia="仿宋_GB2312"/>
          <w:color w:val="000000" w:themeColor="text1"/>
          <w:sz w:val="32"/>
          <w:szCs w:val="32"/>
          <w:highlight w:val="none"/>
          <w:lang w:eastAsia="zh-CN"/>
          <w14:textFill>
            <w14:solidFill>
              <w14:schemeClr w14:val="tx1"/>
            </w14:solidFill>
          </w14:textFill>
        </w:rPr>
        <w:t>万元，不予以公开绩效自评表。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2183"/>
      <w:bookmarkStart w:id="34" w:name="_Toc6062"/>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2434"/>
      <w:bookmarkStart w:id="38" w:name="_Toc2130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4869"/>
      <w:bookmarkStart w:id="42" w:name="_Toc10347"/>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8884"/>
      <w:bookmarkStart w:id="44" w:name="_Toc5626"/>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29106"/>
      <w:bookmarkStart w:id="46" w:name="_Toc32663"/>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 w:name="KSO_WPS_MARK_KEY" w:val="41ee2a61-2d54-4f93-83be-afdb9a40d732"/>
  </w:docVars>
  <w:rsids>
    <w:rsidRoot w:val="00000000"/>
    <w:rsid w:val="00213C59"/>
    <w:rsid w:val="003210CE"/>
    <w:rsid w:val="00B70D59"/>
    <w:rsid w:val="00F52A8D"/>
    <w:rsid w:val="019404F8"/>
    <w:rsid w:val="01C30B6B"/>
    <w:rsid w:val="01ED22F2"/>
    <w:rsid w:val="02395177"/>
    <w:rsid w:val="02BD3108"/>
    <w:rsid w:val="02F73D26"/>
    <w:rsid w:val="034D4FEF"/>
    <w:rsid w:val="035D1785"/>
    <w:rsid w:val="039F47CE"/>
    <w:rsid w:val="03BD5310"/>
    <w:rsid w:val="03E05CE8"/>
    <w:rsid w:val="03F973EE"/>
    <w:rsid w:val="041B0A5C"/>
    <w:rsid w:val="043E5B56"/>
    <w:rsid w:val="04C04386"/>
    <w:rsid w:val="04D1736D"/>
    <w:rsid w:val="04D96608"/>
    <w:rsid w:val="04F210E4"/>
    <w:rsid w:val="04FA68C4"/>
    <w:rsid w:val="053F5AE6"/>
    <w:rsid w:val="057C0B0F"/>
    <w:rsid w:val="05EF4B48"/>
    <w:rsid w:val="05F76ECA"/>
    <w:rsid w:val="06183A24"/>
    <w:rsid w:val="062419AB"/>
    <w:rsid w:val="06792773"/>
    <w:rsid w:val="06E911E2"/>
    <w:rsid w:val="06FD75CA"/>
    <w:rsid w:val="07093795"/>
    <w:rsid w:val="071F6AB6"/>
    <w:rsid w:val="07804730"/>
    <w:rsid w:val="079052BE"/>
    <w:rsid w:val="08145C21"/>
    <w:rsid w:val="083E4D1A"/>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F92768"/>
    <w:rsid w:val="0F1113DA"/>
    <w:rsid w:val="0F78534A"/>
    <w:rsid w:val="0F89358A"/>
    <w:rsid w:val="0F8C6D51"/>
    <w:rsid w:val="105B0B5E"/>
    <w:rsid w:val="112E58D0"/>
    <w:rsid w:val="11731CAC"/>
    <w:rsid w:val="119500A0"/>
    <w:rsid w:val="11C0733B"/>
    <w:rsid w:val="11D50D17"/>
    <w:rsid w:val="120E0809"/>
    <w:rsid w:val="127F665A"/>
    <w:rsid w:val="12F7068C"/>
    <w:rsid w:val="13250FB0"/>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864A2A"/>
    <w:rsid w:val="1AD807E5"/>
    <w:rsid w:val="1B39345B"/>
    <w:rsid w:val="1BBE182E"/>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B517FF"/>
    <w:rsid w:val="26F0170C"/>
    <w:rsid w:val="26FE3B9A"/>
    <w:rsid w:val="26FF15A4"/>
    <w:rsid w:val="27201D62"/>
    <w:rsid w:val="27286E73"/>
    <w:rsid w:val="27BE614B"/>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0101C1"/>
    <w:rsid w:val="2BB807BB"/>
    <w:rsid w:val="2BB94DBF"/>
    <w:rsid w:val="2BF37410"/>
    <w:rsid w:val="2C6F314E"/>
    <w:rsid w:val="2CC206BE"/>
    <w:rsid w:val="2CCA73C4"/>
    <w:rsid w:val="2D1136DF"/>
    <w:rsid w:val="2D20606D"/>
    <w:rsid w:val="2D6729FE"/>
    <w:rsid w:val="2DB87198"/>
    <w:rsid w:val="2DB93C54"/>
    <w:rsid w:val="2E3D144C"/>
    <w:rsid w:val="2E6E5AA9"/>
    <w:rsid w:val="2E891204"/>
    <w:rsid w:val="2F201637"/>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92483C"/>
    <w:rsid w:val="33CB74FA"/>
    <w:rsid w:val="343642F2"/>
    <w:rsid w:val="343F3010"/>
    <w:rsid w:val="345D0A00"/>
    <w:rsid w:val="34713BFD"/>
    <w:rsid w:val="34C13589"/>
    <w:rsid w:val="353369E3"/>
    <w:rsid w:val="35B21E0B"/>
    <w:rsid w:val="35E00D72"/>
    <w:rsid w:val="36965B9D"/>
    <w:rsid w:val="36C549FD"/>
    <w:rsid w:val="374A6258"/>
    <w:rsid w:val="37A755DD"/>
    <w:rsid w:val="37F33BFE"/>
    <w:rsid w:val="37F94FA0"/>
    <w:rsid w:val="380D3381"/>
    <w:rsid w:val="38115B1F"/>
    <w:rsid w:val="385E3AC3"/>
    <w:rsid w:val="387D6B9E"/>
    <w:rsid w:val="38B75FF0"/>
    <w:rsid w:val="38D45016"/>
    <w:rsid w:val="38D90432"/>
    <w:rsid w:val="3914510A"/>
    <w:rsid w:val="391F00CC"/>
    <w:rsid w:val="3926770B"/>
    <w:rsid w:val="3982065B"/>
    <w:rsid w:val="398D3668"/>
    <w:rsid w:val="39DA0497"/>
    <w:rsid w:val="3A7641F6"/>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DF00289"/>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55359E"/>
    <w:rsid w:val="43BA0E31"/>
    <w:rsid w:val="43C15147"/>
    <w:rsid w:val="43DE08D9"/>
    <w:rsid w:val="43E14DD2"/>
    <w:rsid w:val="43F800E9"/>
    <w:rsid w:val="443A7E4B"/>
    <w:rsid w:val="444A7D08"/>
    <w:rsid w:val="452F5B3A"/>
    <w:rsid w:val="454E7FD2"/>
    <w:rsid w:val="46061BDC"/>
    <w:rsid w:val="461404F8"/>
    <w:rsid w:val="46413018"/>
    <w:rsid w:val="464B7E04"/>
    <w:rsid w:val="468041AA"/>
    <w:rsid w:val="468123C6"/>
    <w:rsid w:val="46901EEE"/>
    <w:rsid w:val="469C74D2"/>
    <w:rsid w:val="46C91677"/>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C92119"/>
    <w:rsid w:val="4BDB3730"/>
    <w:rsid w:val="4C200F7A"/>
    <w:rsid w:val="4C940529"/>
    <w:rsid w:val="4CEE3180"/>
    <w:rsid w:val="4D0F4AF6"/>
    <w:rsid w:val="4D461C73"/>
    <w:rsid w:val="4DF94F37"/>
    <w:rsid w:val="4E0A1DD5"/>
    <w:rsid w:val="4E3160E5"/>
    <w:rsid w:val="4E4D37AF"/>
    <w:rsid w:val="4E8C6496"/>
    <w:rsid w:val="4EDF6850"/>
    <w:rsid w:val="4EFD18DE"/>
    <w:rsid w:val="4F144236"/>
    <w:rsid w:val="4F663C87"/>
    <w:rsid w:val="4F7E29A8"/>
    <w:rsid w:val="4F9E1FFC"/>
    <w:rsid w:val="50447CC2"/>
    <w:rsid w:val="50874A7C"/>
    <w:rsid w:val="50895EE7"/>
    <w:rsid w:val="50921B9D"/>
    <w:rsid w:val="50AE314F"/>
    <w:rsid w:val="50D16158"/>
    <w:rsid w:val="50DB5F45"/>
    <w:rsid w:val="51025EB1"/>
    <w:rsid w:val="51141503"/>
    <w:rsid w:val="513C450E"/>
    <w:rsid w:val="518D0ED5"/>
    <w:rsid w:val="51B23B7E"/>
    <w:rsid w:val="525C687F"/>
    <w:rsid w:val="52A3740A"/>
    <w:rsid w:val="52F647F7"/>
    <w:rsid w:val="52F92565"/>
    <w:rsid w:val="53AE735E"/>
    <w:rsid w:val="53D03877"/>
    <w:rsid w:val="542F73CA"/>
    <w:rsid w:val="5430786D"/>
    <w:rsid w:val="545A1D2A"/>
    <w:rsid w:val="54C811C0"/>
    <w:rsid w:val="556A442D"/>
    <w:rsid w:val="558F1CD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32E69"/>
    <w:rsid w:val="59254A26"/>
    <w:rsid w:val="59326325"/>
    <w:rsid w:val="595C505B"/>
    <w:rsid w:val="595E55C3"/>
    <w:rsid w:val="596E7E20"/>
    <w:rsid w:val="5981083B"/>
    <w:rsid w:val="5A5D23AA"/>
    <w:rsid w:val="5A60780B"/>
    <w:rsid w:val="5AB34579"/>
    <w:rsid w:val="5AB40E78"/>
    <w:rsid w:val="5AEB7C2D"/>
    <w:rsid w:val="5AF80B40"/>
    <w:rsid w:val="5AFC6609"/>
    <w:rsid w:val="5B113480"/>
    <w:rsid w:val="5BD456CE"/>
    <w:rsid w:val="5C0D1F49"/>
    <w:rsid w:val="5C0F7353"/>
    <w:rsid w:val="5CBB0CE2"/>
    <w:rsid w:val="5CC17177"/>
    <w:rsid w:val="5CC977C8"/>
    <w:rsid w:val="5CF306BC"/>
    <w:rsid w:val="5D3F3D64"/>
    <w:rsid w:val="5D801651"/>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204ED"/>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1276F"/>
    <w:rsid w:val="6E0E35C4"/>
    <w:rsid w:val="6E0F7A08"/>
    <w:rsid w:val="6E3947F5"/>
    <w:rsid w:val="6E6733A0"/>
    <w:rsid w:val="6E6E3938"/>
    <w:rsid w:val="6E9C74ED"/>
    <w:rsid w:val="6EF72976"/>
    <w:rsid w:val="6F2968A7"/>
    <w:rsid w:val="6F795A80"/>
    <w:rsid w:val="6F7C1D2E"/>
    <w:rsid w:val="6F8E0407"/>
    <w:rsid w:val="6FDD069F"/>
    <w:rsid w:val="702B4D16"/>
    <w:rsid w:val="70AA6621"/>
    <w:rsid w:val="7111480F"/>
    <w:rsid w:val="71261F49"/>
    <w:rsid w:val="712E6956"/>
    <w:rsid w:val="71473612"/>
    <w:rsid w:val="71504F32"/>
    <w:rsid w:val="7152309F"/>
    <w:rsid w:val="718F7F65"/>
    <w:rsid w:val="71A87F57"/>
    <w:rsid w:val="71DA6992"/>
    <w:rsid w:val="727B234E"/>
    <w:rsid w:val="728A58B0"/>
    <w:rsid w:val="72D068C7"/>
    <w:rsid w:val="72E42ED8"/>
    <w:rsid w:val="72FC34C3"/>
    <w:rsid w:val="735F4CB9"/>
    <w:rsid w:val="73674C62"/>
    <w:rsid w:val="73845865"/>
    <w:rsid w:val="739B6D9E"/>
    <w:rsid w:val="73BC1D76"/>
    <w:rsid w:val="73FB6630"/>
    <w:rsid w:val="744A4397"/>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781125"/>
    <w:rsid w:val="7DBA6BB1"/>
    <w:rsid w:val="7DF84014"/>
    <w:rsid w:val="7E207949"/>
    <w:rsid w:val="7E5C0A47"/>
    <w:rsid w:val="7E670C75"/>
    <w:rsid w:val="7E8B6C36"/>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5559</Words>
  <Characters>6181</Characters>
  <Lines>0</Lines>
  <Paragraphs>0</Paragraphs>
  <TotalTime>1</TotalTime>
  <ScaleCrop>false</ScaleCrop>
  <LinksUpToDate>false</LinksUpToDate>
  <CharactersWithSpaces>6203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2024-11-22T03:44:49Z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