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4BC8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bookmarkStart w:id="48" w:name="_GoBack"/>
    </w:p>
    <w:bookmarkEnd w:id="48"/>
    <w:p w14:paraId="08CB330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F34A4C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沙湾市技工学校</w:t>
      </w:r>
    </w:p>
    <w:p w14:paraId="50D16C6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713273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FC4A27F">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4F5792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8EF86D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92D522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E930C5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5D386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3F1F08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6E55A8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DAC7F3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0AE944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1A1E71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263258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85AA24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0D1746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EE53662">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F9FACD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69B0080">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678B148">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AF0DB6C">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BE499F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A2723C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A5A26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6D0735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73934F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466541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3597FE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BF45A2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67530C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22E043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6B765A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BCEA1D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C5A046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5C57F23">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68B8DF5">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27193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F6288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5F469F94">
      <w:pPr>
        <w:snapToGrid w:val="0"/>
        <w:spacing w:line="520" w:lineRule="exact"/>
        <w:ind w:firstLine="640" w:firstLineChars="200"/>
        <w:rPr>
          <w:rFonts w:hint="eastAsia" w:ascii="仿宋_GB2312" w:eastAsia="仿宋_GB2312"/>
          <w:color w:val="auto"/>
          <w:sz w:val="32"/>
          <w:szCs w:val="32"/>
          <w:highlight w:val="none"/>
        </w:rPr>
      </w:pPr>
      <w:r>
        <w:rPr>
          <w:rFonts w:hint="eastAsia" w:ascii="仿宋_GB2312" w:hAnsi="黑体" w:eastAsia="仿宋_GB2312" w:cs="宋体"/>
          <w:bCs/>
          <w:kern w:val="0"/>
          <w:sz w:val="32"/>
          <w:szCs w:val="32"/>
          <w:highlight w:val="none"/>
        </w:rPr>
        <w:t>1、拟订全市人力资源和社会保障事业发展规划、政策，起草全市农牧民培训工作方案等，通过组织农牧民技能培训，推进城乡居民就业等综合性工作；</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2、拟定培训计划、方案，开班审批、学员培训期间管理与服务，学员结业、技能鉴定、证书发放、申请补贴。</w:t>
      </w:r>
    </w:p>
    <w:p w14:paraId="133978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43376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沙湾市技工学校</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4348F29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val="en-US" w:eastAsia="zh-CN"/>
        </w:rPr>
        <w:t>单位</w:t>
      </w:r>
      <w:r>
        <w:rPr>
          <w:rFonts w:hint="eastAsia" w:ascii="仿宋_GB2312" w:hAnsi="黑体" w:eastAsia="仿宋_GB2312" w:cs="宋体"/>
          <w:bCs/>
          <w:color w:val="auto"/>
          <w:kern w:val="0"/>
          <w:sz w:val="32"/>
          <w:szCs w:val="32"/>
          <w:highlight w:val="none"/>
        </w:rPr>
        <w:t>无下属预算单位，下设</w:t>
      </w:r>
      <w:r>
        <w:rPr>
          <w:rFonts w:hint="eastAsia" w:ascii="仿宋_GB2312" w:eastAsia="仿宋_GB2312"/>
          <w:color w:val="auto"/>
          <w:sz w:val="32"/>
          <w:szCs w:val="32"/>
          <w:highlight w:val="none"/>
          <w:lang w:val="en-US" w:eastAsia="zh-CN"/>
        </w:rPr>
        <w:t>7</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highlight w:val="none"/>
        </w:rPr>
        <w:t>办公室、综治办、教务处、总务处、培训处、财务室、招生就业处</w:t>
      </w:r>
      <w:r>
        <w:rPr>
          <w:rFonts w:hint="eastAsia" w:ascii="仿宋_GB2312" w:hAnsi="宋体" w:eastAsia="仿宋_GB2312" w:cs="宋体"/>
          <w:color w:val="auto"/>
          <w:kern w:val="0"/>
          <w:sz w:val="32"/>
          <w:szCs w:val="32"/>
          <w:highlight w:val="none"/>
        </w:rPr>
        <w:t>。</w:t>
      </w:r>
    </w:p>
    <w:p w14:paraId="79EE2C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54382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26EE72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1,071.08万元，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1,071.08万元，使用非财政拨款结余0.00万元，年初结转和结余0.00万元。</w:t>
      </w:r>
    </w:p>
    <w:p w14:paraId="73DE0B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1,071.08万元，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808.93万元，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262.15万元，年末结转和结余0.00万元。</w:t>
      </w:r>
    </w:p>
    <w:p w14:paraId="6E106A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增加438.65万元</w:t>
      </w:r>
      <w:r>
        <w:rPr>
          <w:rFonts w:hint="eastAsia" w:ascii="仿宋_GB2312" w:eastAsia="仿宋_GB2312"/>
          <w:color w:val="auto"/>
          <w:spacing w:val="0"/>
          <w:sz w:val="32"/>
          <w:szCs w:val="32"/>
          <w:highlight w:val="none"/>
          <w:lang w:eastAsia="zh-CN"/>
        </w:rPr>
        <w:t>，增长69.36%，主要原因是：</w:t>
      </w:r>
      <w:r>
        <w:rPr>
          <w:rFonts w:hint="eastAsia" w:ascii="仿宋_GB2312" w:eastAsia="仿宋_GB2312"/>
          <w:color w:val="auto"/>
          <w:spacing w:val="0"/>
          <w:sz w:val="32"/>
          <w:szCs w:val="32"/>
          <w:highlight w:val="none"/>
          <w:lang w:val="en-US" w:eastAsia="zh-CN"/>
        </w:rPr>
        <w:t>一是2023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我</w:t>
      </w:r>
      <w:r>
        <w:rPr>
          <w:rFonts w:hint="eastAsia" w:ascii="仿宋_GB2312" w:eastAsia="仿宋_GB2312"/>
          <w:color w:val="auto"/>
          <w:spacing w:val="0"/>
          <w:sz w:val="32"/>
          <w:szCs w:val="32"/>
          <w:highlight w:val="none"/>
          <w:lang w:eastAsia="zh-CN"/>
        </w:rPr>
        <w:t>单位</w:t>
      </w:r>
      <w:r>
        <w:rPr>
          <w:rFonts w:hint="eastAsia" w:ascii="仿宋_GB2312" w:eastAsia="仿宋_GB2312"/>
          <w:color w:val="auto"/>
          <w:spacing w:val="0"/>
          <w:sz w:val="32"/>
          <w:szCs w:val="32"/>
          <w:highlight w:val="none"/>
          <w:lang w:val="en-US" w:eastAsia="zh-CN"/>
        </w:rPr>
        <w:t>新增</w:t>
      </w:r>
      <w:r>
        <w:rPr>
          <w:rFonts w:hint="eastAsia" w:ascii="仿宋_GB2312" w:eastAsia="仿宋_GB2312"/>
          <w:color w:val="auto"/>
          <w:spacing w:val="0"/>
          <w:sz w:val="32"/>
          <w:szCs w:val="32"/>
          <w:highlight w:val="none"/>
          <w:lang w:eastAsia="zh-CN"/>
        </w:rPr>
        <w:t>事业收入</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职业技能培训补贴收入，</w:t>
      </w:r>
      <w:r>
        <w:rPr>
          <w:rFonts w:hint="eastAsia" w:ascii="仿宋_GB2312" w:eastAsia="仿宋_GB2312"/>
          <w:color w:val="auto"/>
          <w:spacing w:val="0"/>
          <w:sz w:val="32"/>
          <w:szCs w:val="32"/>
          <w:highlight w:val="none"/>
          <w:lang w:val="en-US" w:eastAsia="zh-CN"/>
        </w:rPr>
        <w:t>事业收入</w:t>
      </w:r>
      <w:r>
        <w:rPr>
          <w:rFonts w:hint="eastAsia" w:ascii="仿宋_GB2312" w:eastAsia="仿宋_GB2312"/>
          <w:color w:val="auto"/>
          <w:spacing w:val="0"/>
          <w:sz w:val="32"/>
          <w:szCs w:val="32"/>
          <w:highlight w:val="none"/>
          <w:lang w:eastAsia="zh-CN"/>
        </w:rPr>
        <w:t>主要是</w:t>
      </w:r>
      <w:r>
        <w:rPr>
          <w:rFonts w:hint="eastAsia" w:ascii="仿宋_GB2312" w:eastAsia="仿宋_GB2312"/>
          <w:color w:val="auto"/>
          <w:spacing w:val="0"/>
          <w:sz w:val="32"/>
          <w:szCs w:val="32"/>
          <w:highlight w:val="none"/>
          <w:lang w:val="en-US" w:eastAsia="zh-CN"/>
        </w:rPr>
        <w:t>上级拨付</w:t>
      </w:r>
      <w:r>
        <w:rPr>
          <w:rFonts w:hint="eastAsia" w:ascii="仿宋_GB2312" w:eastAsia="仿宋_GB2312"/>
          <w:color w:val="auto"/>
          <w:spacing w:val="0"/>
          <w:sz w:val="32"/>
          <w:szCs w:val="32"/>
          <w:highlight w:val="none"/>
          <w:lang w:eastAsia="zh-CN"/>
        </w:rPr>
        <w:t>我单位2022-2023年职业技能培训补贴收入，使收入</w:t>
      </w:r>
      <w:r>
        <w:rPr>
          <w:rFonts w:hint="eastAsia" w:ascii="仿宋_GB2312" w:eastAsia="仿宋_GB2312"/>
          <w:color w:val="auto"/>
          <w:spacing w:val="0"/>
          <w:sz w:val="32"/>
          <w:szCs w:val="32"/>
          <w:highlight w:val="none"/>
          <w:lang w:val="en-US" w:eastAsia="zh-CN"/>
        </w:rPr>
        <w:t>支出</w:t>
      </w:r>
      <w:r>
        <w:rPr>
          <w:rFonts w:hint="eastAsia" w:ascii="仿宋_GB2312" w:eastAsia="仿宋_GB2312"/>
          <w:color w:val="auto"/>
          <w:spacing w:val="0"/>
          <w:sz w:val="32"/>
          <w:szCs w:val="32"/>
          <w:highlight w:val="none"/>
          <w:lang w:eastAsia="zh-CN"/>
        </w:rPr>
        <w:t>比上年大幅度增加；</w:t>
      </w:r>
      <w:r>
        <w:rPr>
          <w:rFonts w:hint="eastAsia" w:ascii="仿宋_GB2312" w:eastAsia="仿宋_GB2312"/>
          <w:color w:val="auto"/>
          <w:spacing w:val="0"/>
          <w:sz w:val="32"/>
          <w:szCs w:val="32"/>
          <w:highlight w:val="none"/>
          <w:lang w:val="en-US" w:eastAsia="zh-CN"/>
        </w:rPr>
        <w:t>二是本年度其他收入增加</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主要是利息收入和捐赠收入，</w:t>
      </w:r>
      <w:r>
        <w:rPr>
          <w:rFonts w:hint="eastAsia" w:ascii="仿宋_GB2312" w:eastAsia="仿宋_GB2312"/>
          <w:color w:val="auto"/>
          <w:spacing w:val="0"/>
          <w:sz w:val="32"/>
          <w:szCs w:val="32"/>
          <w:highlight w:val="none"/>
          <w:lang w:eastAsia="zh-CN"/>
        </w:rPr>
        <w:t>使收入比上年大幅度增加。</w:t>
      </w:r>
    </w:p>
    <w:p w14:paraId="09AF9C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B96D0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1,071.08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604.52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56.44%</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463.67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43.29%</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2.89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0.27%</w:t>
      </w:r>
      <w:r>
        <w:rPr>
          <w:rFonts w:hint="eastAsia" w:ascii="仿宋_GB2312" w:eastAsia="仿宋_GB2312"/>
          <w:color w:val="auto"/>
          <w:sz w:val="32"/>
          <w:szCs w:val="32"/>
          <w:highlight w:val="none"/>
        </w:rPr>
        <w:t>。</w:t>
      </w:r>
    </w:p>
    <w:p w14:paraId="4EC932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632223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本年支出808.93万元，其中：基本支出634.06万元，占78.38%；项目支出174.87万元，占21.62%；上缴上级支出0.00万元，占0.00%；经营支出0.00万元，占0.00%；对附属单位补助支出0.00万元，占0.00%。</w:t>
      </w:r>
    </w:p>
    <w:p w14:paraId="204CF8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B416C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604.52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604.52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604.52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604.52</w:t>
      </w:r>
      <w:r>
        <w:rPr>
          <w:rFonts w:hint="eastAsia" w:ascii="仿宋_GB2312" w:eastAsia="仿宋_GB2312"/>
          <w:color w:val="auto"/>
          <w:spacing w:val="0"/>
          <w:sz w:val="32"/>
          <w:szCs w:val="32"/>
          <w:highlight w:val="none"/>
          <w:lang w:eastAsia="zh-CN"/>
        </w:rPr>
        <w:t>万元。</w:t>
      </w:r>
    </w:p>
    <w:p w14:paraId="12C9E5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减少27.91万元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下降4.41%,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2022年度调增及补发2021-2022年基础工资和基础绩效工资，2022年收到上级拨付2021至2022年两年的职业技能培训补贴收入，使2022年收入支出比2023年增加</w:t>
      </w:r>
      <w:r>
        <w:rPr>
          <w:rFonts w:hint="eastAsia" w:ascii="仿宋_GB2312" w:eastAsia="仿宋_GB2312"/>
          <w:color w:val="auto"/>
          <w:spacing w:val="0"/>
          <w:sz w:val="32"/>
          <w:szCs w:val="32"/>
          <w:highlight w:val="none"/>
          <w:lang w:eastAsia="zh-CN"/>
        </w:rPr>
        <w:t>。</w:t>
      </w:r>
    </w:p>
    <w:p w14:paraId="395E5C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690.71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604.52</w:t>
      </w:r>
      <w:r>
        <w:rPr>
          <w:rFonts w:hint="eastAsia" w:ascii="仿宋_GB2312" w:eastAsia="仿宋_GB2312"/>
          <w:color w:val="auto"/>
          <w:spacing w:val="0"/>
          <w:sz w:val="32"/>
          <w:szCs w:val="32"/>
          <w:highlight w:val="none"/>
          <w:lang w:eastAsia="zh-CN"/>
        </w:rPr>
        <w:t>万元，预决算差异率-12.48%，主要原因是：</w:t>
      </w:r>
      <w:r>
        <w:rPr>
          <w:rFonts w:hint="eastAsia" w:ascii="仿宋_GB2312" w:eastAsia="仿宋_GB2312"/>
          <w:color w:val="auto"/>
          <w:spacing w:val="0"/>
          <w:sz w:val="32"/>
          <w:szCs w:val="32"/>
          <w:highlight w:val="none"/>
          <w:lang w:val="en-US" w:eastAsia="zh-CN"/>
        </w:rPr>
        <w:t>2023年度沙湾市技工学校</w:t>
      </w:r>
      <w:r>
        <w:rPr>
          <w:rFonts w:hint="eastAsia" w:ascii="仿宋_GB2312" w:eastAsia="仿宋_GB2312"/>
          <w:color w:val="auto"/>
          <w:spacing w:val="0"/>
          <w:sz w:val="32"/>
          <w:szCs w:val="32"/>
          <w:highlight w:val="none"/>
          <w:lang w:eastAsia="zh-CN"/>
        </w:rPr>
        <w:t>职业技能培训补贴收入</w:t>
      </w:r>
      <w:r>
        <w:rPr>
          <w:rFonts w:hint="eastAsia" w:ascii="仿宋_GB2312" w:eastAsia="仿宋_GB2312"/>
          <w:color w:val="auto"/>
          <w:spacing w:val="0"/>
          <w:sz w:val="32"/>
          <w:szCs w:val="32"/>
          <w:highlight w:val="none"/>
          <w:lang w:val="en-US" w:eastAsia="zh-CN"/>
        </w:rPr>
        <w:t>决算数列入事业收入，年初一般公共预算支出减少，因此财政拨款收入存在预决算差异率</w:t>
      </w:r>
      <w:r>
        <w:rPr>
          <w:rFonts w:hint="eastAsia" w:ascii="仿宋_GB2312" w:eastAsia="仿宋_GB2312"/>
          <w:color w:val="auto"/>
          <w:spacing w:val="0"/>
          <w:sz w:val="32"/>
          <w:szCs w:val="32"/>
          <w:highlight w:val="none"/>
          <w:lang w:eastAsia="zh-CN"/>
        </w:rPr>
        <w:t>。</w:t>
      </w:r>
    </w:p>
    <w:p w14:paraId="6B748E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CAFA6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FE90A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2023年度一般公共预算财政拨款支出604.52万元，占本年支出合计的</w:t>
      </w:r>
      <w:r>
        <w:rPr>
          <w:rFonts w:hint="eastAsia" w:ascii="仿宋_GB2312" w:eastAsia="仿宋_GB2312"/>
          <w:color w:val="auto"/>
          <w:spacing w:val="0"/>
          <w:sz w:val="32"/>
          <w:szCs w:val="32"/>
          <w:highlight w:val="none"/>
          <w:lang w:val="zh-CN" w:eastAsia="zh-CN"/>
        </w:rPr>
        <w:t>74.73%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减少27.91万元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下降4.41%,</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val="en-US" w:eastAsia="zh-CN"/>
        </w:rPr>
        <w:t>2022年度支付以前年度及2022年当年财政拨付职业技能培训补贴支出，</w:t>
      </w:r>
      <w:r>
        <w:rPr>
          <w:rFonts w:hint="eastAsia" w:ascii="仿宋_GB2312" w:eastAsia="仿宋_GB2312"/>
          <w:color w:val="auto"/>
          <w:spacing w:val="0"/>
          <w:sz w:val="32"/>
          <w:szCs w:val="32"/>
          <w:highlight w:val="none"/>
          <w:lang w:val="en-US" w:eastAsia="zh-CN"/>
        </w:rPr>
        <w:t>使本年支出比上年相比减少。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690.71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604.52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-12.48%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2023年度沙湾市技工学校</w:t>
      </w:r>
      <w:r>
        <w:rPr>
          <w:rFonts w:hint="eastAsia" w:ascii="仿宋_GB2312" w:eastAsia="仿宋_GB2312"/>
          <w:color w:val="auto"/>
          <w:spacing w:val="0"/>
          <w:sz w:val="32"/>
          <w:szCs w:val="32"/>
          <w:highlight w:val="none"/>
          <w:lang w:eastAsia="zh-CN"/>
        </w:rPr>
        <w:t>职业技能培训补贴收入</w:t>
      </w:r>
      <w:r>
        <w:rPr>
          <w:rFonts w:hint="eastAsia" w:ascii="仿宋_GB2312" w:eastAsia="仿宋_GB2312"/>
          <w:color w:val="auto"/>
          <w:spacing w:val="0"/>
          <w:sz w:val="32"/>
          <w:szCs w:val="32"/>
          <w:highlight w:val="none"/>
          <w:lang w:val="en-US" w:eastAsia="zh-CN"/>
        </w:rPr>
        <w:t>决算数列入事业收入，年初一般公共预算支出减少，因此财政拨款支出存在预决算差异率</w:t>
      </w:r>
      <w:r>
        <w:rPr>
          <w:rFonts w:hint="eastAsia" w:ascii="仿宋_GB2312" w:eastAsia="仿宋_GB2312"/>
          <w:color w:val="auto"/>
          <w:spacing w:val="0"/>
          <w:sz w:val="32"/>
          <w:szCs w:val="32"/>
          <w:highlight w:val="none"/>
          <w:lang w:eastAsia="zh-CN"/>
        </w:rPr>
        <w:t>。</w:t>
      </w:r>
    </w:p>
    <w:p w14:paraId="0C9FE50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3419F1A">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w:t>
      </w:r>
      <w:r>
        <w:rPr>
          <w:rFonts w:hint="eastAsia" w:ascii="仿宋_GB2312" w:hAnsi="Times New Roman" w:eastAsia="仿宋_GB2312" w:cs="Times New Roman"/>
          <w:color w:val="auto"/>
          <w:spacing w:val="0"/>
          <w:kern w:val="2"/>
          <w:sz w:val="32"/>
          <w:szCs w:val="32"/>
          <w:highlight w:val="none"/>
          <w:lang w:val="zh-CN" w:eastAsia="zh-CN" w:bidi="ar-SA"/>
        </w:rPr>
        <w:t>604.52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zh-CN" w:eastAsia="zh-CN" w:bidi="ar-SA"/>
        </w:rPr>
        <w:t>；</w:t>
      </w:r>
    </w:p>
    <w:p w14:paraId="03BE79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88347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1.教育支出（类）职业教育（款）技校教育（项）:支出决算数为604.52万元，比上年决算减少27.91万元，下降4.41%，主要原因是：</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2022年度调增及补发2021-2022年基础工资和基础绩效工资，2022年支付上级拨付2021至2022年两年的职业技能培训补贴，使2022年支出较大，2023年比2022年相比减少</w:t>
      </w:r>
      <w:r>
        <w:rPr>
          <w:rFonts w:hint="eastAsia" w:ascii="仿宋_GB2312" w:eastAsia="仿宋_GB2312"/>
          <w:color w:val="auto"/>
          <w:spacing w:val="0"/>
          <w:sz w:val="32"/>
          <w:szCs w:val="32"/>
          <w:highlight w:val="none"/>
          <w:lang w:eastAsia="zh-CN"/>
        </w:rPr>
        <w:t>。</w:t>
      </w:r>
    </w:p>
    <w:p w14:paraId="61A1A9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CCAAD4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429.65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355.29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基本工资、津贴补贴、奖金、绩效工资、机关事业单位基本养老保险缴费、职业年金缴费、职工基本医疗保险缴费、其他社会保障缴费、住房公积金、奖励金。</w:t>
      </w:r>
    </w:p>
    <w:p w14:paraId="5F5610B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74.35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办公费、水费、电费、邮电费、取暖费、差旅费、培训费、工会经费</w:t>
      </w:r>
      <w:r>
        <w:rPr>
          <w:rFonts w:hint="eastAsia" w:ascii="仿宋_GB2312" w:eastAsia="仿宋_GB2312"/>
          <w:color w:val="auto"/>
          <w:sz w:val="32"/>
          <w:szCs w:val="32"/>
          <w:highlight w:val="none"/>
          <w:lang w:eastAsia="zh-CN"/>
        </w:rPr>
        <w:t>。</w:t>
      </w:r>
    </w:p>
    <w:p w14:paraId="1A3E66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221847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kern w:val="0"/>
          <w:sz w:val="32"/>
          <w:szCs w:val="32"/>
          <w:highlight w:val="none"/>
        </w:rPr>
        <w:t>我单位无</w:t>
      </w:r>
      <w:r>
        <w:rPr>
          <w:rFonts w:hint="eastAsia" w:ascii="仿宋_GB2312" w:eastAsia="仿宋_GB2312"/>
          <w:color w:val="auto"/>
          <w:sz w:val="32"/>
          <w:szCs w:val="32"/>
          <w:highlight w:val="none"/>
          <w:lang w:val="zh-CN" w:eastAsia="zh-CN"/>
        </w:rPr>
        <w:t>“三公”经费支出。其中：因公出国（境）费支出0.00万元，占0.00%，比上年增加0.00万元，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kern w:val="0"/>
          <w:sz w:val="32"/>
          <w:szCs w:val="32"/>
          <w:highlight w:val="none"/>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kern w:val="0"/>
          <w:sz w:val="32"/>
          <w:szCs w:val="32"/>
          <w:highlight w:val="none"/>
        </w:rPr>
        <w:t>我单位无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kern w:val="0"/>
          <w:sz w:val="32"/>
          <w:szCs w:val="32"/>
          <w:highlight w:val="none"/>
        </w:rPr>
        <w:t>我单位无</w:t>
      </w:r>
      <w:r>
        <w:rPr>
          <w:rFonts w:hint="eastAsia" w:ascii="仿宋_GB2312" w:eastAsia="仿宋_GB2312"/>
          <w:color w:val="auto"/>
          <w:sz w:val="32"/>
          <w:szCs w:val="32"/>
          <w:highlight w:val="none"/>
          <w:lang w:val="zh-CN" w:eastAsia="zh-CN"/>
        </w:rPr>
        <w:t>公务接待费支出。</w:t>
      </w:r>
    </w:p>
    <w:p w14:paraId="16425F0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257C94F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本年度单位没有发生</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1A7AC91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本年度单位没有发生</w:t>
      </w:r>
      <w:r>
        <w:rPr>
          <w:rFonts w:hint="eastAsia" w:ascii="仿宋_GB2312" w:eastAsia="仿宋_GB2312"/>
          <w:color w:val="auto"/>
          <w:sz w:val="32"/>
          <w:szCs w:val="32"/>
          <w:highlight w:val="none"/>
          <w:lang w:val="zh-CN" w:eastAsia="zh-CN"/>
        </w:rPr>
        <w:t>公务用车购置及运行维护费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hAnsi="仿宋_GB2312" w:eastAsia="仿宋_GB2312" w:cs="仿宋_GB2312"/>
          <w:color w:val="auto"/>
          <w:sz w:val="32"/>
          <w:szCs w:val="32"/>
          <w:highlight w:val="none"/>
          <w:lang w:val="en-US" w:eastAsia="zh-CN"/>
        </w:rPr>
        <w:t>我单位职业技能实训</w:t>
      </w:r>
      <w:r>
        <w:rPr>
          <w:rFonts w:hint="eastAsia" w:ascii="仿宋_GB2312" w:hAnsi="仿宋_GB2312" w:eastAsia="仿宋_GB2312" w:cs="仿宋_GB2312"/>
          <w:color w:val="auto"/>
          <w:sz w:val="32"/>
          <w:szCs w:val="32"/>
          <w:highlight w:val="none"/>
          <w:lang w:val="zh-CN" w:eastAsia="zh-CN"/>
        </w:rPr>
        <w:t>教学用车，校园内使用</w:t>
      </w:r>
      <w:r>
        <w:rPr>
          <w:rFonts w:hint="eastAsia" w:ascii="仿宋_GB2312" w:eastAsia="仿宋_GB2312"/>
          <w:color w:val="auto"/>
          <w:sz w:val="32"/>
          <w:szCs w:val="32"/>
          <w:highlight w:val="none"/>
          <w:lang w:val="zh-CN" w:eastAsia="zh-CN"/>
        </w:rPr>
        <w:t>。</w:t>
      </w:r>
    </w:p>
    <w:p w14:paraId="01079BD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本年度单位没有发生</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。单位全年安排的国内公务接待0批次，0人次。</w:t>
      </w:r>
    </w:p>
    <w:p w14:paraId="03EEEDE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本年度单位没有发生</w:t>
      </w:r>
      <w:r>
        <w:rPr>
          <w:rFonts w:hint="eastAsia" w:ascii="仿宋_GB2312" w:eastAsia="仿宋_GB2312"/>
          <w:color w:val="auto"/>
          <w:sz w:val="32"/>
          <w:szCs w:val="32"/>
          <w:highlight w:val="none"/>
          <w:lang w:val="zh-CN" w:eastAsia="zh-CN"/>
        </w:rPr>
        <w:t>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本年度单位没有发生</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本年度单位没有发生</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本年度单位没有发生</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本年度单位没有发生</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w:t>
      </w:r>
    </w:p>
    <w:p w14:paraId="47257D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FF777C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109A75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685168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DB59C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728F6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9EC3A9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沙湾市技工学校（事业单位）公用经费支出74.35万元，</w:t>
      </w:r>
      <w:r>
        <w:rPr>
          <w:rFonts w:hint="eastAsia" w:ascii="仿宋_GB2312" w:hAnsi="仿宋_GB2312" w:eastAsia="仿宋_GB2312" w:cs="仿宋_GB2312"/>
          <w:color w:val="auto"/>
          <w:sz w:val="32"/>
          <w:szCs w:val="32"/>
          <w:highlight w:val="none"/>
          <w:lang w:val="zh-CN" w:eastAsia="zh-CN"/>
        </w:rPr>
        <w:t>比上年减少265.63万元，下降78.13%，主要原因是：</w:t>
      </w:r>
      <w:r>
        <w:rPr>
          <w:rFonts w:hint="eastAsia" w:ascii="仿宋_GB2312" w:hAnsi="仿宋_GB2312" w:eastAsia="仿宋_GB2312" w:cs="仿宋_GB2312"/>
          <w:color w:val="auto"/>
          <w:sz w:val="32"/>
          <w:szCs w:val="32"/>
          <w:highlight w:val="none"/>
          <w:lang w:val="en-US" w:eastAsia="zh-CN"/>
        </w:rPr>
        <w:t>2022年度支付以前年度及2022年当年财政拨付职业技能培训补贴支出，主要是职业技能培训相关办公费、培训费、维修维护费等，支出数额较大，2023年此项支出，相比较小</w:t>
      </w:r>
      <w:r>
        <w:rPr>
          <w:rFonts w:hint="eastAsia" w:ascii="仿宋_GB2312" w:hAnsi="仿宋_GB2312" w:eastAsia="仿宋_GB2312" w:cs="仿宋_GB2312"/>
          <w:color w:val="auto"/>
          <w:sz w:val="32"/>
          <w:szCs w:val="32"/>
          <w:highlight w:val="none"/>
          <w:lang w:val="zh-CN" w:eastAsia="zh-CN"/>
        </w:rPr>
        <w:t>。</w:t>
      </w:r>
    </w:p>
    <w:p w14:paraId="0FEB5C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7D683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118.70万元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其中：政府采购货物支出62.03万元、政府采购工程支出35.77万元、政府采购服务支出20.90万元。</w:t>
      </w:r>
    </w:p>
    <w:p w14:paraId="463E55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授予中小企业合同金额118.70万元，占政府采购支出总额的100.00%，其中：授予小微企业合同金额118.70万元，占政府采购支出总额的100.00%</w:t>
      </w:r>
      <w:r>
        <w:rPr>
          <w:rFonts w:hint="eastAsia" w:ascii="仿宋_GB2312" w:hAnsi="仿宋_GB2312" w:eastAsia="仿宋_GB2312" w:cs="仿宋_GB2312"/>
          <w:color w:val="auto"/>
          <w:sz w:val="32"/>
          <w:szCs w:val="32"/>
          <w:highlight w:val="none"/>
          <w:lang w:val="en-US" w:eastAsia="zh-CN"/>
        </w:rPr>
        <w:t>。</w:t>
      </w:r>
    </w:p>
    <w:p w14:paraId="59EB8F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245E53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3,967.02</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屋17,876.67平方米，价值2,332.91万元。车辆6辆，价值127.80万元，其中：副部（省）级及以上领导用车0辆、主要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用车0辆、其他用车6辆，其他用车主要是：</w:t>
      </w:r>
      <w:r>
        <w:rPr>
          <w:rFonts w:hint="eastAsia" w:ascii="仿宋_GB2312" w:hAnsi="仿宋_GB2312" w:eastAsia="仿宋_GB2312" w:cs="仿宋_GB2312"/>
          <w:color w:val="auto"/>
          <w:sz w:val="32"/>
          <w:szCs w:val="32"/>
          <w:highlight w:val="none"/>
          <w:lang w:val="en-US" w:eastAsia="zh-CN"/>
        </w:rPr>
        <w:t>我单位职业技能实训</w:t>
      </w:r>
      <w:r>
        <w:rPr>
          <w:rFonts w:hint="eastAsia" w:ascii="仿宋_GB2312" w:hAnsi="仿宋_GB2312" w:eastAsia="仿宋_GB2312" w:cs="仿宋_GB2312"/>
          <w:color w:val="auto"/>
          <w:sz w:val="32"/>
          <w:szCs w:val="32"/>
          <w:highlight w:val="none"/>
          <w:lang w:val="zh-CN" w:eastAsia="zh-CN"/>
        </w:rPr>
        <w:t>教学用车，校园内使用；单价100万元（含）以上设备（不含车辆）0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14:paraId="61E1EF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DB75667">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预算总额604.52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604.52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全年预算数174.87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全年执行数174.87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val="en-US" w:eastAsia="zh-CN"/>
        </w:rPr>
        <w:t>通过农村富余劳动力技能培训落实率工作的有效完成我单位培训工作总体目标，解决了农村富余劳动力技能、就业等问题，显著提高了农牧民参加技能培训的主动性和积极性，</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明显改善了办学条件提高教学质量，教学水平，加大管理力度，强化教学管理，提升了牧民职业技能水平和就业创业能力，增强了职业技能培训工作健康发展。</w:t>
      </w:r>
    </w:p>
    <w:p w14:paraId="1CC975F6">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eastAsia="仿宋_GB2312"/>
          <w:color w:val="auto"/>
          <w:sz w:val="32"/>
          <w:szCs w:val="32"/>
          <w:highlight w:val="none"/>
          <w:lang w:eastAsia="zh-CN"/>
        </w:rPr>
        <w:t>发现的问题及原因：一是</w:t>
      </w:r>
      <w:r>
        <w:rPr>
          <w:rFonts w:hint="eastAsia" w:ascii="仿宋_GB2312" w:hAnsi="仿宋_GB2312" w:eastAsia="仿宋_GB2312" w:cs="仿宋_GB2312"/>
          <w:color w:val="auto"/>
          <w:sz w:val="32"/>
          <w:szCs w:val="32"/>
          <w:highlight w:val="none"/>
          <w:lang w:val="en-US" w:eastAsia="zh-CN"/>
        </w:rPr>
        <w:t>培训时长过长，学员组织困难。社会化培训取决于学员的个人意愿和需求，按照培训时长不少于240课时要求（其中基础课要达到三分之一），同时受到技工学校专业设置的限制，对群众缺乏吸引力，学员组织困难、入校学员流失率高；二是学校社会化评价机构和建设尚需完善，自有考评员队伍不足。现有考评员均为在编干部和社会从业人员，存在开展工作和管理上的不方便。同时现有认定工种不足，不能全覆盖所有培训工种。</w:t>
      </w:r>
    </w:p>
    <w:p w14:paraId="711C20DE">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eastAsia="仿宋_GB2312"/>
          <w:color w:val="auto"/>
          <w:sz w:val="32"/>
          <w:szCs w:val="32"/>
          <w:highlight w:val="none"/>
          <w:lang w:eastAsia="zh-CN"/>
        </w:rPr>
        <w:t>下一步改进措施：一是</w:t>
      </w:r>
      <w:r>
        <w:rPr>
          <w:rFonts w:hint="eastAsia" w:ascii="仿宋_GB2312" w:hAnsi="仿宋_GB2312" w:eastAsia="仿宋_GB2312" w:cs="仿宋_GB2312"/>
          <w:color w:val="auto"/>
          <w:sz w:val="32"/>
          <w:szCs w:val="32"/>
          <w:highlight w:val="none"/>
          <w:lang w:val="en-US" w:eastAsia="zh-CN"/>
        </w:rPr>
        <w:t>结合招生简章，通过</w:t>
      </w:r>
      <w:r>
        <w:rPr>
          <w:rFonts w:hint="eastAsia" w:ascii="仿宋_GB2312" w:hAnsi="仿宋_GB2312" w:eastAsia="仿宋_GB2312" w:cs="仿宋_GB2312"/>
          <w:color w:val="auto"/>
          <w:sz w:val="32"/>
          <w:szCs w:val="32"/>
          <w:highlight w:val="none"/>
        </w:rPr>
        <w:t>发布</w:t>
      </w:r>
      <w:r>
        <w:rPr>
          <w:rFonts w:hint="eastAsia" w:ascii="仿宋_GB2312" w:hAnsi="仿宋_GB2312" w:eastAsia="仿宋_GB2312" w:cs="仿宋_GB2312"/>
          <w:color w:val="auto"/>
          <w:sz w:val="32"/>
          <w:szCs w:val="32"/>
          <w:highlight w:val="none"/>
          <w:lang w:val="en-US" w:eastAsia="zh-CN"/>
        </w:rPr>
        <w:t>图文并茂的</w:t>
      </w:r>
      <w:r>
        <w:rPr>
          <w:rFonts w:hint="eastAsia" w:ascii="仿宋_GB2312" w:hAnsi="仿宋_GB2312" w:eastAsia="仿宋_GB2312" w:cs="仿宋_GB2312"/>
          <w:color w:val="auto"/>
          <w:sz w:val="32"/>
          <w:szCs w:val="32"/>
          <w:highlight w:val="none"/>
        </w:rPr>
        <w:t>招生广告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制作自媒体平台</w:t>
      </w:r>
      <w:r>
        <w:rPr>
          <w:rFonts w:hint="eastAsia" w:ascii="仿宋_GB2312" w:hAnsi="仿宋_GB2312" w:eastAsia="仿宋_GB2312" w:cs="仿宋_GB2312"/>
          <w:color w:val="auto"/>
          <w:sz w:val="32"/>
          <w:szCs w:val="32"/>
          <w:highlight w:val="none"/>
        </w:rPr>
        <w:t>视频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利用学校电子大屏滚动播放招生图文信息、利用LED电子屏发布企业招工信息等多种形式进行招生宣传，拓宽招生渠道。安排专人</w:t>
      </w:r>
      <w:r>
        <w:rPr>
          <w:rFonts w:hint="eastAsia" w:ascii="仿宋_GB2312" w:hAnsi="仿宋_GB2312" w:eastAsia="仿宋_GB2312" w:cs="仿宋_GB2312"/>
          <w:color w:val="auto"/>
          <w:sz w:val="32"/>
          <w:szCs w:val="32"/>
          <w:highlight w:val="none"/>
        </w:rPr>
        <w:t>参加</w:t>
      </w:r>
      <w:r>
        <w:rPr>
          <w:rFonts w:hint="eastAsia" w:ascii="仿宋_GB2312" w:hAnsi="仿宋_GB2312" w:eastAsia="仿宋_GB2312" w:cs="仿宋_GB2312"/>
          <w:color w:val="auto"/>
          <w:sz w:val="32"/>
          <w:szCs w:val="32"/>
          <w:highlight w:val="none"/>
          <w:lang w:val="en-US" w:eastAsia="zh-CN"/>
        </w:rPr>
        <w:t>现场招聘会，</w:t>
      </w:r>
      <w:r>
        <w:rPr>
          <w:rFonts w:hint="eastAsia" w:ascii="仿宋_GB2312" w:hAnsi="仿宋_GB2312" w:eastAsia="仿宋_GB2312" w:cs="仿宋_GB2312"/>
          <w:color w:val="auto"/>
          <w:sz w:val="32"/>
          <w:szCs w:val="32"/>
          <w:highlight w:val="none"/>
        </w:rPr>
        <w:t>制作</w:t>
      </w:r>
      <w:r>
        <w:rPr>
          <w:rFonts w:hint="eastAsia" w:ascii="仿宋_GB2312" w:hAnsi="仿宋_GB2312" w:eastAsia="仿宋_GB2312" w:cs="仿宋_GB2312"/>
          <w:color w:val="auto"/>
          <w:sz w:val="32"/>
          <w:szCs w:val="32"/>
          <w:highlight w:val="none"/>
          <w:lang w:val="en-US" w:eastAsia="zh-CN"/>
        </w:rPr>
        <w:t>招生</w:t>
      </w:r>
      <w:r>
        <w:rPr>
          <w:rFonts w:hint="eastAsia" w:ascii="仿宋_GB2312" w:hAnsi="仿宋_GB2312" w:eastAsia="仿宋_GB2312" w:cs="仿宋_GB2312"/>
          <w:color w:val="auto"/>
          <w:sz w:val="32"/>
          <w:szCs w:val="32"/>
          <w:highlight w:val="none"/>
        </w:rPr>
        <w:t>宣传</w:t>
      </w:r>
      <w:r>
        <w:rPr>
          <w:rFonts w:hint="eastAsia" w:ascii="仿宋_GB2312" w:hAnsi="仿宋_GB2312" w:eastAsia="仿宋_GB2312" w:cs="仿宋_GB2312"/>
          <w:color w:val="auto"/>
          <w:sz w:val="32"/>
          <w:szCs w:val="32"/>
          <w:highlight w:val="none"/>
          <w:lang w:val="en-US" w:eastAsia="zh-CN"/>
        </w:rPr>
        <w:t>展板</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发</w:t>
      </w:r>
      <w:r>
        <w:rPr>
          <w:rFonts w:hint="eastAsia" w:ascii="仿宋_GB2312" w:hAnsi="仿宋_GB2312" w:eastAsia="仿宋_GB2312" w:cs="仿宋_GB2312"/>
          <w:color w:val="auto"/>
          <w:sz w:val="32"/>
          <w:szCs w:val="32"/>
          <w:highlight w:val="none"/>
          <w:lang w:val="en-US" w:eastAsia="zh-CN"/>
        </w:rPr>
        <w:t>放</w:t>
      </w:r>
      <w:r>
        <w:rPr>
          <w:rFonts w:hint="eastAsia" w:ascii="仿宋_GB2312" w:hAnsi="仿宋_GB2312" w:eastAsia="仿宋_GB2312" w:cs="仿宋_GB2312"/>
          <w:color w:val="auto"/>
          <w:sz w:val="32"/>
          <w:szCs w:val="32"/>
          <w:highlight w:val="none"/>
        </w:rPr>
        <w:t>宣传单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进行面对面的现场咨询、解答招生报名工作，扩大社会面招生</w:t>
      </w:r>
      <w:r>
        <w:rPr>
          <w:rFonts w:hint="eastAsia" w:ascii="仿宋_GB2312" w:eastAsia="仿宋_GB2312"/>
          <w:color w:val="auto"/>
          <w:sz w:val="32"/>
          <w:szCs w:val="32"/>
          <w:highlight w:val="none"/>
          <w:lang w:eastAsia="zh-CN"/>
        </w:rPr>
        <w:t>；二是</w:t>
      </w:r>
      <w:r>
        <w:rPr>
          <w:rFonts w:hint="eastAsia" w:ascii="仿宋_GB2312" w:hAnsi="仿宋_GB2312" w:eastAsia="仿宋_GB2312" w:cs="仿宋_GB2312"/>
          <w:color w:val="auto"/>
          <w:sz w:val="32"/>
          <w:szCs w:val="32"/>
          <w:highlight w:val="none"/>
          <w:lang w:val="en-US" w:eastAsia="zh-CN"/>
        </w:rPr>
        <w:t>通过师资培训、技能大赛等方式使我校更多教师取得职业资格证。了解掌握本地有职业资格证人员情况，努力保持长期稳定的合作关系。适时输送我校教职工参加考评员培训，做大职业技能等级认定中心，为社会化鉴定工作提供动能。</w:t>
      </w:r>
      <w:r>
        <w:rPr>
          <w:rFonts w:hint="eastAsia" w:ascii="仿宋_GB2312" w:hAnsi="仿宋_GB2312" w:eastAsia="仿宋_GB2312" w:cs="仿宋_GB2312"/>
          <w:color w:val="auto"/>
          <w:sz w:val="32"/>
          <w:szCs w:val="32"/>
          <w:highlight w:val="none"/>
          <w:lang w:val="zh-CN" w:eastAsia="zh-CN"/>
        </w:rPr>
        <w:t>具体项目自评情况附绩效自评表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lang w:val="zh-CN" w:eastAsia="zh-CN"/>
        </w:rPr>
        <w:t>。</w:t>
      </w:r>
    </w:p>
    <w:p w14:paraId="7B71446A">
      <w:pPr>
        <w:keepNext w:val="0"/>
        <w:keepLines w:val="0"/>
        <w:pageBreakBefore w:val="0"/>
        <w:widowControl w:val="0"/>
        <w:numPr>
          <w:ilvl w:val="0"/>
          <w:numId w:val="2"/>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olor w:val="auto"/>
          <w:sz w:val="32"/>
          <w:szCs w:val="32"/>
          <w:highlight w:val="none"/>
          <w:lang w:val="zh-CN" w:eastAsia="zh-CN"/>
        </w:rPr>
      </w:pPr>
      <w:r>
        <w:rPr>
          <w:rFonts w:hint="eastAsia" w:ascii="黑体" w:hAnsi="黑体" w:eastAsia="黑体"/>
          <w:color w:val="auto"/>
          <w:sz w:val="32"/>
          <w:szCs w:val="32"/>
          <w:highlight w:val="none"/>
          <w:lang w:val="zh-CN" w:eastAsia="zh-CN"/>
        </w:rPr>
        <w:t>其他需说明的事项</w:t>
      </w:r>
    </w:p>
    <w:p w14:paraId="4E27D3DA">
      <w:pPr>
        <w:keepNext w:val="0"/>
        <w:keepLines w:val="0"/>
        <w:pageBreakBefore w:val="0"/>
        <w:widowControl w:val="0"/>
        <w:numPr>
          <w:ilvl w:val="0"/>
          <w:numId w:val="0"/>
        </w:numPr>
        <w:pBdr>
          <w:bottom w:val="single" w:color="FFFFFF" w:sz="4" w:space="31"/>
        </w:pBdr>
        <w:tabs>
          <w:tab w:val="left" w:pos="1440"/>
        </w:tabs>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本单位无其他需说明事项。</w:t>
      </w:r>
    </w:p>
    <w:p w14:paraId="2EC2857B">
      <w:pPr>
        <w:rPr>
          <w:rFonts w:hint="eastAsia"/>
          <w:lang w:val="en-US" w:eastAsia="zh-CN"/>
        </w:rPr>
      </w:pPr>
      <w:r>
        <w:rPr>
          <w:rFonts w:hint="eastAsia" w:ascii="仿宋_GB2312" w:hAnsi="仿宋_GB2312" w:eastAsia="仿宋_GB2312" w:cs="仿宋_GB2312"/>
          <w:color w:val="auto"/>
          <w:sz w:val="32"/>
          <w:szCs w:val="32"/>
          <w:highlight w:val="none"/>
          <w:lang w:val="en-US" w:eastAsia="zh-CN"/>
        </w:rPr>
        <w:br w:type="page"/>
      </w:r>
    </w:p>
    <w:p w14:paraId="370AB7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85EAD6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D34DD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5C105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A4EFD2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B0834F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A889E1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EAD374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AED3E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C224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7556C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1C5B876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1A2585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15E61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D661902">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D2915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7CFD4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157E85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0D0599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1D23D6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C4AEC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47A8D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DFCAD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2180F2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53A3F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6AFFF70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EA44C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6F4B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047CC1">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E047CC1">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B9BFA"/>
    <w:multiLevelType w:val="singleLevel"/>
    <w:tmpl w:val="E0DB9BFA"/>
    <w:lvl w:ilvl="0" w:tentative="0">
      <w:start w:val="12"/>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C41D50"/>
    <w:rsid w:val="03D55434"/>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7B622F2"/>
    <w:rsid w:val="08145C21"/>
    <w:rsid w:val="08422688"/>
    <w:rsid w:val="085854ED"/>
    <w:rsid w:val="0879188F"/>
    <w:rsid w:val="08A0354D"/>
    <w:rsid w:val="08BF3ABF"/>
    <w:rsid w:val="08CD4C49"/>
    <w:rsid w:val="08F54243"/>
    <w:rsid w:val="09114954"/>
    <w:rsid w:val="095A5B83"/>
    <w:rsid w:val="096466E3"/>
    <w:rsid w:val="0968304D"/>
    <w:rsid w:val="0999257E"/>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947789"/>
    <w:rsid w:val="0F1113DA"/>
    <w:rsid w:val="0F684195"/>
    <w:rsid w:val="0F78534A"/>
    <w:rsid w:val="0F89358A"/>
    <w:rsid w:val="0F8C6D51"/>
    <w:rsid w:val="0FE45686"/>
    <w:rsid w:val="105B0B5E"/>
    <w:rsid w:val="112E58D0"/>
    <w:rsid w:val="11661533"/>
    <w:rsid w:val="11731CAC"/>
    <w:rsid w:val="119500A0"/>
    <w:rsid w:val="11C0733B"/>
    <w:rsid w:val="11D50D17"/>
    <w:rsid w:val="120E0809"/>
    <w:rsid w:val="127F665A"/>
    <w:rsid w:val="12E709F2"/>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6C2773"/>
    <w:rsid w:val="17954A6E"/>
    <w:rsid w:val="17BE2C86"/>
    <w:rsid w:val="180059E9"/>
    <w:rsid w:val="184510FD"/>
    <w:rsid w:val="190648B0"/>
    <w:rsid w:val="19071D6C"/>
    <w:rsid w:val="192A7BC3"/>
    <w:rsid w:val="19D26CD4"/>
    <w:rsid w:val="19E60D19"/>
    <w:rsid w:val="1A3E3450"/>
    <w:rsid w:val="1AC25B5D"/>
    <w:rsid w:val="1AD807E5"/>
    <w:rsid w:val="1B39345B"/>
    <w:rsid w:val="1BFB2A1F"/>
    <w:rsid w:val="1C015D4A"/>
    <w:rsid w:val="1C290ED5"/>
    <w:rsid w:val="1C317E4F"/>
    <w:rsid w:val="1C472464"/>
    <w:rsid w:val="1D22799A"/>
    <w:rsid w:val="1D5C1A72"/>
    <w:rsid w:val="1DAF458D"/>
    <w:rsid w:val="1E086ACE"/>
    <w:rsid w:val="1E62130A"/>
    <w:rsid w:val="1E734B9A"/>
    <w:rsid w:val="1E8D084A"/>
    <w:rsid w:val="1E97358B"/>
    <w:rsid w:val="1EAA4A5F"/>
    <w:rsid w:val="1EE869A7"/>
    <w:rsid w:val="1F3F37CF"/>
    <w:rsid w:val="1FA15E62"/>
    <w:rsid w:val="1FED69B6"/>
    <w:rsid w:val="1FF7705C"/>
    <w:rsid w:val="2064678E"/>
    <w:rsid w:val="20715B97"/>
    <w:rsid w:val="20DC1AB9"/>
    <w:rsid w:val="20DD6197"/>
    <w:rsid w:val="212631E0"/>
    <w:rsid w:val="2138666F"/>
    <w:rsid w:val="21742080"/>
    <w:rsid w:val="21830B1D"/>
    <w:rsid w:val="21A53757"/>
    <w:rsid w:val="21F879E1"/>
    <w:rsid w:val="221236C6"/>
    <w:rsid w:val="22125F16"/>
    <w:rsid w:val="226C65CE"/>
    <w:rsid w:val="22D7662C"/>
    <w:rsid w:val="23326B7F"/>
    <w:rsid w:val="2380045B"/>
    <w:rsid w:val="23BC04D2"/>
    <w:rsid w:val="23EF1892"/>
    <w:rsid w:val="242E7E08"/>
    <w:rsid w:val="24663A9E"/>
    <w:rsid w:val="2483647E"/>
    <w:rsid w:val="24A32D55"/>
    <w:rsid w:val="24CE6D9A"/>
    <w:rsid w:val="25292727"/>
    <w:rsid w:val="25295934"/>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0B5BF1"/>
    <w:rsid w:val="2C6F314E"/>
    <w:rsid w:val="2CC206BE"/>
    <w:rsid w:val="2D1136DF"/>
    <w:rsid w:val="2D20606D"/>
    <w:rsid w:val="2D6729FE"/>
    <w:rsid w:val="2DB87198"/>
    <w:rsid w:val="2DB93C54"/>
    <w:rsid w:val="2DDD7354"/>
    <w:rsid w:val="2E3D144C"/>
    <w:rsid w:val="2E891204"/>
    <w:rsid w:val="2F3B01F1"/>
    <w:rsid w:val="2F3F0A28"/>
    <w:rsid w:val="2F9B66DF"/>
    <w:rsid w:val="2FBF7029"/>
    <w:rsid w:val="2FD0187F"/>
    <w:rsid w:val="2FD27414"/>
    <w:rsid w:val="2FE71D66"/>
    <w:rsid w:val="2FFE4BB0"/>
    <w:rsid w:val="300E7B60"/>
    <w:rsid w:val="300F6E18"/>
    <w:rsid w:val="30862F5F"/>
    <w:rsid w:val="30A4775A"/>
    <w:rsid w:val="314029C9"/>
    <w:rsid w:val="31C63837"/>
    <w:rsid w:val="31C82E39"/>
    <w:rsid w:val="32601BAD"/>
    <w:rsid w:val="329F6389"/>
    <w:rsid w:val="3389023A"/>
    <w:rsid w:val="33B45F50"/>
    <w:rsid w:val="33CB74FA"/>
    <w:rsid w:val="342C423B"/>
    <w:rsid w:val="343642F2"/>
    <w:rsid w:val="343F3010"/>
    <w:rsid w:val="345D0A00"/>
    <w:rsid w:val="34713BFD"/>
    <w:rsid w:val="347F5771"/>
    <w:rsid w:val="348A4C40"/>
    <w:rsid w:val="34C13589"/>
    <w:rsid w:val="353369E3"/>
    <w:rsid w:val="35B21E0B"/>
    <w:rsid w:val="35E00D72"/>
    <w:rsid w:val="36965B9D"/>
    <w:rsid w:val="36C549FD"/>
    <w:rsid w:val="37675DE5"/>
    <w:rsid w:val="37A755DD"/>
    <w:rsid w:val="37F33BFE"/>
    <w:rsid w:val="37F94FA0"/>
    <w:rsid w:val="380D3381"/>
    <w:rsid w:val="38115B1F"/>
    <w:rsid w:val="38384557"/>
    <w:rsid w:val="385E3AC3"/>
    <w:rsid w:val="387D6B9E"/>
    <w:rsid w:val="38B75FF0"/>
    <w:rsid w:val="38D45016"/>
    <w:rsid w:val="38D90432"/>
    <w:rsid w:val="3914510A"/>
    <w:rsid w:val="3926770B"/>
    <w:rsid w:val="3982065B"/>
    <w:rsid w:val="398D3668"/>
    <w:rsid w:val="39DA0497"/>
    <w:rsid w:val="3A171DEC"/>
    <w:rsid w:val="3A893816"/>
    <w:rsid w:val="3A893B6D"/>
    <w:rsid w:val="3A944F8C"/>
    <w:rsid w:val="3AD1763A"/>
    <w:rsid w:val="3ADB3DCE"/>
    <w:rsid w:val="3B196883"/>
    <w:rsid w:val="3B6716E3"/>
    <w:rsid w:val="3B6C6B2D"/>
    <w:rsid w:val="3B713151"/>
    <w:rsid w:val="3BEA5BEF"/>
    <w:rsid w:val="3C242659"/>
    <w:rsid w:val="3C3A3BFD"/>
    <w:rsid w:val="3C96719C"/>
    <w:rsid w:val="3CA72BE8"/>
    <w:rsid w:val="3CC8535A"/>
    <w:rsid w:val="3CDC1E1E"/>
    <w:rsid w:val="3CF37F8C"/>
    <w:rsid w:val="3D137554"/>
    <w:rsid w:val="3D5275AC"/>
    <w:rsid w:val="3DCC2473"/>
    <w:rsid w:val="3DEB0883"/>
    <w:rsid w:val="3DFE6986"/>
    <w:rsid w:val="3E2527BF"/>
    <w:rsid w:val="3E70484C"/>
    <w:rsid w:val="3E731662"/>
    <w:rsid w:val="3E8168DD"/>
    <w:rsid w:val="3EA7725F"/>
    <w:rsid w:val="3EB03713"/>
    <w:rsid w:val="3EBF1A11"/>
    <w:rsid w:val="3EC52607"/>
    <w:rsid w:val="3EC82732"/>
    <w:rsid w:val="3EEC6CEF"/>
    <w:rsid w:val="3F183429"/>
    <w:rsid w:val="3FB77A1D"/>
    <w:rsid w:val="3FDC3674"/>
    <w:rsid w:val="3FE348B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7EB0602"/>
    <w:rsid w:val="48387FB0"/>
    <w:rsid w:val="483A6114"/>
    <w:rsid w:val="488727DB"/>
    <w:rsid w:val="48B82268"/>
    <w:rsid w:val="48C354B3"/>
    <w:rsid w:val="48D2252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C545A0"/>
    <w:rsid w:val="4CEE3180"/>
    <w:rsid w:val="4D0A510F"/>
    <w:rsid w:val="4D0F4AF6"/>
    <w:rsid w:val="4DF94F37"/>
    <w:rsid w:val="4E0A1DD5"/>
    <w:rsid w:val="4E3160E5"/>
    <w:rsid w:val="4E4D37AF"/>
    <w:rsid w:val="4E8C6496"/>
    <w:rsid w:val="4EFD18DE"/>
    <w:rsid w:val="4F144236"/>
    <w:rsid w:val="4F663C87"/>
    <w:rsid w:val="4F7E29A8"/>
    <w:rsid w:val="4F9E1FFC"/>
    <w:rsid w:val="4FCF4F22"/>
    <w:rsid w:val="50447CC2"/>
    <w:rsid w:val="50874A7C"/>
    <w:rsid w:val="50895EE7"/>
    <w:rsid w:val="50921B9D"/>
    <w:rsid w:val="50A63EC9"/>
    <w:rsid w:val="50D16158"/>
    <w:rsid w:val="50DB5F45"/>
    <w:rsid w:val="51025EB1"/>
    <w:rsid w:val="51094312"/>
    <w:rsid w:val="51141503"/>
    <w:rsid w:val="513C450E"/>
    <w:rsid w:val="518D0ED5"/>
    <w:rsid w:val="525C687F"/>
    <w:rsid w:val="529C3C3B"/>
    <w:rsid w:val="52A3740A"/>
    <w:rsid w:val="52C64C05"/>
    <w:rsid w:val="52F647F7"/>
    <w:rsid w:val="52F92565"/>
    <w:rsid w:val="53AE735E"/>
    <w:rsid w:val="53D03877"/>
    <w:rsid w:val="542F73CA"/>
    <w:rsid w:val="5430786D"/>
    <w:rsid w:val="545A1D2A"/>
    <w:rsid w:val="5489737E"/>
    <w:rsid w:val="54C811C0"/>
    <w:rsid w:val="556A442D"/>
    <w:rsid w:val="559F4397"/>
    <w:rsid w:val="55DA564E"/>
    <w:rsid w:val="55E816A3"/>
    <w:rsid w:val="5604127D"/>
    <w:rsid w:val="56044E6C"/>
    <w:rsid w:val="56166703"/>
    <w:rsid w:val="56510474"/>
    <w:rsid w:val="56861525"/>
    <w:rsid w:val="56A93273"/>
    <w:rsid w:val="56BD550C"/>
    <w:rsid w:val="56C51205"/>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1D2708"/>
    <w:rsid w:val="5A5D23AA"/>
    <w:rsid w:val="5A60780B"/>
    <w:rsid w:val="5AB34579"/>
    <w:rsid w:val="5AB40E78"/>
    <w:rsid w:val="5AF80B40"/>
    <w:rsid w:val="5AFC6609"/>
    <w:rsid w:val="5B113480"/>
    <w:rsid w:val="5B4B54C4"/>
    <w:rsid w:val="5BD456CE"/>
    <w:rsid w:val="5C0D1F49"/>
    <w:rsid w:val="5CBB0CE2"/>
    <w:rsid w:val="5CC17177"/>
    <w:rsid w:val="5CF306BC"/>
    <w:rsid w:val="5D3F3D64"/>
    <w:rsid w:val="5D833043"/>
    <w:rsid w:val="5DD92690"/>
    <w:rsid w:val="5DDB1CFD"/>
    <w:rsid w:val="5E110B58"/>
    <w:rsid w:val="5E2302DD"/>
    <w:rsid w:val="5E7834FE"/>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E51092"/>
    <w:rsid w:val="61F114A2"/>
    <w:rsid w:val="622B0ABA"/>
    <w:rsid w:val="62422870"/>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B2443"/>
    <w:rsid w:val="65AC6EDD"/>
    <w:rsid w:val="65D97752"/>
    <w:rsid w:val="66085536"/>
    <w:rsid w:val="66105BF7"/>
    <w:rsid w:val="66150023"/>
    <w:rsid w:val="6628010D"/>
    <w:rsid w:val="669B4528"/>
    <w:rsid w:val="66CC12D7"/>
    <w:rsid w:val="67134CEF"/>
    <w:rsid w:val="671F1ABD"/>
    <w:rsid w:val="67521A59"/>
    <w:rsid w:val="67A525FC"/>
    <w:rsid w:val="67C304AB"/>
    <w:rsid w:val="683F0658"/>
    <w:rsid w:val="689C6793"/>
    <w:rsid w:val="68A35B5F"/>
    <w:rsid w:val="68DB0208"/>
    <w:rsid w:val="68FB170C"/>
    <w:rsid w:val="691B3D98"/>
    <w:rsid w:val="693748F0"/>
    <w:rsid w:val="69846A0E"/>
    <w:rsid w:val="699A0712"/>
    <w:rsid w:val="69AA1366"/>
    <w:rsid w:val="69AD798C"/>
    <w:rsid w:val="69D005C0"/>
    <w:rsid w:val="69D80B96"/>
    <w:rsid w:val="69F47AD7"/>
    <w:rsid w:val="6A2C39D4"/>
    <w:rsid w:val="6AAE377B"/>
    <w:rsid w:val="6B68175F"/>
    <w:rsid w:val="6BFD799F"/>
    <w:rsid w:val="6C4A2E5A"/>
    <w:rsid w:val="6C8138D0"/>
    <w:rsid w:val="6CEF0725"/>
    <w:rsid w:val="6D4B2604"/>
    <w:rsid w:val="6D752C2B"/>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0AD4370"/>
    <w:rsid w:val="7111480F"/>
    <w:rsid w:val="71261F49"/>
    <w:rsid w:val="712E6956"/>
    <w:rsid w:val="71473612"/>
    <w:rsid w:val="71504F32"/>
    <w:rsid w:val="7152309F"/>
    <w:rsid w:val="71744A01"/>
    <w:rsid w:val="718F7F65"/>
    <w:rsid w:val="71DA6992"/>
    <w:rsid w:val="727B234E"/>
    <w:rsid w:val="728A58B0"/>
    <w:rsid w:val="72AA4817"/>
    <w:rsid w:val="72D068C7"/>
    <w:rsid w:val="72E42ED8"/>
    <w:rsid w:val="72FC34C3"/>
    <w:rsid w:val="735C59E2"/>
    <w:rsid w:val="735F4CB9"/>
    <w:rsid w:val="73674C62"/>
    <w:rsid w:val="73845865"/>
    <w:rsid w:val="739B6D9E"/>
    <w:rsid w:val="73BC1D76"/>
    <w:rsid w:val="73FB6630"/>
    <w:rsid w:val="748D790E"/>
    <w:rsid w:val="749820CC"/>
    <w:rsid w:val="74CE04EC"/>
    <w:rsid w:val="74E76DCD"/>
    <w:rsid w:val="751D7C0A"/>
    <w:rsid w:val="756F0339"/>
    <w:rsid w:val="75722D56"/>
    <w:rsid w:val="75DB5477"/>
    <w:rsid w:val="75FC6AC3"/>
    <w:rsid w:val="7616619B"/>
    <w:rsid w:val="76660D7C"/>
    <w:rsid w:val="766C5968"/>
    <w:rsid w:val="76BE0C8F"/>
    <w:rsid w:val="76CD53B2"/>
    <w:rsid w:val="76E6594C"/>
    <w:rsid w:val="770719AC"/>
    <w:rsid w:val="776526CC"/>
    <w:rsid w:val="779626E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6B19BD"/>
    <w:rsid w:val="797339C3"/>
    <w:rsid w:val="79B91F3C"/>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8D61A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5171</Words>
  <Characters>5802</Characters>
  <Lines>0</Lines>
  <Paragraphs>0</Paragraphs>
  <TotalTime>3</TotalTime>
  <ScaleCrop>false</ScaleCrop>
  <LinksUpToDate>false</LinksUpToDate>
  <CharactersWithSpaces>5815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2025-03-28T07:08:43Z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