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方正小标宋简体" w:hAnsi="方正小标宋简体" w:eastAsia="方正小标宋简体" w:cs="方正小标宋简体"/>
          <w:b w:val="0"/>
          <w:bCs w:val="0"/>
          <w:kern w:val="0"/>
          <w:sz w:val="44"/>
          <w:szCs w:val="44"/>
        </w:rPr>
      </w:pPr>
      <w:r>
        <w:rPr>
          <w:rStyle w:val="18"/>
          <w:rFonts w:hint="eastAsia" w:ascii="方正小标宋简体" w:hAnsi="方正小标宋简体" w:eastAsia="方正小标宋简体" w:cs="方正小标宋简体"/>
          <w:b w:val="0"/>
          <w:bCs w:val="0"/>
          <w:spacing w:val="-4"/>
          <w:sz w:val="44"/>
          <w:szCs w:val="44"/>
        </w:rPr>
        <w:t>沙湾市技工学校</w:t>
      </w:r>
      <w:r>
        <w:rPr>
          <w:rStyle w:val="18"/>
          <w:rFonts w:hint="eastAsia" w:ascii="方正小标宋简体" w:hAnsi="方正小标宋简体" w:eastAsia="方正小标宋简体" w:cs="方正小标宋简体"/>
          <w:b w:val="0"/>
          <w:bCs w:val="0"/>
          <w:spacing w:val="-4"/>
          <w:sz w:val="44"/>
          <w:szCs w:val="44"/>
          <w:lang w:val="en-US" w:eastAsia="zh-CN"/>
        </w:rPr>
        <w:t>2023年</w:t>
      </w:r>
      <w:r>
        <w:rPr>
          <w:rStyle w:val="18"/>
          <w:rFonts w:hint="eastAsia" w:ascii="方正小标宋简体" w:hAnsi="方正小标宋简体" w:eastAsia="方正小标宋简体" w:cs="方正小标宋简体"/>
          <w:b w:val="0"/>
          <w:bCs w:val="0"/>
          <w:spacing w:val="-4"/>
          <w:sz w:val="44"/>
          <w:szCs w:val="44"/>
        </w:rPr>
        <w:t>职业技能培训项目</w:t>
      </w:r>
      <w:r>
        <w:rPr>
          <w:rFonts w:hint="eastAsia" w:ascii="方正小标宋简体" w:hAnsi="方正小标宋简体" w:eastAsia="方正小标宋简体" w:cs="方正小标宋简体"/>
          <w:b w:val="0"/>
          <w:bCs w:val="0"/>
          <w:kern w:val="0"/>
          <w:sz w:val="44"/>
          <w:szCs w:val="44"/>
        </w:rPr>
        <w:t>项目支出绩效自评报告</w:t>
      </w: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方正小标宋简体" w:hAnsi="方正小标宋简体" w:eastAsia="方正小标宋简体" w:cs="方正小标宋简体"/>
          <w:b w:val="0"/>
          <w:bCs w:val="0"/>
          <w:kern w:val="0"/>
          <w:sz w:val="44"/>
          <w:szCs w:val="44"/>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700" w:lineRule="exact"/>
        <w:jc w:val="both"/>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700" w:lineRule="exact"/>
        <w:ind w:firstLine="640" w:firstLineChars="200"/>
        <w:jc w:val="both"/>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项目名称：</w:t>
      </w:r>
      <w:r>
        <w:rPr>
          <w:rStyle w:val="18"/>
          <w:rFonts w:hint="eastAsia" w:ascii="仿宋_GB2312" w:hAnsi="仿宋_GB2312" w:eastAsia="仿宋_GB2312" w:cs="仿宋_GB2312"/>
          <w:b w:val="0"/>
          <w:bCs w:val="0"/>
          <w:spacing w:val="-4"/>
          <w:sz w:val="32"/>
          <w:szCs w:val="32"/>
        </w:rPr>
        <w:t>沙湾市技工学校职业技能培训项目</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实施单位（公章）：</w:t>
      </w:r>
      <w:r>
        <w:rPr>
          <w:rStyle w:val="18"/>
          <w:rFonts w:hint="eastAsia" w:ascii="仿宋_GB2312" w:hAnsi="仿宋_GB2312" w:eastAsia="仿宋_GB2312" w:cs="仿宋_GB2312"/>
          <w:b w:val="0"/>
          <w:bCs w:val="0"/>
          <w:spacing w:val="-4"/>
          <w:sz w:val="32"/>
          <w:szCs w:val="32"/>
        </w:rPr>
        <w:t>沙湾市技工学校</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主管部门（公章）：</w:t>
      </w:r>
      <w:r>
        <w:rPr>
          <w:rStyle w:val="18"/>
          <w:rFonts w:hint="eastAsia" w:ascii="仿宋_GB2312" w:hAnsi="仿宋_GB2312" w:eastAsia="仿宋_GB2312" w:cs="仿宋_GB2312"/>
          <w:b w:val="0"/>
          <w:bCs w:val="0"/>
          <w:spacing w:val="-4"/>
          <w:sz w:val="32"/>
          <w:szCs w:val="32"/>
        </w:rPr>
        <w:t>沙湾市技工学校</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项目负责人（签章）：</w:t>
      </w:r>
      <w:r>
        <w:rPr>
          <w:rStyle w:val="18"/>
          <w:rFonts w:hint="eastAsia" w:ascii="仿宋_GB2312" w:hAnsi="仿宋_GB2312" w:eastAsia="仿宋_GB2312" w:cs="仿宋_GB2312"/>
          <w:b w:val="0"/>
          <w:bCs w:val="0"/>
          <w:spacing w:val="-4"/>
          <w:sz w:val="32"/>
          <w:szCs w:val="32"/>
        </w:rPr>
        <w:t>陶新军</w:t>
      </w:r>
    </w:p>
    <w:p>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textAlignment w:val="auto"/>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填报时间：</w:t>
      </w:r>
      <w:r>
        <w:rPr>
          <w:rStyle w:val="18"/>
          <w:rFonts w:hint="eastAsia" w:ascii="仿宋_GB2312" w:hAnsi="仿宋_GB2312" w:eastAsia="仿宋_GB2312" w:cs="仿宋_GB2312"/>
          <w:b w:val="0"/>
          <w:bCs w:val="0"/>
          <w:spacing w:val="-4"/>
          <w:sz w:val="32"/>
          <w:szCs w:val="32"/>
        </w:rPr>
        <w:t>2024年</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月</w:t>
      </w:r>
      <w:r>
        <w:rPr>
          <w:rStyle w:val="18"/>
          <w:rFonts w:hint="eastAsia" w:ascii="仿宋_GB2312" w:hAnsi="仿宋_GB2312" w:eastAsia="仿宋_GB2312" w:cs="仿宋_GB2312"/>
          <w:b w:val="0"/>
          <w:bCs w:val="0"/>
          <w:spacing w:val="-4"/>
          <w:sz w:val="32"/>
          <w:szCs w:val="32"/>
          <w:lang w:val="en-US" w:eastAsia="zh-CN"/>
        </w:rPr>
        <w:t>20</w:t>
      </w:r>
      <w:r>
        <w:rPr>
          <w:rStyle w:val="18"/>
          <w:rFonts w:hint="eastAsia" w:ascii="仿宋_GB2312" w:hAnsi="仿宋_GB2312" w:eastAsia="仿宋_GB2312" w:cs="仿宋_GB2312"/>
          <w:b w:val="0"/>
          <w:bCs w:val="0"/>
          <w:spacing w:val="-4"/>
          <w:sz w:val="32"/>
          <w:szCs w:val="32"/>
        </w:rPr>
        <w:t>日</w:t>
      </w:r>
    </w:p>
    <w:p>
      <w:pPr>
        <w:keepNext w:val="0"/>
        <w:keepLines w:val="0"/>
        <w:pageBreakBefore w:val="0"/>
        <w:widowControl w:val="0"/>
        <w:kinsoku/>
        <w:wordWrap/>
        <w:overflowPunct/>
        <w:topLinePunct w:val="0"/>
        <w:autoSpaceDE/>
        <w:autoSpaceDN/>
        <w:bidi w:val="0"/>
        <w:adjustRightInd w:val="0"/>
        <w:snapToGrid w:val="0"/>
        <w:spacing w:line="700" w:lineRule="exact"/>
        <w:ind w:firstLine="755" w:firstLineChars="236"/>
        <w:jc w:val="left"/>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Style w:val="18"/>
          <w:rFonts w:hint="eastAsia" w:ascii="方正小标宋简体" w:hAnsi="方正小标宋简体" w:eastAsia="方正小标宋简体" w:cs="方正小标宋简体"/>
          <w:b w:val="0"/>
          <w:bCs w:val="0"/>
          <w:spacing w:val="-4"/>
          <w:sz w:val="44"/>
          <w:szCs w:val="44"/>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Style w:val="18"/>
          <w:rFonts w:hint="eastAsia" w:ascii="方正小标宋简体" w:hAnsi="方正小标宋简体" w:eastAsia="方正小标宋简体" w:cs="方正小标宋简体"/>
          <w:b w:val="0"/>
          <w:bCs w:val="0"/>
          <w:spacing w:val="-4"/>
          <w:sz w:val="44"/>
          <w:szCs w:val="44"/>
        </w:rPr>
      </w:pP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Style w:val="18"/>
          <w:rFonts w:hint="eastAsia" w:ascii="方正小标宋简体" w:hAnsi="方正小标宋简体" w:eastAsia="方正小标宋简体" w:cs="方正小标宋简体"/>
          <w:b w:val="0"/>
          <w:bCs w:val="0"/>
          <w:spacing w:val="-4"/>
          <w:sz w:val="44"/>
          <w:szCs w:val="44"/>
        </w:rPr>
      </w:pPr>
      <w:r>
        <w:rPr>
          <w:rStyle w:val="18"/>
          <w:rFonts w:hint="eastAsia" w:ascii="方正小标宋简体" w:hAnsi="方正小标宋简体" w:eastAsia="方正小标宋简体" w:cs="方正小标宋简体"/>
          <w:b w:val="0"/>
          <w:bCs w:val="0"/>
          <w:spacing w:val="-4"/>
          <w:sz w:val="44"/>
          <w:szCs w:val="44"/>
        </w:rPr>
        <w:t>沙湾市技工学校</w:t>
      </w:r>
      <w:r>
        <w:rPr>
          <w:rStyle w:val="18"/>
          <w:rFonts w:hint="eastAsia" w:ascii="方正小标宋简体" w:hAnsi="方正小标宋简体" w:eastAsia="方正小标宋简体" w:cs="方正小标宋简体"/>
          <w:b w:val="0"/>
          <w:bCs w:val="0"/>
          <w:spacing w:val="-4"/>
          <w:sz w:val="44"/>
          <w:szCs w:val="44"/>
          <w:lang w:val="en-US" w:eastAsia="zh-CN"/>
        </w:rPr>
        <w:t>2023年</w:t>
      </w:r>
      <w:r>
        <w:rPr>
          <w:rStyle w:val="18"/>
          <w:rFonts w:hint="eastAsia" w:ascii="方正小标宋简体" w:hAnsi="方正小标宋简体" w:eastAsia="方正小标宋简体" w:cs="方正小标宋简体"/>
          <w:b w:val="0"/>
          <w:bCs w:val="0"/>
          <w:spacing w:val="-4"/>
          <w:sz w:val="44"/>
          <w:szCs w:val="44"/>
        </w:rPr>
        <w:t>职业技能培训项目</w:t>
      </w:r>
    </w:p>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项目支出绩效自评报告</w:t>
      </w:r>
    </w:p>
    <w:p>
      <w:pPr>
        <w:keepNext w:val="0"/>
        <w:keepLines w:val="0"/>
        <w:pageBreakBefore w:val="0"/>
        <w:widowControl w:val="0"/>
        <w:kinsoku/>
        <w:wordWrap/>
        <w:overflowPunct/>
        <w:topLinePunct w:val="0"/>
        <w:autoSpaceDE/>
        <w:autoSpaceDN/>
        <w:bidi w:val="0"/>
        <w:adjustRightInd w:val="0"/>
        <w:snapToGrid w:val="0"/>
        <w:spacing w:line="540" w:lineRule="exact"/>
        <w:ind w:firstLine="640"/>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4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（一）项目单位基本情况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1.项目背景</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沙湾市技工学校职业技能培训项目资金主要切实把</w:t>
      </w:r>
      <w:r>
        <w:rPr>
          <w:rStyle w:val="18"/>
          <w:rFonts w:hint="eastAsia" w:ascii="仿宋_GB2312" w:hAnsi="仿宋_GB2312" w:eastAsia="仿宋_GB2312" w:cs="仿宋_GB2312"/>
          <w:b w:val="0"/>
          <w:bCs w:val="0"/>
          <w:spacing w:val="-4"/>
          <w:sz w:val="32"/>
          <w:szCs w:val="32"/>
          <w:lang w:eastAsia="zh-CN"/>
        </w:rPr>
        <w:t>自治区党委常委</w:t>
      </w:r>
      <w:r>
        <w:rPr>
          <w:rStyle w:val="18"/>
          <w:rFonts w:hint="eastAsia" w:ascii="仿宋_GB2312" w:hAnsi="仿宋_GB2312" w:eastAsia="仿宋_GB2312" w:cs="仿宋_GB2312"/>
          <w:b w:val="0"/>
          <w:bCs w:val="0"/>
          <w:spacing w:val="-4"/>
          <w:sz w:val="32"/>
          <w:szCs w:val="32"/>
        </w:rPr>
        <w:t>、市委工作部署、要求落到实处，为做好学校教育培训工作打下坚实的思想基础，从而有效开展农村劳动力就业技能培训，改善办学条件提高教学质量</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教学水平，加大管理力度，强化教学管理，有效培养高素质劳动者和技术技能人才，促进培训工作健康发展。收到补助资金后，学校加强财务管理，建立规范的预决算制度，严格使用，确保学校正常运转，健全的各项管理制度，并严格按照相关管理制度文件要求范围使用预算资金，严格按照政府信息公开有关规定及财政部门要求公开相关预决算信息，有效提高了本单位</w:t>
      </w:r>
      <w:r>
        <w:rPr>
          <w:rStyle w:val="18"/>
          <w:rFonts w:hint="eastAsia" w:ascii="仿宋_GB2312" w:hAnsi="仿宋_GB2312" w:eastAsia="仿宋_GB2312" w:cs="仿宋_GB2312"/>
          <w:b w:val="0"/>
          <w:bCs w:val="0"/>
          <w:spacing w:val="-4"/>
          <w:sz w:val="32"/>
          <w:szCs w:val="32"/>
          <w:lang w:eastAsia="zh-CN"/>
        </w:rPr>
        <w:t>高效地履行</w:t>
      </w:r>
      <w:r>
        <w:rPr>
          <w:rStyle w:val="18"/>
          <w:rFonts w:hint="eastAsia" w:ascii="仿宋_GB2312" w:hAnsi="仿宋_GB2312" w:eastAsia="仿宋_GB2312" w:cs="仿宋_GB2312"/>
          <w:b w:val="0"/>
          <w:bCs w:val="0"/>
          <w:spacing w:val="-4"/>
          <w:sz w:val="32"/>
          <w:szCs w:val="32"/>
        </w:rPr>
        <w:t>工作职能，较</w:t>
      </w:r>
      <w:r>
        <w:rPr>
          <w:rStyle w:val="18"/>
          <w:rFonts w:hint="eastAsia" w:ascii="仿宋_GB2312" w:hAnsi="仿宋_GB2312" w:eastAsia="仿宋_GB2312" w:cs="仿宋_GB2312"/>
          <w:b w:val="0"/>
          <w:bCs w:val="0"/>
          <w:spacing w:val="-4"/>
          <w:sz w:val="32"/>
          <w:szCs w:val="32"/>
          <w:lang w:eastAsia="zh-CN"/>
        </w:rPr>
        <w:t>好地促进</w:t>
      </w:r>
      <w:r>
        <w:rPr>
          <w:rStyle w:val="18"/>
          <w:rFonts w:hint="eastAsia" w:ascii="仿宋_GB2312" w:hAnsi="仿宋_GB2312" w:eastAsia="仿宋_GB2312" w:cs="仿宋_GB2312"/>
          <w:b w:val="0"/>
          <w:bCs w:val="0"/>
          <w:spacing w:val="-4"/>
          <w:sz w:val="32"/>
          <w:szCs w:val="32"/>
        </w:rPr>
        <w:t>了相关事业的发展。政策依据：关于印发《新疆维吾尔自治区就业资金管理暂行办法》的通知（新财社〔2018〕241号）、关于印发《塔城地区职业培训补贴政策</w:t>
      </w:r>
      <w:r>
        <w:rPr>
          <w:rStyle w:val="18"/>
          <w:rFonts w:hint="eastAsia" w:ascii="仿宋_GB2312" w:hAnsi="仿宋_GB2312" w:eastAsia="仿宋_GB2312" w:cs="仿宋_GB2312"/>
          <w:b w:val="0"/>
          <w:bCs w:val="0"/>
          <w:spacing w:val="-4"/>
          <w:sz w:val="32"/>
          <w:szCs w:val="32"/>
          <w:lang w:eastAsia="zh-CN"/>
        </w:rPr>
        <w:t>实施</w:t>
      </w:r>
      <w:r>
        <w:rPr>
          <w:rStyle w:val="18"/>
          <w:rFonts w:hint="eastAsia" w:ascii="仿宋_GB2312" w:hAnsi="仿宋_GB2312" w:eastAsia="仿宋_GB2312" w:cs="仿宋_GB2312"/>
          <w:b w:val="0"/>
          <w:bCs w:val="0"/>
          <w:spacing w:val="-4"/>
          <w:sz w:val="32"/>
          <w:szCs w:val="32"/>
        </w:rPr>
        <w:t>办法（试行）》的通知（塔地人社字[2019]71号）。</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2.</w:t>
      </w:r>
      <w:r>
        <w:rPr>
          <w:rStyle w:val="18"/>
          <w:rFonts w:hint="eastAsia" w:ascii="仿宋_GB2312" w:hAnsi="仿宋_GB2312" w:eastAsia="仿宋_GB2312" w:cs="仿宋_GB2312"/>
          <w:b w:val="0"/>
          <w:bCs w:val="0"/>
          <w:spacing w:val="-4"/>
          <w:sz w:val="32"/>
          <w:szCs w:val="32"/>
        </w:rPr>
        <w:t>项目主要内容及实施情况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沙湾市技工学校职业技能培训项目资金主要为做好学校教育培训工作打下坚实的思想基础，从而有效开展农村劳动力就业技能培训，改善办学条件提高教学质量</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教学水平，加大管理力度，强化教学管理，有效培养高素质劳动者和技术技能人才，促进培训工作健康发展，开展技能培训，促进我市农牧民创业就业技能，提高技能人员就业水平，提升技工学校职业和技能培训能力，保障培训工作有效运转，主要用于学校日常教学开支，办公费用、维修维护费用、办公设备购置、培训费用、项目前期费、鉴定费、聘用教师课时费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于2023年1月开始实施，截止2023年12月，该项目已实施完成，通过本项目的实施，有效解决了我校各项工作正常运转，为开展职业技能培训工作提供了良好的基础，化解了资金困难，提升了技工学校职业和技能培训能力、教学水平、教学环境，增强了我校办学条件提高教学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3.项目实施主体</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2023年沙湾市技工学校职业技能培训项目的实施主体为沙湾市技工学校。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 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（1）项目资金安排落实、总投入情况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沙湾市技工学校职业技能培训项目预算安排资金总额174.87万元，其中财政资金174.87万元、其他资金0万元；2023年实际收到预算资金174.87万元，预算资金到位率为100%。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（2）项目资金实际使用情况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截至2023年12月31日，本项目实际支付资金174.87万元，预算执行率100%。项目资金主要用于支付办公费43.51万元、水费1万元、电费2万元、培训费128.35万元。</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val="0"/>
        <w:snapToGrid w:val="0"/>
        <w:spacing w:line="520" w:lineRule="exact"/>
        <w:ind w:left="638" w:leftChars="304"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1.总体目标</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2023年沙湾市技工学校职业技能培训项目资金的设立，是以解决我校开展技能培训，促进我市农牧民创业就业技能，提高技能人员就业水平，提升技工学校职业和技能培训能力，从而增强了学员幸福感。全年项目计划实现目标如下：我校落实好资助政策，保证资金安全，及时下达资金，学校按时落实资助资金。改善办学条件提高教学质量</w:t>
      </w:r>
      <w:r>
        <w:rPr>
          <w:rStyle w:val="18"/>
          <w:rFonts w:hint="eastAsia" w:ascii="仿宋_GB2312" w:hAnsi="仿宋_GB2312" w:eastAsia="仿宋_GB2312" w:cs="仿宋_GB2312"/>
          <w:b w:val="0"/>
          <w:bCs w:val="0"/>
          <w:spacing w:val="-4"/>
          <w:sz w:val="32"/>
          <w:szCs w:val="32"/>
          <w:lang w:eastAsia="zh-CN"/>
        </w:rPr>
        <w:t>、</w:t>
      </w:r>
      <w:bookmarkStart w:id="0" w:name="_GoBack"/>
      <w:bookmarkEnd w:id="0"/>
      <w:r>
        <w:rPr>
          <w:rStyle w:val="18"/>
          <w:rFonts w:hint="eastAsia" w:ascii="仿宋_GB2312" w:hAnsi="仿宋_GB2312" w:eastAsia="仿宋_GB2312" w:cs="仿宋_GB2312"/>
          <w:b w:val="0"/>
          <w:bCs w:val="0"/>
          <w:spacing w:val="-4"/>
          <w:sz w:val="32"/>
          <w:szCs w:val="32"/>
        </w:rPr>
        <w:t>教学水平，加大管理力度，强化教学管理，有效培养高素质劳动者和技术技能人才，促进培训工作健康发展。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2.阶段性目标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（1）项目产出指标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①数量指标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“职业技能培训场次”指标，预期指标值为“大于等于150期”；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“技能大赛鉴定工种数量”指标，预期指标值为“大于等于3个”；</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“宣传横幅展板制作数”指标，预期指标值为“大于等于6次”；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“新建实训厂房数量”指标，预期指标值为“等于1个”；</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②质量指标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“培训学员合格率”指标，预期指标值为“等于100%”；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③时效指标</w:t>
      </w:r>
    </w:p>
    <w:p>
      <w:pPr>
        <w:keepNext w:val="0"/>
        <w:keepLines w:val="0"/>
        <w:pageBreakBefore w:val="0"/>
        <w:widowControl w:val="0"/>
        <w:kinsoku/>
        <w:wordWrap/>
        <w:overflowPunct/>
        <w:topLinePunct w:val="0"/>
        <w:autoSpaceDE/>
        <w:autoSpaceDN/>
        <w:bidi w:val="0"/>
        <w:adjustRightInd w:val="0"/>
        <w:snapToGrid w:val="0"/>
        <w:spacing w:line="520" w:lineRule="exact"/>
        <w:ind w:left="319" w:leftChars="152" w:firstLine="936" w:firstLineChars="3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“项目完成时效”指标，预期指标值为“2023年12月20日前”；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“资金支付及时率”指标，预期指标值为“等于100%”。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（2）项目成本指标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①经济成本指标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“职业技能培训费金额”指标，预期指标值为“小于等于128.36万元”；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“技能大赛鉴定费金额”指标，预期指标值为“小于等于2万元”；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“宣传横幅制作牌子等代理服务费金额”指标，预期指标值为“小于等于14.67万元”；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“新建实训厂房前期费”指标，预期指标值为“小于等于11.06万元”。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②社会成本指标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③生态环境成本指标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（3）项目效益指标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①经济效益指标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②社会效益指标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“保障农村富有劳动力培训合格率”指标，预期指标值为“有效保障”。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③生态效益指标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无此指标。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（4）相关满意度目标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“服务对象满意度”指标，预期指标值为“大于等于98%”。</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1.绩效评价的目的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2.绩效评价的对象和范围</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沙湾市技工学校职业技能培训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沙湾市技工学校职业技能培训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根据以上原则，绩效评价遵循如下具体要求：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（2）保证评价结果的真实性、公正性，提高评价报告的公信力。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（3）绩效评价报告简明扼要，除对绩效评价的过程、结果描述外，还总结经验、指出问题，并就共性问题提出可操作性改进建议。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2.绩效评价指标体系及绩效评价标准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一级指标为：决策、过程、产出、成本、效益。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二级指标为：项目立项、绩效目标、资金投入、资金管理、组织实施、产出数量、产出质量、产出时效、经济成本、项目效益。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第一阶段：前期准备。</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常务副校长杨铭华任评价组组长，绩效评价工作职责为检查项目绩效指标完成情况、审定项目支出绩效评价结果及项目支出绩效评价报告。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副校长陶新军任评价组副组长，绩效评价工作职责为组织和协调项目工作人员采取实地调查、资料检查等方式，核实项目绩效指标完成情况；组织受益对象对项目工作进行评价等。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办公室主任张明、总务处主任樊志刚、会计买尔买提任评价组成员，绩效评价工作职责为做好项目支出绩效评价工作的沟通协调工作，对项目实施情况进行实地调查，编写项目支出绩效评价报告。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第二阶段：组织实施。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第三阶段：分析评价。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第四阶段：撰写与提交评价报告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项目撰写绩效评价报告，按照财政局大平台绩效系统中统一格式和文本框架撰写绩效评价报告。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第五阶段：归集档案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（一）项目组织情况分析</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（一）综合评价情况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通过沙湾市技工学校职业技能培训项目的实施，解决了培训环境不完善、培训设备不足、实训基地没有等问题，实现了学校的教学环境的改善，提高了教育教学质量，减轻了技工学校技能培训负担，增强学校办学条件的信心。促进培训水平，促进教育资源的均衡配置，推动教育事业的均衡发展的效益，该项目预算执行率达100%，项目预期绩效目标及各项具体指标均已全部达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（二）综合评价结论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对沙湾市技工学校职业技能培训项目的绩效目标和各项具体绩效指标实现情况进行了客观评价，最终评分为100分。绩效评级为“优”，具体得分情况为：项目决策15分、项目过程15分、项目产出40分、项目效益20分、项目满意度10分。</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（二）项目管理情况分析</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立项依据充分性：本项目是由年初预算单位提出申报，于2023年1月批复设立，2023年我单位根据《预算批复文件》要求组织实施该项目。项目立项符合国家法律法规、自治区和地区行业发展规划和政策要求，属于本部门履职所需。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5.预算编制科学性： 预算编制经过科学论证，内容与项目内容匹配，项目投资额与工作任务相匹配，根据评分标准，该指标3分，得3分。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6.资金分配合理性：本项目资金分配依据充分，资金分配额度合理，与项目地方实际相适应。根据评分标准，该指标2分，得2分。</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z w:val="32"/>
          <w:szCs w:val="32"/>
        </w:rPr>
      </w:pPr>
      <w:r>
        <w:rPr>
          <w:rStyle w:val="18"/>
          <w:rFonts w:hint="eastAsia" w:ascii="仿宋_GB2312" w:hAnsi="仿宋_GB2312" w:eastAsia="仿宋_GB2312" w:cs="仿宋_GB2312"/>
          <w:b w:val="0"/>
          <w:bCs w:val="0"/>
          <w:spacing w:val="-4"/>
          <w:sz w:val="32"/>
          <w:szCs w:val="32"/>
        </w:rPr>
        <w:t>四、项目绩效情况</w:t>
      </w:r>
      <w:r>
        <w:rPr>
          <w:rStyle w:val="18"/>
          <w:rFonts w:hint="eastAsia" w:ascii="仿宋_GB2312" w:hAnsi="仿宋_GB2312" w:eastAsia="仿宋_GB2312" w:cs="仿宋_GB2312"/>
          <w:b w:val="0"/>
          <w:bCs w:val="0"/>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2.预算执行率：本项目预算编制较为详细，预算资金174.87万元，实际执行174.87万元，预算执行率为100%，项目资金支出总体能够按照预算执行，根据评分标准，该指标2分，得2分。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3.资金使用合规性：项目任务下达后，我单位制定了《财务管理制度》制度和管理规定对经费使用进行规范管理，财务制度健全、执行严格；根据评分标准，该指标3分，得3分。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4.管理制度健全性：我单位制定了项目管理办法，同时对财政专项资金进行严格管理，基本做到了专款专用，根据评分标准，该指标4分，得4分。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项目产出类指标包括产出数量、产出质量、产出时效、产出成本共四方面的内容，由13个三级指标构成，权重分为40分，本项目实际得分40分，得分率为100%。具体各项指标得分如下：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“职业技能培训场次”指标，预期指标值为“大于等于150期”，根据在培训处提供开班次数为依据，实际完成职业技能培训场次158期，与预期目标一致，根据评分标准，该指标2.5分，得2.5分。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“技能大赛鉴定工种数量”指标，预期指标值为“大于等于3期”，根据在鉴定所提供</w:t>
      </w:r>
      <w:r>
        <w:rPr>
          <w:rStyle w:val="18"/>
          <w:rFonts w:hint="eastAsia" w:ascii="仿宋_GB2312" w:hAnsi="仿宋_GB2312" w:eastAsia="仿宋_GB2312" w:cs="仿宋_GB2312"/>
          <w:b w:val="0"/>
          <w:bCs w:val="0"/>
          <w:spacing w:val="-4"/>
          <w:sz w:val="32"/>
          <w:szCs w:val="32"/>
          <w:lang w:eastAsia="zh-CN"/>
        </w:rPr>
        <w:t>数据可知</w:t>
      </w:r>
      <w:r>
        <w:rPr>
          <w:rStyle w:val="18"/>
          <w:rFonts w:hint="eastAsia" w:ascii="仿宋_GB2312" w:hAnsi="仿宋_GB2312" w:eastAsia="仿宋_GB2312" w:cs="仿宋_GB2312"/>
          <w:b w:val="0"/>
          <w:bCs w:val="0"/>
          <w:spacing w:val="-4"/>
          <w:sz w:val="32"/>
          <w:szCs w:val="32"/>
        </w:rPr>
        <w:t>，实际完成技能大赛鉴定工种数3个，与预期目标一致，根据评分标准，该指标2.5分，得2.5分。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“宣传横幅展板制作数”指标，预期指标值为“大于等于6次”，根据在政采云服务市场采购下单支付</w:t>
      </w:r>
      <w:r>
        <w:rPr>
          <w:rStyle w:val="18"/>
          <w:rFonts w:hint="eastAsia" w:ascii="仿宋_GB2312" w:hAnsi="仿宋_GB2312" w:eastAsia="仿宋_GB2312" w:cs="仿宋_GB2312"/>
          <w:b w:val="0"/>
          <w:bCs w:val="0"/>
          <w:spacing w:val="-4"/>
          <w:sz w:val="32"/>
          <w:szCs w:val="32"/>
          <w:lang w:eastAsia="zh-CN"/>
        </w:rPr>
        <w:t>数据可知</w:t>
      </w:r>
      <w:r>
        <w:rPr>
          <w:rStyle w:val="18"/>
          <w:rFonts w:hint="eastAsia" w:ascii="仿宋_GB2312" w:hAnsi="仿宋_GB2312" w:eastAsia="仿宋_GB2312" w:cs="仿宋_GB2312"/>
          <w:b w:val="0"/>
          <w:bCs w:val="0"/>
          <w:spacing w:val="-4"/>
          <w:sz w:val="32"/>
          <w:szCs w:val="32"/>
        </w:rPr>
        <w:t>，实际完成宣传横幅展板制作数6次，与预期目标一致，根据评分标准，该指标2.5分，得2.5分。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“新建实训厂房数量”指标，预期指标值为“等于1个”，根据在我校新建实训厂房数依据，实际完成新建实训厂房数量1个，与预期目标一致，根据评分标准，该指标2.5分，得2.5分。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“培训学员合格率”指标，预期指标值为“等于100%”，根据在培训处提供学员合格率可知，实际完成培训学员合格率100%，与预期目标一致，根据评分标准，该指标10分，得10分。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3.产出时效</w:t>
      </w:r>
    </w:p>
    <w:p>
      <w:pPr>
        <w:keepNext w:val="0"/>
        <w:keepLines w:val="0"/>
        <w:pageBreakBefore w:val="0"/>
        <w:widowControl w:val="0"/>
        <w:kinsoku/>
        <w:wordWrap/>
        <w:overflowPunct/>
        <w:topLinePunct w:val="0"/>
        <w:autoSpaceDE/>
        <w:autoSpaceDN/>
        <w:bidi w:val="0"/>
        <w:adjustRightInd w:val="0"/>
        <w:snapToGrid w:val="0"/>
        <w:spacing w:line="520" w:lineRule="exact"/>
        <w:ind w:firstLine="312" w:firstLineChars="1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“项目完成时效”指标，预期指标值为“2023年12月20日前”，根据项目资金支付</w:t>
      </w:r>
      <w:r>
        <w:rPr>
          <w:rStyle w:val="18"/>
          <w:rFonts w:hint="eastAsia" w:ascii="仿宋_GB2312" w:hAnsi="仿宋_GB2312" w:eastAsia="仿宋_GB2312" w:cs="仿宋_GB2312"/>
          <w:b w:val="0"/>
          <w:bCs w:val="0"/>
          <w:spacing w:val="-4"/>
          <w:sz w:val="32"/>
          <w:szCs w:val="32"/>
          <w:lang w:eastAsia="zh-CN"/>
        </w:rPr>
        <w:t>完成时效可知</w:t>
      </w:r>
      <w:r>
        <w:rPr>
          <w:rStyle w:val="18"/>
          <w:rFonts w:hint="eastAsia" w:ascii="仿宋_GB2312" w:hAnsi="仿宋_GB2312" w:eastAsia="仿宋_GB2312" w:cs="仿宋_GB2312"/>
          <w:b w:val="0"/>
          <w:bCs w:val="0"/>
          <w:spacing w:val="-4"/>
          <w:sz w:val="32"/>
          <w:szCs w:val="32"/>
        </w:rPr>
        <w:t>，实际完成项目完成时效2023年12月20日，与预期目标一致，根据评分标准，该指标5分，得5分。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“资金支付及时率”指标，预期指标值为“等于100%”，根据资金拨付情况及银行支付回单可知，实际完成资金支付及时率100%，与预期目标一致，根据评分标准，该指标5分，得5分。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职业技能培训费金额”指标，预期指标值为“小于等于128.36万”，根据资金拨付情况及银行支付回单可知，本项目职业技能培训费128.36万，在年度计划成本范围内，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技能大赛鉴定费金额”指标，预期指标值为“小于等于2万元”，根据资金拨付情况及银行支付回单可知，本项目职业技能大赛鉴定费2万元，在年度计划成本范围内，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宣传横幅制作牌子等代理服务费金额”指标，预期指标值为“小于等于14.67万元”，根据资金拨付情况及银行支付回单可知，本项目宣传横幅制作牌子等代理服务费14.67万元，在年度计划成本范围内，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新建实训厂房前期费”指标，预期指标值为“小于等于11.06万元”，根据资金拨付情况及银行支付回单可知，本项目新建实训厂房前期费11.06万元，在年度计划成本范围内，根据评分标准，该指标2.5分，得2.5分。</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（一）后续工作计划</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项目效益类指标由社会效益1个二级指标和1个三级指标构成，权重分为20分，本项目实际得分20分，得分率为100%。具体各项指标得分如下：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“保障农村富有劳动力培训合格率”指标，预期指标值为“有效保障”，根据本单位年度工作总结情况，实际完成值为“基本达成目标”根据评分标准，该指标20分，得20分。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val="0"/>
        <w:snapToGrid w:val="0"/>
        <w:spacing w:line="520" w:lineRule="exact"/>
        <w:ind w:firstLine="312" w:firstLineChars="1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“服务对象满意度”指标，预期指标值为“大于等于98%”，根据对我校组织培训班学员进行满意度问卷调查的结果可知，学员满意度达100%，根据评分标准，该指标10分,得10分。</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（三）其他</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1.</w:t>
      </w:r>
      <w:r>
        <w:rPr>
          <w:rStyle w:val="18"/>
          <w:rFonts w:hint="eastAsia" w:ascii="仿宋_GB2312" w:hAnsi="仿宋_GB2312" w:eastAsia="仿宋_GB2312" w:cs="仿宋_GB2312"/>
          <w:b w:val="0"/>
          <w:bCs w:val="0"/>
          <w:spacing w:val="-4"/>
          <w:sz w:val="32"/>
          <w:szCs w:val="32"/>
        </w:rPr>
        <w:t>预算执行进度</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沙湾市技工学校职业技能培训项目预算金额174.87万元，实际到位174.87万元，全年项目实际支出174.87万元，预算执行率为100%。</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2.</w:t>
      </w:r>
      <w:r>
        <w:rPr>
          <w:rStyle w:val="18"/>
          <w:rFonts w:hint="eastAsia" w:ascii="仿宋_GB2312" w:hAnsi="仿宋_GB2312" w:eastAsia="仿宋_GB2312" w:cs="仿宋_GB2312"/>
          <w:b w:val="0"/>
          <w:bCs w:val="0"/>
          <w:spacing w:val="-4"/>
          <w:sz w:val="32"/>
          <w:szCs w:val="32"/>
        </w:rPr>
        <w:t>绩效指标偏差情况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2023年本单位负责实施的沙湾市技工学校职业技能培训项目的绩效目标及指标已经全部达成，不存在偏差情况。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包括评价基础数据收集、资料来源和依据等佐证材料情况，项目现场勘验检查核实等情况</w:t>
      </w:r>
    </w:p>
    <w:p>
      <w:pPr>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主要经验及做法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强化绩效目标刚性约束，及时对项目进行跟踪问效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1.绩效预算认识不够充分，绩效理念有待进一步强化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部门绩效管理理念尚未牢固树立，绩效管理专业人员匮乏。单位对全面实施绩效管理认识不够，绩效水平不高，单位内部绩效管理工作力量薄弱，多数以财务人员牵头开展</w:t>
      </w:r>
      <w:r>
        <w:rPr>
          <w:rStyle w:val="18"/>
          <w:rFonts w:hint="eastAsia" w:ascii="仿宋_GB2312" w:hAnsi="仿宋_GB2312" w:eastAsia="仿宋_GB2312" w:cs="仿宋_GB2312"/>
          <w:b w:val="0"/>
          <w:bCs w:val="0"/>
          <w:spacing w:val="-4"/>
          <w:sz w:val="32"/>
          <w:szCs w:val="32"/>
          <w:lang w:eastAsia="zh-CN"/>
        </w:rPr>
        <w:t>绩效管理</w:t>
      </w:r>
      <w:r>
        <w:rPr>
          <w:rStyle w:val="18"/>
          <w:rFonts w:hint="eastAsia" w:ascii="仿宋_GB2312" w:hAnsi="仿宋_GB2312" w:eastAsia="仿宋_GB2312" w:cs="仿宋_GB2312"/>
          <w:b w:val="0"/>
          <w:bCs w:val="0"/>
          <w:spacing w:val="-4"/>
          <w:sz w:val="32"/>
          <w:szCs w:val="32"/>
        </w:rPr>
        <w:t>，工作推动机制不全，业务人员业务能力和素质还有待进一步提升。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2.绩效档案归档工作有待提高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一是对档案工作重视程度不高，意识淡薄。单位人员对绩效档案管理工作重视程度不够，不注重关键时间节点材料的鉴定归档，造成绩效管理工作档案缺失。</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二是单位人员对档案管理工作缺少针对性和目的性，对绩效档案工作重要性的认识不足，缺乏熟练的业务知识，使绩效档案管理与实际业务存在一定偏差，未发挥其综合价值。</w:t>
      </w: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624" w:firstLineChars="200"/>
        <w:textAlignment w:val="auto"/>
        <w:rPr>
          <w:rStyle w:val="18"/>
          <w:rFonts w:hint="eastAsia" w:ascii="仿宋_GB2312" w:hAnsi="仿宋_GB2312" w:eastAsia="仿宋_GB2312" w:cs="仿宋_GB2312"/>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0508E0"/>
    <w:multiLevelType w:val="singleLevel"/>
    <w:tmpl w:val="550508E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yY2ViZjYwY2EzYTdjNzJmYTUxODg3ZWJjYmQ5NDI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2C00205"/>
    <w:rsid w:val="084F655F"/>
    <w:rsid w:val="08800D38"/>
    <w:rsid w:val="16D551F8"/>
    <w:rsid w:val="247D0021"/>
    <w:rsid w:val="27BE22C2"/>
    <w:rsid w:val="28A24081"/>
    <w:rsid w:val="2F831CA3"/>
    <w:rsid w:val="3166628C"/>
    <w:rsid w:val="3229139C"/>
    <w:rsid w:val="34A94088"/>
    <w:rsid w:val="38D52E67"/>
    <w:rsid w:val="398C36A9"/>
    <w:rsid w:val="47A4225A"/>
    <w:rsid w:val="4B7E4EBE"/>
    <w:rsid w:val="4D2606A1"/>
    <w:rsid w:val="51631E88"/>
    <w:rsid w:val="6C95523C"/>
    <w:rsid w:val="70987FD5"/>
    <w:rsid w:val="76C5264A"/>
    <w:rsid w:val="775F56FD"/>
    <w:rsid w:val="7CF07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7456</Words>
  <Characters>7809</Characters>
  <Lines>5</Lines>
  <Paragraphs>1</Paragraphs>
  <TotalTime>5</TotalTime>
  <ScaleCrop>false</ScaleCrop>
  <LinksUpToDate>false</LinksUpToDate>
  <CharactersWithSpaces>8148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2024-11-08T13:12:12Z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5E477761786F4BBCA4EC0E43CC648A16_12</vt:lpwstr>
  </property>
</Properties>
</file>