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沙湾市安集海镇卫生院</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sz w:val="32"/>
          <w:szCs w:val="32"/>
          <w:highlight w:val="none"/>
        </w:rPr>
        <w:t>（一）主要负责辖区内广大农牧民的基本医疗、预防保健。</w:t>
      </w:r>
      <w:r>
        <w:rPr>
          <w:rFonts w:hint="eastAsia" w:ascii="仿宋_GB2312" w:eastAsia="仿宋_GB2312"/>
          <w:sz w:val="32"/>
          <w:szCs w:val="32"/>
          <w:highlight w:val="none"/>
        </w:rPr>
        <w:br w:type="textWrapping"/>
      </w:r>
      <w:r>
        <w:rPr>
          <w:rFonts w:hint="eastAsia" w:ascii="仿宋_GB2312" w:eastAsia="仿宋_GB2312"/>
          <w:sz w:val="32"/>
          <w:szCs w:val="32"/>
          <w:highlight w:val="none"/>
        </w:rPr>
        <w:t>　　（二）公共卫生事件的处理；承担乡村现场应急救护、转诊服务和康复服务。</w:t>
      </w:r>
      <w:r>
        <w:rPr>
          <w:rFonts w:hint="eastAsia" w:ascii="仿宋_GB2312" w:eastAsia="仿宋_GB2312"/>
          <w:sz w:val="32"/>
          <w:szCs w:val="32"/>
          <w:highlight w:val="none"/>
        </w:rPr>
        <w:br w:type="textWrapping"/>
      </w:r>
      <w:r>
        <w:rPr>
          <w:rFonts w:hint="eastAsia" w:ascii="仿宋_GB2312" w:eastAsia="仿宋_GB2312"/>
          <w:sz w:val="32"/>
          <w:szCs w:val="32"/>
          <w:highlight w:val="none"/>
        </w:rPr>
        <w:t>　　（三）做好基本公共卫生服务项目：1、提供公共卫生承担农村档案规范建档指导、管理及服务普及卫生保健常识，在重点人群和重点场所开展健康教育，帮助居民形成有利于维护和增进健康的行为方式。2、提供并组织实施辖区预防接种服务，落实免疫规划。3、开展新生儿访视及儿童保健系统管理，进行检查和生长发育监测及评价，开展健康指导。开展孕产妇保健系统管理和产后访视，进行一般检查及孕期营养、心理等健康指导。4、对辖区65岁及以上老年人进行登记管理，进行健康危险因素调查，开展健康指导。5、对确诊高血压、糖尿病等慢性病病例进行指导、登记管理、定期随访和健康指导。6、对辖区重性精神疾病患者进行登记管理、康复指导。</w:t>
      </w:r>
      <w:r>
        <w:rPr>
          <w:rFonts w:hint="eastAsia" w:ascii="仿宋_GB2312" w:eastAsia="仿宋_GB2312"/>
          <w:sz w:val="32"/>
          <w:szCs w:val="32"/>
          <w:highlight w:val="none"/>
        </w:rPr>
        <w:br w:type="textWrapping"/>
      </w:r>
      <w:r>
        <w:rPr>
          <w:rFonts w:hint="eastAsia" w:ascii="仿宋_GB2312" w:eastAsia="仿宋_GB2312"/>
          <w:sz w:val="32"/>
          <w:szCs w:val="32"/>
          <w:highlight w:val="none"/>
        </w:rPr>
        <w:t>　　（四）执行基本药物制度药品</w:t>
      </w:r>
      <w:r>
        <w:rPr>
          <w:rFonts w:hint="eastAsia" w:ascii="仿宋_GB2312" w:eastAsia="仿宋_GB2312"/>
          <w:sz w:val="32"/>
          <w:szCs w:val="32"/>
          <w:highlight w:val="none"/>
          <w:lang w:eastAsia="zh-CN"/>
        </w:rPr>
        <w:t>集中采购</w:t>
      </w:r>
      <w:r>
        <w:rPr>
          <w:rFonts w:hint="eastAsia" w:ascii="仿宋_GB2312" w:eastAsia="仿宋_GB2312"/>
          <w:sz w:val="32"/>
          <w:szCs w:val="32"/>
          <w:highlight w:val="none"/>
        </w:rPr>
        <w:t>、零差率销售等政策，为实施一体化管理的村卫生室统一代购药品。</w:t>
      </w:r>
      <w:r>
        <w:rPr>
          <w:rFonts w:hint="eastAsia" w:ascii="仿宋_GB2312" w:eastAsia="仿宋_GB2312"/>
          <w:sz w:val="32"/>
          <w:szCs w:val="32"/>
          <w:highlight w:val="none"/>
        </w:rPr>
        <w:br w:type="textWrapping"/>
      </w:r>
      <w:r>
        <w:rPr>
          <w:rFonts w:hint="eastAsia" w:ascii="仿宋_GB2312" w:eastAsia="仿宋_GB2312"/>
          <w:sz w:val="32"/>
          <w:szCs w:val="32"/>
          <w:highlight w:val="none"/>
        </w:rPr>
        <w:t>　　（五）做好卫生监督协管各项工作，对村卫生室工作进行指导，培训，考核。严格执行</w:t>
      </w:r>
      <w:r>
        <w:rPr>
          <w:rFonts w:hint="eastAsia" w:ascii="仿宋_GB2312" w:eastAsia="仿宋_GB2312"/>
          <w:sz w:val="32"/>
          <w:szCs w:val="32"/>
          <w:highlight w:val="none"/>
          <w:lang w:eastAsia="zh-CN"/>
        </w:rPr>
        <w:t>城乡居民基本医疗保险</w:t>
      </w:r>
      <w:r>
        <w:rPr>
          <w:rFonts w:hint="eastAsia" w:ascii="仿宋_GB2312" w:eastAsia="仿宋_GB2312"/>
          <w:sz w:val="32"/>
          <w:szCs w:val="32"/>
          <w:highlight w:val="none"/>
        </w:rPr>
        <w:t>政策。</w:t>
      </w:r>
      <w:r>
        <w:rPr>
          <w:rFonts w:hint="eastAsia" w:ascii="仿宋_GB2312" w:eastAsia="仿宋_GB2312"/>
          <w:sz w:val="32"/>
          <w:szCs w:val="32"/>
          <w:highlight w:val="none"/>
        </w:rPr>
        <w:br w:type="textWrapping"/>
      </w:r>
      <w:r>
        <w:rPr>
          <w:rFonts w:hint="eastAsia" w:ascii="仿宋_GB2312" w:eastAsia="仿宋_GB2312"/>
          <w:sz w:val="32"/>
          <w:szCs w:val="32"/>
          <w:highlight w:val="none"/>
        </w:rPr>
        <w:t>　　（六）深入推进乡村卫生服务一体化管理，对村卫生室实行以行政、人员、业务、药品、财产为基本内容的“五统一”规范管理；负责村卫生室的技术指导和乡村医生培训等工作。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沙湾市安集海镇卫生院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33</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12</w:t>
      </w:r>
      <w:r>
        <w:rPr>
          <w:rFonts w:hint="eastAsia" w:ascii="仿宋_GB2312" w:hAnsi="黑体" w:eastAsia="仿宋_GB2312" w:cs="宋体"/>
          <w:bCs/>
          <w:color w:val="auto"/>
          <w:kern w:val="0"/>
          <w:sz w:val="32"/>
          <w:szCs w:val="32"/>
          <w:highlight w:val="none"/>
        </w:rPr>
        <w:t>个处室，分别是：</w:t>
      </w:r>
      <w:r>
        <w:rPr>
          <w:rFonts w:hint="eastAsia" w:ascii="仿宋_GB2312" w:hAnsi="Times New Roman" w:eastAsia="仿宋_GB2312" w:cs="Times New Roman"/>
          <w:sz w:val="32"/>
          <w:szCs w:val="32"/>
          <w:highlight w:val="none"/>
        </w:rPr>
        <w:t>医生办公室、药房、护理办公室、公共卫生室、化验室、防疫室、妇幼室、B 超室、心电图室、财务室、收费室、放射科。</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716.56万元，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716.56万元，使用非财政拨款结余0.00万元，年初结转和结余0.00万元。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716.56万元，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682.65万元，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0.00万元，年末结转和结余33.90万元。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增加224.20万元</w:t>
      </w:r>
      <w:r>
        <w:rPr>
          <w:rFonts w:hint="eastAsia" w:ascii="仿宋_GB2312" w:eastAsia="仿宋_GB2312"/>
          <w:color w:val="auto"/>
          <w:spacing w:val="0"/>
          <w:sz w:val="32"/>
          <w:szCs w:val="32"/>
          <w:highlight w:val="none"/>
          <w:lang w:eastAsia="zh-CN"/>
        </w:rPr>
        <w:t>，增长45.54%，主要原因是：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sz w:val="32"/>
          <w:szCs w:val="32"/>
          <w:highlight w:val="none"/>
          <w:lang w:val="en-US" w:eastAsia="zh-CN"/>
        </w:rPr>
        <w:t>2023年发放2018年及2020年绩效工资</w:t>
      </w:r>
      <w:r>
        <w:rPr>
          <w:rFonts w:hint="eastAsia" w:ascii="仿宋_GB2312" w:eastAsia="仿宋_GB2312"/>
          <w:color w:val="auto"/>
          <w:spacing w:val="0"/>
          <w:sz w:val="32"/>
          <w:szCs w:val="32"/>
          <w:highlight w:val="none"/>
          <w:lang w:val="en-US" w:eastAsia="zh-CN"/>
        </w:rPr>
        <w:t>；三是2023年单位医疗收入-住院收入增加。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716.56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554.70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77.41%</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161.42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22.53%</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0.44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0.06%</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本年支出682.65万元，其中：基本支出496.56万元，占72.74%；项目支出186.09万元，占27.26%；上缴上级支出0.00万元，占0.00%；经营支出0.00万元，占0.00%；对附属单位补助支出0.00万元，占0.00%。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554.70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554.70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554.70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554.70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增加62.34万元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增长12.66%,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sz w:val="32"/>
          <w:szCs w:val="32"/>
          <w:highlight w:val="none"/>
          <w:lang w:val="en-US" w:eastAsia="zh-CN"/>
        </w:rPr>
        <w:t>2023年发放2018年及2020年绩效工资。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372.45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554.70</w:t>
      </w:r>
      <w:r>
        <w:rPr>
          <w:rFonts w:hint="eastAsia" w:ascii="仿宋_GB2312" w:eastAsia="仿宋_GB2312"/>
          <w:color w:val="auto"/>
          <w:spacing w:val="0"/>
          <w:sz w:val="32"/>
          <w:szCs w:val="32"/>
          <w:highlight w:val="none"/>
          <w:lang w:eastAsia="zh-CN"/>
        </w:rPr>
        <w:t>万元，预决算差异率48.93%，主要原因是：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sz w:val="32"/>
          <w:szCs w:val="32"/>
          <w:highlight w:val="none"/>
          <w:lang w:val="en-US" w:eastAsia="zh-CN"/>
        </w:rPr>
        <w:t>2023年发放2018年及2020年绩效工资</w:t>
      </w:r>
      <w:r>
        <w:rPr>
          <w:rFonts w:hint="eastAsia" w:ascii="仿宋_GB2312" w:eastAsia="仿宋_GB2312"/>
          <w:color w:val="auto"/>
          <w:spacing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color w:val="auto"/>
          <w:spacing w:val="0"/>
          <w:sz w:val="32"/>
          <w:szCs w:val="32"/>
          <w:highlight w:val="none"/>
          <w:lang w:eastAsia="zh-CN"/>
        </w:rPr>
        <w:t>2023年度一般公共预算财政拨款支出554.70万元，占本年支出合计的</w:t>
      </w:r>
      <w:r>
        <w:rPr>
          <w:rFonts w:hint="eastAsia" w:ascii="仿宋_GB2312" w:eastAsia="仿宋_GB2312"/>
          <w:color w:val="auto"/>
          <w:spacing w:val="0"/>
          <w:sz w:val="32"/>
          <w:szCs w:val="32"/>
          <w:highlight w:val="none"/>
          <w:lang w:val="zh-CN" w:eastAsia="zh-CN"/>
        </w:rPr>
        <w:t>81.26%</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增加62.34万元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增长12.66%,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sz w:val="32"/>
          <w:szCs w:val="32"/>
          <w:highlight w:val="none"/>
          <w:lang w:val="en-US" w:eastAsia="zh-CN"/>
        </w:rPr>
        <w:t>2023年发放2018年及2020年绩效工资</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372.45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554.70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48.93%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sz w:val="32"/>
          <w:szCs w:val="32"/>
          <w:highlight w:val="none"/>
          <w:lang w:val="en-US" w:eastAsia="zh-CN"/>
        </w:rPr>
        <w:t>2023年发放2018年及2020年绩效工资</w:t>
      </w:r>
      <w:r>
        <w:rPr>
          <w:rFonts w:hint="eastAsia" w:ascii="仿宋_GB2312" w:eastAsia="仿宋_GB2312"/>
          <w:color w:val="auto"/>
          <w:spacing w:val="0"/>
          <w:sz w:val="32"/>
          <w:szCs w:val="32"/>
          <w:highlight w:val="none"/>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36.76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6.63%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491.93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88.68%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26.01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4.69%</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1.卫生健康支出（类）行政事业单位医疗（款）事业单位医疗（项）:支出决算数为12.65万元，比上年决算减少3.76万元，下降22.91%，主要原因是：2023年按相关规定行政</w:t>
      </w:r>
      <w:r>
        <w:rPr>
          <w:rFonts w:hint="eastAsia" w:ascii="仿宋_GB2312" w:hAnsi="仿宋" w:eastAsia="仿宋_GB2312"/>
          <w:sz w:val="32"/>
          <w:szCs w:val="24"/>
          <w:highlight w:val="none"/>
        </w:rPr>
        <w:t>退休人员</w:t>
      </w:r>
      <w:r>
        <w:rPr>
          <w:rFonts w:hint="eastAsia" w:ascii="仿宋_GB2312" w:hAnsi="仿宋" w:eastAsia="仿宋_GB2312"/>
          <w:sz w:val="32"/>
          <w:szCs w:val="24"/>
          <w:highlight w:val="none"/>
          <w:lang w:val="en-US" w:eastAsia="zh-CN"/>
        </w:rPr>
        <w:t>的公务员</w:t>
      </w:r>
      <w:r>
        <w:rPr>
          <w:rFonts w:hint="eastAsia" w:ascii="仿宋_GB2312" w:hAnsi="仿宋" w:eastAsia="仿宋_GB2312"/>
          <w:sz w:val="32"/>
          <w:szCs w:val="24"/>
          <w:highlight w:val="none"/>
        </w:rPr>
        <w:t>医疗</w:t>
      </w:r>
      <w:r>
        <w:rPr>
          <w:rFonts w:hint="eastAsia" w:ascii="仿宋_GB2312" w:hAnsi="仿宋" w:eastAsia="仿宋_GB2312"/>
          <w:sz w:val="32"/>
          <w:szCs w:val="24"/>
          <w:highlight w:val="none"/>
          <w:lang w:val="en-US" w:eastAsia="zh-CN"/>
        </w:rPr>
        <w:t>缴费停缴</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2.卫生健康支出（类）基层医疗卫生机构（款）其他基层医疗卫生机构支出（项）:支出决算数为62.23万元，比上年决算增加22.56万元，增长56.87%，主要原因是：</w:t>
      </w:r>
      <w:r>
        <w:rPr>
          <w:rFonts w:hint="eastAsia" w:ascii="仿宋_GB2312" w:eastAsia="仿宋_GB2312"/>
          <w:sz w:val="32"/>
          <w:szCs w:val="32"/>
          <w:highlight w:val="none"/>
          <w:lang w:val="en-US" w:eastAsia="zh-CN"/>
        </w:rPr>
        <w:t>2023年增加了2017年村卫生室建设项目工程款资金。</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default" w:ascii="仿宋_GB2312" w:eastAsia="仿宋_GB2312"/>
          <w:sz w:val="32"/>
          <w:szCs w:val="32"/>
          <w:highlight w:val="yellow"/>
          <w:lang w:val="en-US" w:eastAsia="zh-CN"/>
        </w:rPr>
      </w:pPr>
      <w:r>
        <w:rPr>
          <w:rFonts w:hint="eastAsia" w:ascii="仿宋_GB2312" w:hAnsi="仿宋_GB2312" w:eastAsia="仿宋_GB2312" w:cs="仿宋_GB2312"/>
          <w:color w:val="auto"/>
          <w:kern w:val="2"/>
          <w:sz w:val="32"/>
          <w:szCs w:val="32"/>
          <w:highlight w:val="none"/>
          <w:lang w:val="en-US" w:eastAsia="zh-CN" w:bidi="ar-SA"/>
        </w:rPr>
        <w:t>3.卫生健康支出（类）公共卫生（款）其他公共卫生支出（项）:支出决算数为25.00万元，比上年决算减少1.18万元，下降4.51%，主要原因是：</w:t>
      </w:r>
      <w:r>
        <w:rPr>
          <w:rFonts w:hint="eastAsia" w:ascii="仿宋_GB2312" w:eastAsia="仿宋_GB2312"/>
          <w:sz w:val="32"/>
          <w:szCs w:val="32"/>
          <w:highlight w:val="none"/>
          <w:lang w:val="en-US" w:eastAsia="zh-CN"/>
        </w:rPr>
        <w:t>2023年设备购置等项目未完成验收，项目资金未支付结转下年。</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4.卫生健康支出（类）基层医疗卫生机构（款）乡镇卫生院（项）:支出决算数为293.18万元，比上年决算增加22.77万元，增长8.42%，主要原因是：</w:t>
      </w:r>
      <w:r>
        <w:rPr>
          <w:rFonts w:hint="eastAsia" w:ascii="仿宋_GB2312" w:eastAsia="仿宋_GB2312"/>
          <w:color w:val="auto"/>
          <w:spacing w:val="0"/>
          <w:sz w:val="32"/>
          <w:szCs w:val="32"/>
          <w:highlight w:val="none"/>
          <w:lang w:val="en-US" w:eastAsia="zh-CN"/>
        </w:rPr>
        <w:t>一是2023年人员工资普调；二是</w:t>
      </w:r>
      <w:r>
        <w:rPr>
          <w:rFonts w:hint="eastAsia" w:ascii="仿宋_GB2312" w:eastAsia="仿宋_GB2312"/>
          <w:sz w:val="32"/>
          <w:szCs w:val="32"/>
          <w:highlight w:val="none"/>
          <w:lang w:val="en-US" w:eastAsia="zh-CN"/>
        </w:rPr>
        <w:t>2023年发放了2018年及2020年绩效工资</w:t>
      </w:r>
      <w:r>
        <w:rPr>
          <w:rFonts w:hint="eastAsia" w:ascii="仿宋_GB2312" w:eastAsia="仿宋_GB2312"/>
          <w:color w:val="auto"/>
          <w:spacing w:val="0"/>
          <w:sz w:val="32"/>
          <w:szCs w:val="32"/>
          <w:highlight w:val="none"/>
          <w:lang w:val="en-US" w:eastAsia="zh-CN"/>
        </w:rPr>
        <w:t>；三是2023年单位医疗收入-住院收入增加。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5.住房保障支出（类）住房改革支出（款）住房公积金（项）:支出决算数为26.01万元，比上年决算增加2.26万元，增长9.52%，主要原因是：</w:t>
      </w:r>
      <w:r>
        <w:rPr>
          <w:rFonts w:hint="eastAsia" w:ascii="仿宋_GB2312" w:eastAsia="仿宋_GB2312"/>
          <w:sz w:val="32"/>
          <w:szCs w:val="32"/>
          <w:highlight w:val="none"/>
          <w:lang w:val="en-US" w:eastAsia="zh-CN"/>
        </w:rPr>
        <w:t>2023年人员工资普调，住房公积金缴费基数提高，单位住房公积金缴费支出增加。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6.社会保障和就业支出（类）行政事业单位养老支出（款）事业单位离退休（项）:支出决算数为4.23万元，比上年决算增加1.68万元，增长65.88%，主要原因是：2</w:t>
      </w:r>
      <w:r>
        <w:rPr>
          <w:rFonts w:hint="eastAsia" w:ascii="仿宋_GB2312" w:eastAsia="仿宋_GB2312"/>
          <w:sz w:val="32"/>
          <w:szCs w:val="32"/>
          <w:highlight w:val="none"/>
          <w:lang w:val="en-US" w:eastAsia="zh-CN"/>
        </w:rPr>
        <w:t>023年补发退休基础绩效增资，事业单位离退休支出增加。</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7.卫生健康支出（类）公共卫生（款）基本公共卫生服务（项）:支出决算数为98.41万元，比上年决算增加11.21万元，增长12.86%，主要原因是：</w:t>
      </w:r>
      <w:r>
        <w:rPr>
          <w:rFonts w:hint="eastAsia" w:ascii="仿宋_GB2312" w:eastAsia="仿宋_GB2312"/>
          <w:sz w:val="32"/>
          <w:szCs w:val="32"/>
          <w:highlight w:val="none"/>
          <w:lang w:val="en-US" w:eastAsia="zh-CN"/>
        </w:rPr>
        <w:t>2023年基本公共卫生服务项目人均补助标准提高，村医基本公共卫生服务补助支出增加。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8.卫生健康支出（类）公共卫生（款）重大公共卫生服务（项）:支出决算数为0.45万元，比上年决算增加0.45万元，增长100%，主要原因是：2023年新增食源性疾病项目资金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9.社会保障和就业支出（类）行政事业单位养老支出（款）机关事业单位基本养老保险缴费支出（项）:支出决算数为32.53万元，比上年决算增加6.52万元，增长25.07%，主要原因是：</w:t>
      </w:r>
      <w:r>
        <w:rPr>
          <w:rFonts w:hint="eastAsia" w:ascii="仿宋_GB2312" w:eastAsia="仿宋_GB2312"/>
          <w:sz w:val="32"/>
          <w:szCs w:val="32"/>
          <w:highlight w:val="none"/>
          <w:lang w:val="en-US" w:eastAsia="zh-CN"/>
        </w:rPr>
        <w:t>2023年人员工资普调，基本养老保险缴费基数提高，单位基本养老保险缴费支出增加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10.卫生健康支出（类）公立医院（款）其他公立医院支出（项）:支出决算数为0.00万元，比上年决算减少0.18万元，下降100%，主要原因是：2023年上级财政未安排其他公立医院项目资金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368.60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367.70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基本工资、津贴补贴、奖金、绩效工资、机关事业单位基本养老保险缴费、职工基本医疗保险缴费、其他社会保障缴费、住房公积金、退休费、生活补助。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0.90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r>
        <w:rPr>
          <w:rFonts w:hint="eastAsia" w:ascii="仿宋_GB2312" w:eastAsia="仿宋_GB2312"/>
          <w:color w:val="0000FF"/>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年度我单位未发生“三公”经费支出。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；公务用车购置及运行维护费支出0.00万元，占0.00%，比上年增加0.00万元，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我单位无公务用车购置及运行维护费支出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我单位无公务接待费支出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highlight w:val="none"/>
        </w:rPr>
        <w:t>我单位无公务用车运行维护费开支</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原因是：固定资产车辆</w:t>
      </w:r>
      <w:r>
        <w:rPr>
          <w:rFonts w:hint="eastAsia" w:ascii="仿宋_GB2312" w:eastAsia="仿宋_GB2312"/>
          <w:color w:val="auto"/>
          <w:sz w:val="32"/>
          <w:szCs w:val="32"/>
          <w:highlight w:val="none"/>
          <w:lang w:val="en-US" w:eastAsia="zh-CN"/>
        </w:rPr>
        <w:t>1辆为救护车</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highlight w:val="none"/>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我单位未安排财政拨款“三公”经费支出，预决算无差异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lang w:eastAsia="zh-CN"/>
        </w:rPr>
        <w:t>我单位未安排因公出国（境）费，预决算无差异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我单位未安排公务用车购置费，预决算无差异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hAnsi="宋体" w:eastAsia="仿宋_GB2312" w:cs="宋体"/>
          <w:kern w:val="0"/>
          <w:sz w:val="32"/>
          <w:szCs w:val="32"/>
          <w:highlight w:val="none"/>
        </w:rPr>
        <w:t>我单位未安排公务用车运行费，预决算无差异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我单位未安排公务接待费，预决算无差异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沙湾市安集海镇卫生院（事业单位）公用经费支出0.90万元，</w:t>
      </w:r>
      <w:r>
        <w:rPr>
          <w:rFonts w:hint="eastAsia" w:ascii="仿宋_GB2312" w:hAnsi="仿宋_GB2312" w:eastAsia="仿宋_GB2312" w:cs="仿宋_GB2312"/>
          <w:color w:val="auto"/>
          <w:sz w:val="32"/>
          <w:szCs w:val="32"/>
          <w:highlight w:val="none"/>
          <w:lang w:val="zh-CN" w:eastAsia="zh-CN"/>
        </w:rPr>
        <w:t>比上年增加0.90万元，增长100.00%，主要原因是：</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年公用经费支付单位工会经费相关费用，2022年未拨付此项费用。</w:t>
      </w:r>
    </w:p>
    <w:p>
      <w:pPr>
        <w:keepNext w:val="0"/>
        <w:keepLines w:val="0"/>
        <w:pageBreakBefore w:val="0"/>
        <w:widowControl w:val="0"/>
        <w:kinsoku/>
        <w:wordWrap/>
        <w:overflowPunct/>
        <w:topLinePunct w:val="0"/>
        <w:autoSpaceDE/>
        <w:autoSpaceDN/>
        <w:bidi w:val="0"/>
        <w:adjustRightInd/>
        <w:snapToGrid/>
        <w:spacing w:line="240" w:lineRule="auto"/>
        <w:ind w:firstLine="320" w:firstLineChars="1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13.89万元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其中：政府采购货物支出8.68万元、政府采购工程支出0.00万元、政府采购服务支出5.21万元。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授予中小企业合同金额13.89万元，占政府采购支出总额的100.00%，其中：授予小微企业合同金额13.89万元，占政府采购支出总额的100.00%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320" w:firstLineChars="1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767.58</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屋2,262.00平方米，价值432.87万元。车辆1辆，价值7.00万元，其中：副部（省）级及以上领导用车0辆、主要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用车0辆、机要通信用车0辆、应急保障用车0辆、执法执勤用车0辆、特种专业技术用车1辆、离退休干部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hAnsi="仿宋_GB2312" w:eastAsia="仿宋_GB2312" w:cs="仿宋_GB2312"/>
          <w:color w:val="auto"/>
          <w:sz w:val="32"/>
          <w:szCs w:val="32"/>
          <w:highlight w:val="none"/>
          <w:lang w:val="en-US" w:eastAsia="zh-CN"/>
        </w:rPr>
        <w:t>无其他车辆</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台（套）</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预算总额565.37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实际执行总额554.69</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000000" w:themeColor="text1"/>
          <w:sz w:val="32"/>
          <w:szCs w:val="32"/>
          <w:highlight w:val="none"/>
          <w:lang w:val="en-US" w:eastAsia="zh-CN"/>
          <w14:textFill>
            <w14:solidFill>
              <w14:schemeClr w14:val="tx1"/>
            </w14:solidFill>
          </w14:textFill>
        </w:rPr>
        <w:t>188.9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全年执行数186.09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预算绩效管理取得的成效：一是</w:t>
      </w:r>
      <w:r>
        <w:rPr>
          <w:rFonts w:hint="eastAsia" w:ascii="仿宋_GB2312" w:eastAsia="仿宋_GB2312"/>
          <w:sz w:val="32"/>
          <w:szCs w:val="32"/>
          <w:highlight w:val="none"/>
          <w:lang w:eastAsia="zh-CN"/>
        </w:rPr>
        <w:t>通过对每笔资金的细致化管理来保障资金使用的合规、合法性，并据此分析各类资金支出产生的效益，使本单位的绩效工作上一个新台阶</w:t>
      </w:r>
      <w:r>
        <w:rPr>
          <w:rFonts w:hint="eastAsia" w:ascii="仿宋_GB2312" w:eastAsia="仿宋_GB2312"/>
          <w:color w:val="auto"/>
          <w:sz w:val="32"/>
          <w:szCs w:val="32"/>
          <w:highlight w:val="none"/>
          <w:lang w:eastAsia="zh-CN"/>
        </w:rPr>
        <w:t>；二是</w:t>
      </w:r>
      <w:r>
        <w:rPr>
          <w:rFonts w:hint="eastAsia" w:ascii="仿宋_GB2312" w:eastAsia="仿宋_GB2312"/>
          <w:sz w:val="32"/>
          <w:szCs w:val="32"/>
          <w:highlight w:val="none"/>
          <w:lang w:eastAsia="zh-CN"/>
        </w:rPr>
        <w:t>在项目实施过程中，业务人员加强项目管理，合理控制项目成本</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发现的问题及原因：一是</w:t>
      </w:r>
      <w:r>
        <w:rPr>
          <w:rFonts w:hint="eastAsia" w:ascii="仿宋_GB2312" w:eastAsia="仿宋_GB2312"/>
          <w:sz w:val="32"/>
          <w:szCs w:val="32"/>
          <w:highlight w:val="none"/>
          <w:lang w:eastAsia="zh-CN"/>
        </w:rPr>
        <w:t>预算编制前根据年度内单位可预见的工作任务，确定了单位年度预算目标，细化了预算指标，但是在实际支付过程中，个别时候未严格按照预算指标执行</w:t>
      </w:r>
      <w:r>
        <w:rPr>
          <w:rFonts w:hint="eastAsia" w:ascii="仿宋_GB2312" w:eastAsia="仿宋_GB2312"/>
          <w:color w:val="auto"/>
          <w:sz w:val="32"/>
          <w:szCs w:val="32"/>
          <w:highlight w:val="none"/>
          <w:lang w:eastAsia="zh-CN"/>
        </w:rPr>
        <w:t>；二是</w:t>
      </w:r>
      <w:r>
        <w:rPr>
          <w:rFonts w:hint="eastAsia" w:ascii="仿宋_GB2312" w:eastAsia="仿宋_GB2312"/>
          <w:sz w:val="32"/>
          <w:szCs w:val="32"/>
          <w:highlight w:val="none"/>
          <w:lang w:eastAsia="zh-CN"/>
        </w:rPr>
        <w:t>在预算绩效管理工作中，存在“重投入轻管理、重支出轻绩效”的情况，对全面实施预算绩效管理的要求认识还不到位，项目申报、实施等环节与预算绩效管理各个环节联系不够紧密</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下一步改进措施：一是</w:t>
      </w:r>
      <w:r>
        <w:rPr>
          <w:rFonts w:hint="eastAsia" w:ascii="仿宋_GB2312" w:eastAsia="仿宋_GB2312"/>
          <w:sz w:val="32"/>
          <w:szCs w:val="32"/>
          <w:highlight w:val="none"/>
          <w:lang w:eastAsia="zh-CN"/>
        </w:rPr>
        <w:t>认真学习财务知识，加强单位内部管理，保障正常工作的开展。加强预算绩效管理，进一步加强单位的资金管理，减少资金使用的随意性，对资金事前、事中、事后进行全过程控制</w:t>
      </w:r>
      <w:r>
        <w:rPr>
          <w:rFonts w:hint="eastAsia" w:ascii="仿宋_GB2312" w:eastAsia="仿宋_GB2312"/>
          <w:color w:val="auto"/>
          <w:sz w:val="32"/>
          <w:szCs w:val="32"/>
          <w:highlight w:val="none"/>
          <w:lang w:eastAsia="zh-CN"/>
        </w:rPr>
        <w:t>；二是</w:t>
      </w:r>
      <w:r>
        <w:rPr>
          <w:rFonts w:hint="eastAsia" w:ascii="仿宋_GB2312" w:eastAsia="仿宋_GB2312"/>
          <w:sz w:val="32"/>
          <w:szCs w:val="32"/>
          <w:highlight w:val="none"/>
          <w:lang w:eastAsia="zh-CN"/>
        </w:rPr>
        <w:t>加强各科室的衔接，明确分工，协调专人负责，确保项目的实施</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bookmarkStart w:id="48" w:name="_GoBack"/>
      <w:bookmarkEnd w:id="48"/>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4YjkzNDc4ODgxYjUxYTExNjJhOTEwZTJkYThhMDU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B86D84"/>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8CC2154"/>
    <w:rsid w:val="190648B0"/>
    <w:rsid w:val="19071D6C"/>
    <w:rsid w:val="19D26CD4"/>
    <w:rsid w:val="19E60D19"/>
    <w:rsid w:val="1A3E3450"/>
    <w:rsid w:val="1AD807E5"/>
    <w:rsid w:val="1B39345B"/>
    <w:rsid w:val="1BBE1CE3"/>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1B192E"/>
    <w:rsid w:val="29843A17"/>
    <w:rsid w:val="29CB58F0"/>
    <w:rsid w:val="2A053397"/>
    <w:rsid w:val="2A145E96"/>
    <w:rsid w:val="2A2131BB"/>
    <w:rsid w:val="2A813638"/>
    <w:rsid w:val="2A82371F"/>
    <w:rsid w:val="2AF5378F"/>
    <w:rsid w:val="2BB94DBF"/>
    <w:rsid w:val="2BF37410"/>
    <w:rsid w:val="2C6F314E"/>
    <w:rsid w:val="2CC206BE"/>
    <w:rsid w:val="2D1136DF"/>
    <w:rsid w:val="2D20606D"/>
    <w:rsid w:val="2D6729FE"/>
    <w:rsid w:val="2DB87198"/>
    <w:rsid w:val="2DB93C54"/>
    <w:rsid w:val="2DDF5091"/>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084532"/>
    <w:rsid w:val="3914510A"/>
    <w:rsid w:val="3926770B"/>
    <w:rsid w:val="39767CAD"/>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65411"/>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350C29"/>
    <w:rsid w:val="434E6957"/>
    <w:rsid w:val="43BA0E31"/>
    <w:rsid w:val="43C15147"/>
    <w:rsid w:val="43C2085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D424E5"/>
    <w:rsid w:val="4DF94F37"/>
    <w:rsid w:val="4E0A1DD5"/>
    <w:rsid w:val="4E3160E5"/>
    <w:rsid w:val="4E4D37AF"/>
    <w:rsid w:val="4E8C6496"/>
    <w:rsid w:val="4EFD18DE"/>
    <w:rsid w:val="4F144236"/>
    <w:rsid w:val="4F2A0756"/>
    <w:rsid w:val="4F663C87"/>
    <w:rsid w:val="4F7E29A8"/>
    <w:rsid w:val="4F9E1FFC"/>
    <w:rsid w:val="50343D8A"/>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1255B3"/>
    <w:rsid w:val="542F73CA"/>
    <w:rsid w:val="5430786D"/>
    <w:rsid w:val="545A1D2A"/>
    <w:rsid w:val="54994763"/>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53642F"/>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196F30"/>
    <w:rsid w:val="5E7E6D93"/>
    <w:rsid w:val="5E82459B"/>
    <w:rsid w:val="5ED44800"/>
    <w:rsid w:val="5F350BDE"/>
    <w:rsid w:val="5F61632C"/>
    <w:rsid w:val="5F711504"/>
    <w:rsid w:val="5FA17648"/>
    <w:rsid w:val="5FC058B5"/>
    <w:rsid w:val="5FE705CB"/>
    <w:rsid w:val="6007714E"/>
    <w:rsid w:val="603D5080"/>
    <w:rsid w:val="606842D0"/>
    <w:rsid w:val="60D0261B"/>
    <w:rsid w:val="618E3791"/>
    <w:rsid w:val="61947DCA"/>
    <w:rsid w:val="61A46A97"/>
    <w:rsid w:val="61D1382F"/>
    <w:rsid w:val="61F114A2"/>
    <w:rsid w:val="622B0ABA"/>
    <w:rsid w:val="62512BB4"/>
    <w:rsid w:val="625D7D1A"/>
    <w:rsid w:val="62660469"/>
    <w:rsid w:val="62B81CB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895D78"/>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3852C5"/>
    <w:rsid w:val="71473612"/>
    <w:rsid w:val="71504F32"/>
    <w:rsid w:val="7152309F"/>
    <w:rsid w:val="718F7F65"/>
    <w:rsid w:val="71DA6992"/>
    <w:rsid w:val="727B234E"/>
    <w:rsid w:val="728A58B0"/>
    <w:rsid w:val="72CB49B7"/>
    <w:rsid w:val="72D068C7"/>
    <w:rsid w:val="72E42ED8"/>
    <w:rsid w:val="72FC34C3"/>
    <w:rsid w:val="735F4CB9"/>
    <w:rsid w:val="736562A1"/>
    <w:rsid w:val="73674C62"/>
    <w:rsid w:val="73845865"/>
    <w:rsid w:val="739B6D9E"/>
    <w:rsid w:val="73BC1D76"/>
    <w:rsid w:val="73FB6630"/>
    <w:rsid w:val="748D790E"/>
    <w:rsid w:val="749820CC"/>
    <w:rsid w:val="74CE04EC"/>
    <w:rsid w:val="74E76DCD"/>
    <w:rsid w:val="751D7C0A"/>
    <w:rsid w:val="75722D56"/>
    <w:rsid w:val="75CD6293"/>
    <w:rsid w:val="75DB5477"/>
    <w:rsid w:val="75FC6AC3"/>
    <w:rsid w:val="7616619B"/>
    <w:rsid w:val="765C1717"/>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outlineLvl w:val="2"/>
    </w:pPr>
    <w:rPr>
      <w:rFonts w:hint="default" w:ascii="仿宋_GB2312" w:hAnsi="仿宋_GB2312" w:eastAsia="仿宋_GB2312"/>
      <w:b/>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4537</Words>
  <Characters>5301</Characters>
  <Lines>0</Lines>
  <Paragraphs>0</Paragraphs>
  <TotalTime>70</TotalTime>
  <ScaleCrop>false</ScaleCrop>
  <LinksUpToDate>false</LinksUpToDate>
  <CharactersWithSpaces>5321</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2024-12-02T08:51:50Z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D624B15633CD43C8BF9435464A96BF70</vt:lpwstr>
  </property>
</Properties>
</file>