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hAnsi="黑体" w:eastAsia="黑体"/>
          <w:sz w:val="32"/>
          <w:szCs w:val="32"/>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r>
        <w:rPr>
          <w:rFonts w:hint="eastAsia" w:ascii="方正小标宋_GBK" w:hAnsi="宋体" w:eastAsia="方正小标宋_GBK"/>
          <w:sz w:val="44"/>
          <w:szCs w:val="44"/>
        </w:rPr>
        <w:t>沙湾市妇幼保健计划生育服务中心</w:t>
      </w:r>
    </w:p>
    <w:p>
      <w:pPr>
        <w:jc w:val="center"/>
        <w:rPr>
          <w:rFonts w:ascii="方正小标宋_GBK" w:hAnsi="宋体" w:eastAsia="方正小标宋_GBK"/>
          <w:sz w:val="44"/>
          <w:szCs w:val="44"/>
        </w:rPr>
      </w:pPr>
      <w:r>
        <w:rPr>
          <w:rFonts w:hint="eastAsia" w:ascii="方正小标宋_GBK" w:hAnsi="宋体" w:eastAsia="方正小标宋_GBK"/>
          <w:sz w:val="44"/>
          <w:szCs w:val="44"/>
        </w:rPr>
        <w:t xml:space="preserve"> 2023年度部门决算</w:t>
      </w:r>
    </w:p>
    <w:p>
      <w:pPr>
        <w:jc w:val="center"/>
        <w:rPr>
          <w:rFonts w:ascii="方正小标宋_GBK" w:hAnsi="宋体" w:eastAsia="方正小标宋_GBK"/>
          <w:sz w:val="44"/>
          <w:szCs w:val="44"/>
        </w:rPr>
      </w:pPr>
      <w:r>
        <w:rPr>
          <w:rFonts w:hint="eastAsia" w:ascii="方正小标宋_GBK" w:hAnsi="宋体" w:eastAsia="方正小标宋_GBK"/>
          <w:sz w:val="44"/>
          <w:szCs w:val="44"/>
        </w:rPr>
        <w:t>公开说明</w:t>
      </w:r>
    </w:p>
    <w:p>
      <w:pPr>
        <w:rPr>
          <w:rFonts w:ascii="方正小标宋_GBK" w:hAnsi="宋体" w:eastAsia="方正小标宋_GBK"/>
          <w:sz w:val="44"/>
          <w:szCs w:val="44"/>
        </w:rPr>
      </w:pPr>
      <w:r>
        <w:rPr>
          <w:rFonts w:hint="eastAsia" w:ascii="方正小标宋_GBK" w:hAnsi="宋体" w:eastAsia="方正小标宋_GBK"/>
          <w:sz w:val="44"/>
          <w:szCs w:val="44"/>
        </w:rPr>
        <w:br w:type="page"/>
      </w:r>
    </w:p>
    <w:p>
      <w:pPr>
        <w:jc w:val="center"/>
        <w:rPr>
          <w:rFonts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pPr>
        <w:pStyle w:val="6"/>
        <w:tabs>
          <w:tab w:val="right" w:pos="8306"/>
        </w:tabs>
        <w:rPr>
          <w:rFonts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r>
        <w:rPr>
          <w:rFonts w:hint="eastAsia" w:ascii="仿宋_GB2312" w:hAnsi="仿宋_GB2312" w:eastAsia="仿宋_GB2312" w:cs="仿宋_GB2312"/>
          <w:sz w:val="32"/>
          <w:szCs w:val="32"/>
        </w:rPr>
        <w:fldChar w:fldCharType="end"/>
      </w:r>
    </w:p>
    <w:p>
      <w:pPr>
        <w:rPr>
          <w:rFonts w:ascii="仿宋_GB2312" w:eastAsia="仿宋_GB2312"/>
          <w:sz w:val="32"/>
          <w:szCs w:val="32"/>
        </w:rPr>
      </w:pPr>
      <w:r>
        <w:rPr>
          <w:rFonts w:hint="eastAsia" w:ascii="仿宋_GB2312" w:eastAsia="仿宋_GB2312"/>
          <w:sz w:val="32"/>
          <w:szCs w:val="32"/>
        </w:rPr>
        <w:br w:type="page"/>
      </w:r>
    </w:p>
    <w:p>
      <w:pPr>
        <w:jc w:val="center"/>
        <w:outlineLvl w:val="0"/>
        <w:rPr>
          <w:rFonts w:ascii="黑体" w:hAnsi="黑体" w:eastAsia="黑体"/>
          <w:sz w:val="32"/>
          <w:szCs w:val="32"/>
        </w:rPr>
      </w:pPr>
      <w:bookmarkStart w:id="0" w:name="_Toc32314"/>
      <w:bookmarkStart w:id="1" w:name="_Toc24028"/>
      <w:r>
        <w:rPr>
          <w:rFonts w:hint="eastAsia" w:ascii="黑体" w:hAnsi="黑体" w:eastAsia="黑体"/>
          <w:sz w:val="32"/>
          <w:szCs w:val="32"/>
        </w:rPr>
        <w:t>第一部分 单位概况</w:t>
      </w:r>
      <w:bookmarkEnd w:id="0"/>
      <w:bookmarkEnd w:id="1"/>
    </w:p>
    <w:p>
      <w:pPr>
        <w:ind w:firstLine="640" w:firstLineChars="200"/>
        <w:outlineLvl w:val="1"/>
        <w:rPr>
          <w:rFonts w:ascii="黑体" w:hAnsi="黑体" w:eastAsia="黑体" w:cs="宋体"/>
          <w:bCs/>
          <w:kern w:val="0"/>
          <w:sz w:val="32"/>
          <w:szCs w:val="32"/>
        </w:rPr>
      </w:pPr>
      <w:bookmarkStart w:id="2" w:name="_Toc30738"/>
      <w:bookmarkStart w:id="3" w:name="_Toc30567"/>
      <w:r>
        <w:rPr>
          <w:rFonts w:hint="eastAsia" w:ascii="黑体" w:hAnsi="黑体" w:eastAsia="黑体" w:cs="宋体"/>
          <w:bCs/>
          <w:kern w:val="0"/>
          <w:sz w:val="32"/>
          <w:szCs w:val="32"/>
        </w:rPr>
        <w:t>一、主要职能</w:t>
      </w:r>
      <w:bookmarkEnd w:id="2"/>
      <w:bookmarkEnd w:id="3"/>
    </w:p>
    <w:p>
      <w:pPr>
        <w:widowControl/>
        <w:spacing w:line="540" w:lineRule="exact"/>
        <w:ind w:firstLine="640"/>
        <w:jc w:val="left"/>
        <w:rPr>
          <w:rFonts w:ascii="仿宋_GB2312" w:hAnsi="黑体" w:eastAsia="仿宋_GB2312" w:cs="宋体"/>
          <w:bCs/>
          <w:kern w:val="0"/>
          <w:sz w:val="32"/>
          <w:szCs w:val="32"/>
        </w:rPr>
      </w:pPr>
      <w:r>
        <w:rPr>
          <w:rFonts w:hint="eastAsia" w:ascii="仿宋_GB2312" w:hAnsi="黑体" w:eastAsia="仿宋_GB2312" w:cs="宋体"/>
          <w:bCs/>
          <w:kern w:val="0"/>
          <w:sz w:val="32"/>
          <w:szCs w:val="32"/>
        </w:rPr>
        <w:t>1、承担全县妇幼保健工作业务指导工作。</w:t>
      </w:r>
    </w:p>
    <w:p>
      <w:pPr>
        <w:widowControl/>
        <w:spacing w:line="540" w:lineRule="exact"/>
        <w:ind w:firstLine="640"/>
        <w:jc w:val="left"/>
        <w:rPr>
          <w:rFonts w:ascii="仿宋_GB2312" w:hAnsi="黑体" w:eastAsia="仿宋_GB2312" w:cs="宋体"/>
          <w:bCs/>
          <w:kern w:val="0"/>
          <w:sz w:val="32"/>
          <w:szCs w:val="32"/>
        </w:rPr>
      </w:pPr>
      <w:r>
        <w:rPr>
          <w:rFonts w:hint="eastAsia" w:ascii="仿宋_GB2312" w:hAnsi="黑体" w:eastAsia="仿宋_GB2312" w:cs="宋体"/>
          <w:bCs/>
          <w:kern w:val="0"/>
          <w:sz w:val="32"/>
          <w:szCs w:val="32"/>
        </w:rPr>
        <w:t>2、承担全县的婚前医学检查工作。</w:t>
      </w:r>
    </w:p>
    <w:p>
      <w:pPr>
        <w:widowControl/>
        <w:spacing w:line="540" w:lineRule="exact"/>
        <w:ind w:firstLine="640"/>
        <w:jc w:val="left"/>
        <w:rPr>
          <w:rFonts w:ascii="仿宋_GB2312" w:hAnsi="黑体" w:eastAsia="仿宋_GB2312" w:cs="宋体"/>
          <w:bCs/>
          <w:kern w:val="0"/>
          <w:sz w:val="32"/>
          <w:szCs w:val="32"/>
        </w:rPr>
      </w:pPr>
      <w:r>
        <w:rPr>
          <w:rFonts w:hint="eastAsia" w:ascii="仿宋_GB2312" w:hAnsi="黑体" w:eastAsia="仿宋_GB2312" w:cs="宋体"/>
          <w:bCs/>
          <w:kern w:val="0"/>
          <w:sz w:val="32"/>
          <w:szCs w:val="32"/>
        </w:rPr>
        <w:t>3、开展围产保健，儿童健康检查，妇女病查治，儿童五病查治。</w:t>
      </w:r>
    </w:p>
    <w:p>
      <w:pPr>
        <w:widowControl/>
        <w:spacing w:line="540" w:lineRule="exact"/>
        <w:ind w:firstLine="640"/>
        <w:jc w:val="left"/>
        <w:rPr>
          <w:rFonts w:ascii="仿宋_GB2312" w:hAnsi="黑体" w:eastAsia="仿宋_GB2312" w:cs="宋体"/>
          <w:bCs/>
          <w:kern w:val="0"/>
          <w:sz w:val="32"/>
          <w:szCs w:val="32"/>
        </w:rPr>
      </w:pPr>
      <w:r>
        <w:rPr>
          <w:rFonts w:hint="eastAsia" w:ascii="仿宋_GB2312" w:hAnsi="黑体" w:eastAsia="仿宋_GB2312" w:cs="宋体"/>
          <w:bCs/>
          <w:kern w:val="0"/>
          <w:sz w:val="32"/>
          <w:szCs w:val="32"/>
        </w:rPr>
        <w:t>4、承担全县孕产妇系统管理、围产保健、女工保健、妇女病查治，新婚学校，孕妇学校。</w:t>
      </w:r>
    </w:p>
    <w:p>
      <w:pPr>
        <w:widowControl/>
        <w:spacing w:line="540" w:lineRule="exact"/>
        <w:ind w:firstLine="640"/>
        <w:jc w:val="left"/>
        <w:rPr>
          <w:rFonts w:ascii="仿宋_GB2312" w:hAnsi="黑体" w:eastAsia="仿宋_GB2312" w:cs="宋体"/>
          <w:bCs/>
          <w:kern w:val="0"/>
          <w:sz w:val="32"/>
          <w:szCs w:val="32"/>
        </w:rPr>
      </w:pPr>
      <w:r>
        <w:rPr>
          <w:rFonts w:hint="eastAsia" w:ascii="仿宋_GB2312" w:hAnsi="黑体" w:eastAsia="仿宋_GB2312" w:cs="宋体"/>
          <w:bCs/>
          <w:kern w:val="0"/>
          <w:sz w:val="32"/>
          <w:szCs w:val="32"/>
        </w:rPr>
        <w:t>5、承担全县保健人员业务培训等各项工作。</w:t>
      </w:r>
    </w:p>
    <w:p>
      <w:pPr>
        <w:widowControl/>
        <w:spacing w:line="540" w:lineRule="exact"/>
        <w:ind w:firstLine="640"/>
        <w:jc w:val="left"/>
        <w:rPr>
          <w:rFonts w:ascii="仿宋_GB2312" w:hAnsi="黑体" w:eastAsia="仿宋_GB2312" w:cs="宋体"/>
          <w:bCs/>
          <w:kern w:val="0"/>
          <w:sz w:val="32"/>
          <w:szCs w:val="32"/>
        </w:rPr>
      </w:pPr>
      <w:r>
        <w:rPr>
          <w:rFonts w:hint="eastAsia" w:ascii="仿宋_GB2312" w:hAnsi="黑体" w:eastAsia="仿宋_GB2312" w:cs="宋体"/>
          <w:bCs/>
          <w:kern w:val="0"/>
          <w:sz w:val="32"/>
          <w:szCs w:val="32"/>
        </w:rPr>
        <w:t>6、我院是全县妇幼保健工作业务指导中心，为妇女儿童身体健康健康提供保健服务，为搞好技术指导、妇幼保健业务指导，妇女保健、儿童保健、妇女病普查，产前诊断与接生、治疗与监护儿童疾病防治、妇幼卫生监测与信息管理、妇幼项目、宣传教育、婚前医学检查、新婚保健与生育指导、药具发放、业务培训。</w:t>
      </w:r>
    </w:p>
    <w:p>
      <w:pPr>
        <w:ind w:firstLine="640" w:firstLineChars="200"/>
        <w:outlineLvl w:val="1"/>
        <w:rPr>
          <w:rFonts w:ascii="黑体" w:hAnsi="黑体" w:eastAsia="黑体" w:cs="宋体"/>
          <w:bCs/>
          <w:kern w:val="0"/>
          <w:sz w:val="32"/>
          <w:szCs w:val="32"/>
        </w:rPr>
      </w:pPr>
      <w:bookmarkStart w:id="4" w:name="_Toc31238"/>
      <w:bookmarkStart w:id="5" w:name="_Toc2151"/>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pPr>
        <w:ind w:firstLine="640" w:firstLineChars="200"/>
        <w:jc w:val="left"/>
        <w:rPr>
          <w:rFonts w:ascii="仿宋_GB2312" w:eastAsia="仿宋_GB2312"/>
          <w:sz w:val="32"/>
          <w:szCs w:val="32"/>
        </w:rPr>
      </w:pPr>
      <w:r>
        <w:rPr>
          <w:rFonts w:hint="eastAsia" w:ascii="仿宋_GB2312" w:eastAsia="仿宋_GB2312"/>
          <w:sz w:val="32"/>
          <w:szCs w:val="32"/>
        </w:rPr>
        <w:t>沙湾市妇幼保健计划生育服务中心2023年度，实有人数</w:t>
      </w:r>
      <w:r>
        <w:rPr>
          <w:rFonts w:hint="eastAsia" w:ascii="仿宋_GB2312" w:eastAsia="仿宋_GB2312"/>
          <w:sz w:val="32"/>
          <w:szCs w:val="32"/>
          <w:lang w:val="zh-CN"/>
        </w:rPr>
        <w:t>81</w:t>
      </w:r>
      <w:r>
        <w:rPr>
          <w:rFonts w:hint="eastAsia" w:ascii="仿宋_GB2312" w:eastAsia="仿宋_GB2312"/>
          <w:sz w:val="32"/>
          <w:szCs w:val="32"/>
        </w:rPr>
        <w:t>人，其中：在职人员</w:t>
      </w:r>
      <w:r>
        <w:rPr>
          <w:rFonts w:hint="eastAsia" w:ascii="仿宋_GB2312" w:eastAsia="仿宋_GB2312"/>
          <w:sz w:val="32"/>
          <w:szCs w:val="32"/>
          <w:lang w:val="zh-CN"/>
        </w:rPr>
        <w:t>51</w:t>
      </w:r>
      <w:r>
        <w:rPr>
          <w:rFonts w:hint="eastAsia" w:ascii="仿宋_GB2312" w:eastAsia="仿宋_GB2312"/>
          <w:sz w:val="32"/>
          <w:szCs w:val="32"/>
        </w:rPr>
        <w:t>人，离休人员</w:t>
      </w:r>
      <w:r>
        <w:rPr>
          <w:rFonts w:hint="eastAsia" w:ascii="仿宋_GB2312" w:eastAsia="仿宋_GB2312"/>
          <w:sz w:val="32"/>
          <w:szCs w:val="32"/>
          <w:lang w:val="zh-CN"/>
        </w:rPr>
        <w:t>0</w:t>
      </w:r>
      <w:r>
        <w:rPr>
          <w:rFonts w:hint="eastAsia" w:ascii="仿宋_GB2312" w:eastAsia="仿宋_GB2312"/>
          <w:sz w:val="32"/>
          <w:szCs w:val="32"/>
        </w:rPr>
        <w:t>人，退休人员</w:t>
      </w:r>
      <w:r>
        <w:rPr>
          <w:rFonts w:hint="eastAsia" w:ascii="仿宋_GB2312" w:eastAsia="仿宋_GB2312"/>
          <w:sz w:val="32"/>
          <w:szCs w:val="32"/>
          <w:lang w:val="zh-CN"/>
        </w:rPr>
        <w:t>30</w:t>
      </w:r>
      <w:r>
        <w:rPr>
          <w:rFonts w:hint="eastAsia" w:ascii="仿宋_GB2312" w:eastAsia="仿宋_GB2312"/>
          <w:sz w:val="32"/>
          <w:szCs w:val="32"/>
        </w:rPr>
        <w:t>人。</w:t>
      </w:r>
    </w:p>
    <w:p>
      <w:pPr>
        <w:widowControl/>
        <w:spacing w:line="540" w:lineRule="exact"/>
        <w:ind w:firstLine="640"/>
        <w:jc w:val="left"/>
        <w:rPr>
          <w:rFonts w:ascii="仿宋_GB2312" w:hAnsi="宋体" w:eastAsia="仿宋_GB2312" w:cs="宋体"/>
          <w:kern w:val="0"/>
          <w:sz w:val="32"/>
          <w:szCs w:val="32"/>
        </w:rPr>
      </w:pPr>
      <w:r>
        <w:rPr>
          <w:rFonts w:hint="eastAsia" w:ascii="仿宋_GB2312" w:eastAsia="仿宋_GB2312"/>
          <w:sz w:val="32"/>
          <w:szCs w:val="32"/>
        </w:rPr>
        <w:t>单位无下属预算单位，</w:t>
      </w:r>
      <w:r>
        <w:rPr>
          <w:rFonts w:hint="eastAsia" w:ascii="仿宋_GB2312" w:hAnsi="宋体" w:eastAsia="仿宋_GB2312" w:cs="宋体"/>
          <w:kern w:val="0"/>
          <w:sz w:val="32"/>
          <w:szCs w:val="32"/>
        </w:rPr>
        <w:t>下设12个处室，分别是：院党政办、孕产保健部、妇女保健部、儿童保健部、财务科、医技科、药剂科、医务科、信息管理与健康教育科、功能科、综治办、内科。</w:t>
      </w:r>
    </w:p>
    <w:p>
      <w:pPr>
        <w:rPr>
          <w:rFonts w:ascii="仿宋_GB2312" w:hAnsi="黑体" w:eastAsia="仿宋_GB2312" w:cs="宋体"/>
          <w:bCs/>
          <w:kern w:val="0"/>
          <w:sz w:val="32"/>
          <w:szCs w:val="32"/>
        </w:rPr>
      </w:pPr>
      <w:r>
        <w:rPr>
          <w:rFonts w:ascii="黑体"/>
          <w:b/>
          <w:kern w:val="44"/>
          <w:sz w:val="28"/>
        </w:rPr>
        <w:br w:type="page"/>
      </w:r>
    </w:p>
    <w:p>
      <w:pPr>
        <w:jc w:val="center"/>
        <w:outlineLvl w:val="0"/>
        <w:rPr>
          <w:rFonts w:ascii="黑体" w:hAnsi="黑体" w:eastAsia="黑体"/>
          <w:sz w:val="32"/>
          <w:szCs w:val="32"/>
        </w:rPr>
      </w:pPr>
      <w:bookmarkStart w:id="6" w:name="_Toc3092"/>
      <w:bookmarkStart w:id="7" w:name="_Toc29374"/>
      <w:r>
        <w:rPr>
          <w:rFonts w:hint="eastAsia" w:ascii="黑体" w:hAnsi="黑体" w:eastAsia="黑体"/>
          <w:sz w:val="32"/>
          <w:szCs w:val="32"/>
        </w:rPr>
        <w:t>第二部分 部门决算情况说明</w:t>
      </w:r>
      <w:bookmarkEnd w:id="6"/>
      <w:bookmarkEnd w:id="7"/>
    </w:p>
    <w:p>
      <w:pPr>
        <w:ind w:firstLine="640" w:firstLineChars="200"/>
        <w:outlineLvl w:val="1"/>
        <w:rPr>
          <w:rFonts w:ascii="黑体" w:hAnsi="黑体" w:eastAsia="黑体" w:cs="宋体"/>
          <w:bCs/>
          <w:kern w:val="0"/>
          <w:sz w:val="32"/>
          <w:szCs w:val="32"/>
        </w:rPr>
      </w:pPr>
      <w:bookmarkStart w:id="8" w:name="_Toc12566"/>
      <w:bookmarkStart w:id="9" w:name="_Toc25314"/>
      <w:r>
        <w:rPr>
          <w:rFonts w:hint="eastAsia" w:ascii="黑体" w:hAnsi="黑体" w:eastAsia="黑体" w:cs="宋体"/>
          <w:bCs/>
          <w:kern w:val="0"/>
          <w:sz w:val="32"/>
          <w:szCs w:val="32"/>
        </w:rPr>
        <w:t>一、收入支出决算总体情况说明</w:t>
      </w:r>
      <w:bookmarkEnd w:id="8"/>
      <w:bookmarkEnd w:id="9"/>
    </w:p>
    <w:p>
      <w:pPr>
        <w:ind w:firstLine="640" w:firstLineChars="200"/>
        <w:jc w:val="left"/>
        <w:rPr>
          <w:rFonts w:ascii="仿宋_GB2312" w:eastAsia="仿宋_GB2312"/>
          <w:sz w:val="32"/>
          <w:szCs w:val="32"/>
        </w:rPr>
      </w:pPr>
      <w:r>
        <w:rPr>
          <w:rFonts w:hint="eastAsia" w:ascii="仿宋_GB2312" w:eastAsia="仿宋_GB2312"/>
          <w:sz w:val="32"/>
          <w:szCs w:val="32"/>
        </w:rPr>
        <w:t>2023年度收入总计1,785.93万元，其中：本年收入合计1,785.93万元，使用非财政拨款结余0.00万元，年初结转和结余0.00万元。</w:t>
      </w:r>
    </w:p>
    <w:p>
      <w:pPr>
        <w:ind w:firstLine="640" w:firstLineChars="200"/>
        <w:jc w:val="left"/>
        <w:rPr>
          <w:rFonts w:ascii="仿宋_GB2312" w:eastAsia="仿宋_GB2312"/>
          <w:sz w:val="32"/>
          <w:szCs w:val="32"/>
        </w:rPr>
      </w:pPr>
      <w:r>
        <w:rPr>
          <w:rFonts w:hint="eastAsia" w:ascii="仿宋_GB2312" w:eastAsia="仿宋_GB2312"/>
          <w:sz w:val="32"/>
          <w:szCs w:val="32"/>
        </w:rPr>
        <w:t>2023年度支出总计1,785.93万元，其中：本年支出合计1,775.66万元，结余分配10.27万元，年末结转和结余0.00万元。</w:t>
      </w:r>
    </w:p>
    <w:p>
      <w:pPr>
        <w:ind w:firstLine="640" w:firstLineChars="200"/>
        <w:jc w:val="left"/>
        <w:rPr>
          <w:rFonts w:ascii="仿宋_GB2312" w:eastAsia="仿宋_GB2312"/>
          <w:sz w:val="32"/>
          <w:szCs w:val="32"/>
        </w:rPr>
      </w:pPr>
      <w:r>
        <w:rPr>
          <w:rFonts w:hint="eastAsia" w:ascii="仿宋_GB2312" w:eastAsia="仿宋_GB2312"/>
          <w:sz w:val="32"/>
          <w:szCs w:val="32"/>
        </w:rPr>
        <w:t>收入支出总体与上年相比，</w:t>
      </w:r>
      <w:r>
        <w:rPr>
          <w:rFonts w:hint="eastAsia" w:ascii="仿宋_GB2312" w:eastAsia="仿宋_GB2312"/>
          <w:sz w:val="32"/>
          <w:szCs w:val="32"/>
          <w:lang w:val="zh-CN"/>
        </w:rPr>
        <w:t>增加611.79万元</w:t>
      </w:r>
      <w:r>
        <w:rPr>
          <w:rFonts w:hint="eastAsia" w:ascii="仿宋_GB2312" w:eastAsia="仿宋_GB2312"/>
          <w:sz w:val="32"/>
          <w:szCs w:val="32"/>
        </w:rPr>
        <w:t>，增长52.11%，主要原因是：人员工资职级晋升，人员工资及社保缴费增加、公用经费增加、妇幼保健院业务用房及前期费用项目支出增加、医疗服务与保障能力提升建设项目增加、重大公共卫生项目支出增加、为民办实事项目经费支出增加。</w:t>
      </w:r>
    </w:p>
    <w:p>
      <w:pPr>
        <w:ind w:firstLine="640" w:firstLineChars="200"/>
        <w:jc w:val="left"/>
        <w:outlineLvl w:val="1"/>
        <w:rPr>
          <w:rFonts w:ascii="黑体" w:hAnsi="黑体" w:eastAsia="黑体" w:cs="宋体"/>
          <w:bCs/>
          <w:kern w:val="0"/>
          <w:sz w:val="32"/>
          <w:szCs w:val="32"/>
        </w:rPr>
      </w:pPr>
      <w:bookmarkStart w:id="10" w:name="_Toc12142"/>
      <w:bookmarkStart w:id="11" w:name="_Toc1979"/>
      <w:r>
        <w:rPr>
          <w:rFonts w:hint="eastAsia" w:ascii="黑体" w:hAnsi="黑体" w:eastAsia="黑体" w:cs="宋体"/>
          <w:bCs/>
          <w:kern w:val="0"/>
          <w:sz w:val="32"/>
          <w:szCs w:val="32"/>
        </w:rPr>
        <w:t>二、收入决算情况说明</w:t>
      </w:r>
      <w:bookmarkEnd w:id="10"/>
      <w:bookmarkEnd w:id="11"/>
    </w:p>
    <w:p>
      <w:pPr>
        <w:ind w:firstLine="640" w:firstLineChars="200"/>
        <w:jc w:val="left"/>
        <w:rPr>
          <w:rFonts w:ascii="仿宋_GB2312" w:eastAsia="仿宋_GB2312"/>
          <w:sz w:val="32"/>
          <w:szCs w:val="32"/>
        </w:rPr>
      </w:pPr>
      <w:r>
        <w:rPr>
          <w:rFonts w:hint="eastAsia" w:ascii="仿宋_GB2312" w:eastAsia="仿宋_GB2312"/>
          <w:sz w:val="32"/>
          <w:szCs w:val="32"/>
        </w:rPr>
        <w:t>本年收入1,785.93万元，其中：财政拨款收入</w:t>
      </w:r>
      <w:r>
        <w:rPr>
          <w:rFonts w:hint="eastAsia" w:ascii="仿宋_GB2312" w:eastAsia="仿宋_GB2312"/>
          <w:sz w:val="32"/>
          <w:szCs w:val="32"/>
          <w:lang w:val="zh-CN"/>
        </w:rPr>
        <w:t>1,519.77</w:t>
      </w:r>
      <w:r>
        <w:rPr>
          <w:rFonts w:hint="eastAsia" w:ascii="仿宋_GB2312" w:eastAsia="仿宋_GB2312"/>
          <w:sz w:val="32"/>
          <w:szCs w:val="32"/>
        </w:rPr>
        <w:t>万元，占</w:t>
      </w:r>
      <w:r>
        <w:rPr>
          <w:rFonts w:hint="eastAsia" w:ascii="仿宋_GB2312" w:eastAsia="仿宋_GB2312"/>
          <w:sz w:val="32"/>
          <w:szCs w:val="32"/>
          <w:lang w:val="zh-CN"/>
        </w:rPr>
        <w:t>85.10%</w:t>
      </w:r>
      <w:r>
        <w:rPr>
          <w:rFonts w:hint="eastAsia" w:ascii="仿宋_GB2312" w:eastAsia="仿宋_GB2312"/>
          <w:sz w:val="32"/>
          <w:szCs w:val="32"/>
        </w:rPr>
        <w:t>；上级补助收入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；事业收入</w:t>
      </w:r>
      <w:r>
        <w:rPr>
          <w:rFonts w:hint="eastAsia" w:ascii="仿宋_GB2312" w:eastAsia="仿宋_GB2312"/>
          <w:sz w:val="32"/>
          <w:szCs w:val="32"/>
          <w:lang w:val="zh-CN"/>
        </w:rPr>
        <w:t>265.98</w:t>
      </w:r>
      <w:r>
        <w:rPr>
          <w:rFonts w:hint="eastAsia" w:ascii="仿宋_GB2312" w:eastAsia="仿宋_GB2312"/>
          <w:sz w:val="32"/>
          <w:szCs w:val="32"/>
        </w:rPr>
        <w:t>万元，占</w:t>
      </w:r>
      <w:r>
        <w:rPr>
          <w:rFonts w:hint="eastAsia" w:ascii="仿宋_GB2312" w:eastAsia="仿宋_GB2312"/>
          <w:sz w:val="32"/>
          <w:szCs w:val="32"/>
          <w:lang w:val="zh-CN"/>
        </w:rPr>
        <w:t>14.89%</w:t>
      </w:r>
      <w:r>
        <w:rPr>
          <w:rFonts w:hint="eastAsia" w:ascii="仿宋_GB2312" w:eastAsia="仿宋_GB2312"/>
          <w:sz w:val="32"/>
          <w:szCs w:val="32"/>
        </w:rPr>
        <w:t>；经营收入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；附属单位上缴收入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；其他收入</w:t>
      </w:r>
      <w:r>
        <w:rPr>
          <w:rFonts w:hint="eastAsia" w:ascii="仿宋_GB2312" w:eastAsia="仿宋_GB2312"/>
          <w:sz w:val="32"/>
          <w:szCs w:val="32"/>
          <w:lang w:val="zh-CN"/>
        </w:rPr>
        <w:t>0.17</w:t>
      </w:r>
      <w:r>
        <w:rPr>
          <w:rFonts w:hint="eastAsia" w:ascii="仿宋_GB2312" w:eastAsia="仿宋_GB2312"/>
          <w:sz w:val="32"/>
          <w:szCs w:val="32"/>
        </w:rPr>
        <w:t>万元，占</w:t>
      </w:r>
      <w:r>
        <w:rPr>
          <w:rFonts w:hint="eastAsia" w:ascii="仿宋_GB2312" w:eastAsia="仿宋_GB2312"/>
          <w:sz w:val="32"/>
          <w:szCs w:val="32"/>
          <w:lang w:val="zh-CN"/>
        </w:rPr>
        <w:t>0.01%</w:t>
      </w:r>
      <w:r>
        <w:rPr>
          <w:rFonts w:hint="eastAsia" w:ascii="仿宋_GB2312" w:eastAsia="仿宋_GB2312"/>
          <w:sz w:val="32"/>
          <w:szCs w:val="32"/>
        </w:rPr>
        <w:t>。</w:t>
      </w:r>
    </w:p>
    <w:p>
      <w:pPr>
        <w:ind w:firstLine="640" w:firstLineChars="200"/>
        <w:jc w:val="left"/>
        <w:outlineLvl w:val="1"/>
        <w:rPr>
          <w:rFonts w:ascii="黑体" w:hAnsi="黑体" w:eastAsia="黑体" w:cs="宋体"/>
          <w:bCs/>
          <w:kern w:val="0"/>
          <w:sz w:val="32"/>
          <w:szCs w:val="32"/>
        </w:rPr>
      </w:pPr>
      <w:bookmarkStart w:id="12" w:name="_Toc27961"/>
      <w:bookmarkStart w:id="13" w:name="_Toc13201"/>
      <w:r>
        <w:rPr>
          <w:rFonts w:hint="eastAsia" w:ascii="黑体" w:hAnsi="黑体" w:eastAsia="黑体" w:cs="宋体"/>
          <w:bCs/>
          <w:kern w:val="0"/>
          <w:sz w:val="32"/>
          <w:szCs w:val="32"/>
        </w:rPr>
        <w:t>三、支出决算情况说明</w:t>
      </w:r>
      <w:bookmarkEnd w:id="12"/>
      <w:bookmarkEnd w:id="13"/>
    </w:p>
    <w:p>
      <w:pPr>
        <w:ind w:firstLine="640" w:firstLineChars="200"/>
        <w:jc w:val="left"/>
        <w:rPr>
          <w:rFonts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本年支出1,775.66万元，其中：基本支出1,262.62万元，占71.11%；项目支出513.03万元，占28.89%；上缴上级支出0.00万元，占0.00%；经营支出0.00万元，占0.00%；对附属单位补助支出0.00万元，占0.00%。</w:t>
      </w:r>
    </w:p>
    <w:p>
      <w:pPr>
        <w:ind w:firstLine="640" w:firstLineChars="200"/>
        <w:jc w:val="left"/>
        <w:outlineLvl w:val="1"/>
        <w:rPr>
          <w:rFonts w:ascii="黑体" w:hAnsi="黑体" w:eastAsia="黑体" w:cs="宋体"/>
          <w:bCs/>
          <w:kern w:val="0"/>
          <w:sz w:val="32"/>
          <w:szCs w:val="32"/>
        </w:rPr>
      </w:pPr>
      <w:bookmarkStart w:id="14" w:name="_Toc26564"/>
      <w:bookmarkStart w:id="15" w:name="_Toc4393"/>
      <w:r>
        <w:rPr>
          <w:rFonts w:hint="eastAsia" w:ascii="黑体" w:hAnsi="黑体" w:eastAsia="黑体" w:cs="宋体"/>
          <w:bCs/>
          <w:kern w:val="0"/>
          <w:sz w:val="32"/>
          <w:szCs w:val="32"/>
        </w:rPr>
        <w:t>四、财政拨款收入支出决算总体情况说明</w:t>
      </w:r>
      <w:bookmarkEnd w:id="14"/>
      <w:bookmarkEnd w:id="15"/>
    </w:p>
    <w:p>
      <w:pPr>
        <w:ind w:firstLine="640" w:firstLineChars="200"/>
        <w:jc w:val="left"/>
        <w:rPr>
          <w:rFonts w:ascii="仿宋_GB2312" w:eastAsia="仿宋_GB2312"/>
          <w:sz w:val="32"/>
          <w:szCs w:val="32"/>
        </w:rPr>
      </w:pPr>
      <w:r>
        <w:rPr>
          <w:rFonts w:hint="eastAsia" w:ascii="仿宋_GB2312" w:eastAsia="仿宋_GB2312"/>
          <w:sz w:val="32"/>
          <w:szCs w:val="32"/>
        </w:rPr>
        <w:t>2023年度财政拨款收入总计</w:t>
      </w:r>
      <w:r>
        <w:rPr>
          <w:rFonts w:hint="eastAsia" w:ascii="仿宋_GB2312" w:eastAsia="仿宋_GB2312"/>
          <w:sz w:val="32"/>
          <w:szCs w:val="32"/>
          <w:lang w:val="zh-CN"/>
        </w:rPr>
        <w:t>1,519.77</w:t>
      </w:r>
      <w:r>
        <w:rPr>
          <w:rFonts w:hint="eastAsia" w:ascii="仿宋_GB2312" w:eastAsia="仿宋_GB2312"/>
          <w:sz w:val="32"/>
          <w:szCs w:val="32"/>
        </w:rPr>
        <w:t>万元，其中：年初财政拨款结转和结余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万元，本年财政拨款收入</w:t>
      </w:r>
      <w:r>
        <w:rPr>
          <w:rFonts w:hint="eastAsia" w:ascii="仿宋_GB2312" w:eastAsia="仿宋_GB2312"/>
          <w:sz w:val="32"/>
          <w:szCs w:val="32"/>
          <w:lang w:val="zh-CN"/>
        </w:rPr>
        <w:t>1,519.77</w:t>
      </w:r>
      <w:r>
        <w:rPr>
          <w:rFonts w:hint="eastAsia" w:ascii="仿宋_GB2312" w:eastAsia="仿宋_GB2312"/>
          <w:sz w:val="32"/>
          <w:szCs w:val="32"/>
        </w:rPr>
        <w:t>万元。财政拨款支出总计</w:t>
      </w:r>
      <w:r>
        <w:rPr>
          <w:rFonts w:hint="eastAsia" w:ascii="仿宋_GB2312" w:eastAsia="仿宋_GB2312"/>
          <w:sz w:val="32"/>
          <w:szCs w:val="32"/>
          <w:lang w:val="zh-CN"/>
        </w:rPr>
        <w:t>1,519.77</w:t>
      </w:r>
      <w:r>
        <w:rPr>
          <w:rFonts w:hint="eastAsia" w:ascii="仿宋_GB2312" w:eastAsia="仿宋_GB2312"/>
          <w:sz w:val="32"/>
          <w:szCs w:val="32"/>
        </w:rPr>
        <w:t>万元，其中：年末财政拨款结转和结余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万元，本年财政拨款支出</w:t>
      </w:r>
      <w:r>
        <w:rPr>
          <w:rFonts w:hint="eastAsia" w:ascii="仿宋_GB2312" w:eastAsia="仿宋_GB2312"/>
          <w:sz w:val="32"/>
          <w:szCs w:val="32"/>
          <w:lang w:val="zh-CN"/>
        </w:rPr>
        <w:t>1,519.77</w:t>
      </w:r>
      <w:r>
        <w:rPr>
          <w:rFonts w:hint="eastAsia" w:ascii="仿宋_GB2312" w:eastAsia="仿宋_GB2312"/>
          <w:sz w:val="32"/>
          <w:szCs w:val="32"/>
        </w:rPr>
        <w:t>万元。</w:t>
      </w:r>
    </w:p>
    <w:p>
      <w:pPr>
        <w:ind w:firstLine="640" w:firstLineChars="200"/>
        <w:jc w:val="left"/>
        <w:rPr>
          <w:rFonts w:ascii="仿宋_GB2312" w:eastAsia="仿宋_GB2312"/>
          <w:sz w:val="32"/>
          <w:szCs w:val="32"/>
        </w:rPr>
      </w:pPr>
      <w:r>
        <w:rPr>
          <w:rFonts w:hint="eastAsia" w:ascii="仿宋_GB2312" w:eastAsia="仿宋_GB2312"/>
          <w:sz w:val="32"/>
          <w:szCs w:val="32"/>
        </w:rPr>
        <w:t>财政拨款收入支出总体与上年相比,</w:t>
      </w:r>
      <w:r>
        <w:rPr>
          <w:rFonts w:hint="eastAsia" w:ascii="仿宋_GB2312" w:eastAsia="仿宋_GB2312"/>
          <w:sz w:val="32"/>
          <w:szCs w:val="32"/>
          <w:lang w:val="zh-CN"/>
        </w:rPr>
        <w:t>增加432.29万元</w:t>
      </w:r>
      <w:r>
        <w:rPr>
          <w:rFonts w:hint="eastAsia" w:ascii="仿宋_GB2312" w:eastAsia="仿宋_GB2312"/>
          <w:sz w:val="32"/>
          <w:szCs w:val="32"/>
        </w:rPr>
        <w:t>，增长39.75%,主要原因是：人员工资职级晋升，人员工资及社保缴费增加、妇幼保健院业务用房及前期费用项目支出增加、医疗服务与保障能力提升建设项目增加、重大公共卫生项目支出增加、为民办实事项目经费支出增加。</w:t>
      </w:r>
    </w:p>
    <w:p>
      <w:pPr>
        <w:ind w:firstLine="640" w:firstLineChars="200"/>
        <w:jc w:val="left"/>
        <w:rPr>
          <w:rFonts w:ascii="仿宋_GB2312" w:eastAsia="仿宋_GB2312"/>
          <w:sz w:val="32"/>
          <w:szCs w:val="32"/>
        </w:rPr>
      </w:pPr>
      <w:r>
        <w:rPr>
          <w:rFonts w:hint="eastAsia" w:ascii="仿宋_GB2312" w:eastAsia="仿宋_GB2312"/>
          <w:sz w:val="32"/>
          <w:szCs w:val="32"/>
        </w:rPr>
        <w:t>与年初预算相比，年初预算数</w:t>
      </w:r>
      <w:r>
        <w:rPr>
          <w:rFonts w:hint="eastAsia" w:ascii="仿宋_GB2312" w:eastAsia="仿宋_GB2312"/>
          <w:sz w:val="32"/>
          <w:szCs w:val="32"/>
          <w:lang w:val="zh-CN"/>
        </w:rPr>
        <w:t>1,045.76</w:t>
      </w:r>
      <w:r>
        <w:rPr>
          <w:rFonts w:hint="eastAsia" w:ascii="仿宋_GB2312" w:eastAsia="仿宋_GB2312"/>
          <w:sz w:val="32"/>
          <w:szCs w:val="32"/>
        </w:rPr>
        <w:t>万元，决算数</w:t>
      </w:r>
      <w:r>
        <w:rPr>
          <w:rFonts w:hint="eastAsia" w:ascii="仿宋_GB2312" w:eastAsia="仿宋_GB2312"/>
          <w:sz w:val="32"/>
          <w:szCs w:val="32"/>
          <w:lang w:val="zh-CN"/>
        </w:rPr>
        <w:t>1,519.77</w:t>
      </w:r>
      <w:r>
        <w:rPr>
          <w:rFonts w:hint="eastAsia" w:ascii="仿宋_GB2312" w:eastAsia="仿宋_GB2312"/>
          <w:sz w:val="32"/>
          <w:szCs w:val="32"/>
        </w:rPr>
        <w:t>万元，预决算差异率45.33%，主要原因是：人员工资职级晋升人员经费增加；妇幼保健院业务用房及前期费用项目增加、医疗服务与保障能力提升建设项目增加、重大公共卫生项目支出增加、基本公共卫生项目支出、为民办实事经费项目支出增加。</w:t>
      </w:r>
    </w:p>
    <w:p>
      <w:pPr>
        <w:ind w:firstLine="640" w:firstLineChars="200"/>
        <w:jc w:val="left"/>
        <w:outlineLvl w:val="1"/>
        <w:rPr>
          <w:rFonts w:ascii="黑体" w:hAnsi="黑体" w:eastAsia="黑体" w:cs="宋体"/>
          <w:bCs/>
          <w:kern w:val="0"/>
          <w:sz w:val="32"/>
          <w:szCs w:val="32"/>
        </w:rPr>
      </w:pPr>
      <w:bookmarkStart w:id="16" w:name="_Toc20360"/>
      <w:bookmarkStart w:id="17" w:name="_Toc13833"/>
      <w:r>
        <w:rPr>
          <w:rFonts w:hint="eastAsia" w:ascii="黑体" w:hAnsi="黑体" w:eastAsia="黑体" w:cs="宋体"/>
          <w:bCs/>
          <w:kern w:val="0"/>
          <w:sz w:val="32"/>
          <w:szCs w:val="32"/>
        </w:rPr>
        <w:t>五、一般公共预算财政拨款支出决算情况说明</w:t>
      </w:r>
      <w:bookmarkEnd w:id="16"/>
      <w:bookmarkEnd w:id="17"/>
    </w:p>
    <w:p>
      <w:pPr>
        <w:ind w:firstLine="640" w:firstLineChars="200"/>
        <w:jc w:val="left"/>
        <w:outlineLvl w:val="2"/>
        <w:rPr>
          <w:rFonts w:ascii="黑体" w:hAnsi="黑体" w:eastAsia="黑体"/>
          <w:sz w:val="32"/>
          <w:szCs w:val="32"/>
        </w:rPr>
      </w:pPr>
      <w:r>
        <w:rPr>
          <w:rFonts w:hint="eastAsia" w:ascii="黑体" w:hAnsi="黑体" w:eastAsia="黑体"/>
          <w:sz w:val="32"/>
          <w:szCs w:val="32"/>
        </w:rPr>
        <w:t>（一）一般公共预算财政拨款支出决算总体情况</w:t>
      </w:r>
    </w:p>
    <w:p>
      <w:pPr>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2023年度一般公共预算财政拨款支出1,519.77万元，占本年支出合计的</w:t>
      </w:r>
      <w:r>
        <w:rPr>
          <w:rFonts w:hint="eastAsia" w:ascii="仿宋_GB2312" w:eastAsia="仿宋_GB2312"/>
          <w:sz w:val="32"/>
          <w:szCs w:val="32"/>
          <w:lang w:val="zh-CN"/>
        </w:rPr>
        <w:t>85.59%</w:t>
      </w:r>
      <w:r>
        <w:rPr>
          <w:rFonts w:hint="eastAsia" w:ascii="仿宋_GB2312" w:eastAsia="仿宋_GB2312"/>
          <w:sz w:val="32"/>
          <w:szCs w:val="32"/>
        </w:rPr>
        <w:t>。与上年相比，</w:t>
      </w:r>
      <w:r>
        <w:rPr>
          <w:rFonts w:hint="eastAsia" w:ascii="仿宋_GB2312" w:eastAsia="仿宋_GB2312"/>
          <w:sz w:val="32"/>
          <w:szCs w:val="32"/>
          <w:lang w:val="zh-CN"/>
        </w:rPr>
        <w:t>增加432.29万元</w:t>
      </w:r>
      <w:r>
        <w:rPr>
          <w:rFonts w:hint="eastAsia" w:ascii="仿宋_GB2312" w:eastAsia="仿宋_GB2312"/>
          <w:sz w:val="32"/>
          <w:szCs w:val="32"/>
        </w:rPr>
        <w:t>，增长39.75%,主要原因是：人员工资职级晋升，人员工资及社保缴费增加、妇幼保健院业务用房及前期费用项目支出增加、医疗服务与保障能力提升建设项目增加、重大公共卫生项目支出增加、为民办实事项目经费支出增加。</w:t>
      </w:r>
    </w:p>
    <w:p>
      <w:pPr>
        <w:ind w:firstLine="640" w:firstLineChars="200"/>
        <w:jc w:val="left"/>
        <w:rPr>
          <w:rFonts w:ascii="仿宋_GB2312" w:eastAsia="仿宋_GB2312"/>
          <w:sz w:val="32"/>
          <w:szCs w:val="32"/>
        </w:rPr>
      </w:pPr>
      <w:r>
        <w:rPr>
          <w:rFonts w:hint="eastAsia" w:ascii="仿宋_GB2312" w:eastAsia="仿宋_GB2312"/>
          <w:sz w:val="32"/>
          <w:szCs w:val="32"/>
        </w:rPr>
        <w:t>与年初预算相比，年初预算数</w:t>
      </w:r>
      <w:r>
        <w:rPr>
          <w:rFonts w:hint="eastAsia" w:ascii="仿宋_GB2312" w:eastAsia="仿宋_GB2312"/>
          <w:sz w:val="32"/>
          <w:szCs w:val="32"/>
          <w:lang w:val="zh-CN"/>
        </w:rPr>
        <w:t>1,045.76</w:t>
      </w:r>
      <w:r>
        <w:rPr>
          <w:rFonts w:hint="eastAsia" w:ascii="仿宋_GB2312" w:eastAsia="仿宋_GB2312"/>
          <w:sz w:val="32"/>
          <w:szCs w:val="32"/>
        </w:rPr>
        <w:t>万元，决算数</w:t>
      </w:r>
      <w:r>
        <w:rPr>
          <w:rFonts w:hint="eastAsia" w:ascii="仿宋_GB2312" w:eastAsia="仿宋_GB2312"/>
          <w:sz w:val="32"/>
          <w:szCs w:val="32"/>
          <w:lang w:val="zh-CN"/>
        </w:rPr>
        <w:t>1,519.77</w:t>
      </w:r>
      <w:r>
        <w:rPr>
          <w:rFonts w:hint="eastAsia" w:ascii="仿宋_GB2312" w:eastAsia="仿宋_GB2312"/>
          <w:sz w:val="32"/>
          <w:szCs w:val="32"/>
        </w:rPr>
        <w:t>万元，预决算差异率</w:t>
      </w:r>
      <w:r>
        <w:rPr>
          <w:rFonts w:hint="eastAsia" w:ascii="仿宋_GB2312" w:eastAsia="仿宋_GB2312"/>
          <w:sz w:val="32"/>
          <w:szCs w:val="32"/>
          <w:lang w:val="zh-CN"/>
        </w:rPr>
        <w:t>45.33%</w:t>
      </w:r>
      <w:r>
        <w:rPr>
          <w:rFonts w:hint="eastAsia" w:ascii="仿宋_GB2312" w:eastAsia="仿宋_GB2312"/>
          <w:sz w:val="32"/>
          <w:szCs w:val="32"/>
        </w:rPr>
        <w:t>，主要原因是：人员工资职级晋升人员经费增加、妇幼保健院业务用房及前期费用增加、医疗服务与保障能力提升建设项目增加、重大公共卫生项目增加、基本公共卫生项目增加、为民办实事经费项目增加。</w:t>
      </w:r>
    </w:p>
    <w:p>
      <w:pPr>
        <w:numPr>
          <w:ilvl w:val="0"/>
          <w:numId w:val="1"/>
        </w:numPr>
        <w:ind w:firstLine="640" w:firstLineChars="200"/>
        <w:jc w:val="left"/>
        <w:outlineLvl w:val="2"/>
        <w:rPr>
          <w:rFonts w:ascii="黑体" w:hAnsi="黑体" w:eastAsia="黑体"/>
          <w:sz w:val="32"/>
          <w:szCs w:val="32"/>
        </w:rPr>
      </w:pPr>
      <w:r>
        <w:rPr>
          <w:rFonts w:hint="eastAsia" w:ascii="黑体" w:hAnsi="黑体" w:eastAsia="黑体"/>
          <w:sz w:val="32"/>
          <w:szCs w:val="32"/>
        </w:rPr>
        <w:t>一般公共预算财政拨款支出决算结构情况</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rPr>
        <w:t>1</w:t>
      </w:r>
      <w:r>
        <w:rPr>
          <w:rFonts w:ascii="仿宋_GB2312" w:eastAsia="仿宋_GB2312"/>
          <w:kern w:val="2"/>
          <w:sz w:val="32"/>
          <w:szCs w:val="32"/>
          <w:lang w:val="zh-CN"/>
        </w:rPr>
        <w:t>.社会保障和就业支出（类）</w:t>
      </w:r>
      <w:r>
        <w:rPr>
          <w:rFonts w:hint="eastAsia" w:ascii="仿宋_GB2312" w:eastAsia="仿宋_GB2312"/>
          <w:kern w:val="2"/>
          <w:sz w:val="32"/>
          <w:szCs w:val="32"/>
          <w:lang w:val="zh-CN"/>
        </w:rPr>
        <w:t>111.25</w:t>
      </w:r>
      <w:r>
        <w:rPr>
          <w:rFonts w:ascii="仿宋_GB2312" w:eastAsia="仿宋_GB2312"/>
          <w:kern w:val="2"/>
          <w:sz w:val="32"/>
          <w:szCs w:val="32"/>
          <w:lang w:val="zh-CN"/>
        </w:rPr>
        <w:t>万元，占</w:t>
      </w:r>
      <w:r>
        <w:rPr>
          <w:rFonts w:hint="eastAsia" w:ascii="仿宋_GB2312" w:eastAsia="仿宋_GB2312"/>
          <w:kern w:val="2"/>
          <w:sz w:val="32"/>
          <w:szCs w:val="32"/>
          <w:lang w:val="zh-CN"/>
        </w:rPr>
        <w:t>7.32%</w:t>
      </w:r>
      <w:r>
        <w:rPr>
          <w:rFonts w:ascii="仿宋_GB2312" w:eastAsia="仿宋_GB2312"/>
          <w:kern w:val="2"/>
          <w:sz w:val="32"/>
          <w:szCs w:val="32"/>
          <w:lang w:val="zh-CN"/>
        </w:rPr>
        <w:t>；</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rPr>
        <w:t>2</w:t>
      </w:r>
      <w:r>
        <w:rPr>
          <w:rFonts w:ascii="仿宋_GB2312" w:eastAsia="仿宋_GB2312"/>
          <w:kern w:val="2"/>
          <w:sz w:val="32"/>
          <w:szCs w:val="32"/>
          <w:lang w:val="zh-CN"/>
        </w:rPr>
        <w:t>.卫生健康支出（类）</w:t>
      </w:r>
      <w:r>
        <w:rPr>
          <w:rFonts w:hint="eastAsia" w:ascii="仿宋_GB2312" w:eastAsia="仿宋_GB2312"/>
          <w:kern w:val="2"/>
          <w:sz w:val="32"/>
          <w:szCs w:val="32"/>
          <w:lang w:val="zh-CN"/>
        </w:rPr>
        <w:t>1,320.17</w:t>
      </w:r>
      <w:r>
        <w:rPr>
          <w:rFonts w:ascii="仿宋_GB2312" w:eastAsia="仿宋_GB2312"/>
          <w:kern w:val="2"/>
          <w:sz w:val="32"/>
          <w:szCs w:val="32"/>
          <w:lang w:val="zh-CN"/>
        </w:rPr>
        <w:t>万元，占</w:t>
      </w:r>
      <w:r>
        <w:rPr>
          <w:rFonts w:hint="eastAsia" w:ascii="仿宋_GB2312" w:eastAsia="仿宋_GB2312"/>
          <w:kern w:val="2"/>
          <w:sz w:val="32"/>
          <w:szCs w:val="32"/>
          <w:lang w:val="zh-CN"/>
        </w:rPr>
        <w:t>86.87%</w:t>
      </w:r>
      <w:r>
        <w:rPr>
          <w:rFonts w:ascii="仿宋_GB2312" w:eastAsia="仿宋_GB2312"/>
          <w:kern w:val="2"/>
          <w:sz w:val="32"/>
          <w:szCs w:val="32"/>
          <w:lang w:val="zh-CN"/>
        </w:rPr>
        <w:t>；</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rPr>
        <w:t>3</w:t>
      </w:r>
      <w:r>
        <w:rPr>
          <w:rFonts w:ascii="仿宋_GB2312" w:eastAsia="仿宋_GB2312"/>
          <w:kern w:val="2"/>
          <w:sz w:val="32"/>
          <w:szCs w:val="32"/>
          <w:lang w:val="zh-CN"/>
        </w:rPr>
        <w:t>.住房保障支出（类）</w:t>
      </w:r>
      <w:r>
        <w:rPr>
          <w:rFonts w:hint="eastAsia" w:ascii="仿宋_GB2312" w:eastAsia="仿宋_GB2312"/>
          <w:kern w:val="2"/>
          <w:sz w:val="32"/>
          <w:szCs w:val="32"/>
          <w:lang w:val="zh-CN"/>
        </w:rPr>
        <w:t>73.32</w:t>
      </w:r>
      <w:r>
        <w:rPr>
          <w:rFonts w:ascii="仿宋_GB2312" w:eastAsia="仿宋_GB2312"/>
          <w:kern w:val="2"/>
          <w:sz w:val="32"/>
          <w:szCs w:val="32"/>
          <w:lang w:val="zh-CN"/>
        </w:rPr>
        <w:t>万元，占</w:t>
      </w:r>
      <w:r>
        <w:rPr>
          <w:rFonts w:hint="eastAsia" w:ascii="仿宋_GB2312" w:eastAsia="仿宋_GB2312"/>
          <w:kern w:val="2"/>
          <w:sz w:val="32"/>
          <w:szCs w:val="32"/>
          <w:lang w:val="zh-CN"/>
        </w:rPr>
        <w:t>4.82%</w:t>
      </w:r>
      <w:r>
        <w:rPr>
          <w:rFonts w:ascii="仿宋_GB2312" w:eastAsia="仿宋_GB2312"/>
          <w:kern w:val="2"/>
          <w:sz w:val="32"/>
          <w:szCs w:val="32"/>
          <w:lang w:val="zh-CN"/>
        </w:rPr>
        <w:t>；</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rPr>
        <w:t>4</w:t>
      </w:r>
      <w:r>
        <w:rPr>
          <w:rFonts w:ascii="仿宋_GB2312" w:eastAsia="仿宋_GB2312"/>
          <w:kern w:val="2"/>
          <w:sz w:val="32"/>
          <w:szCs w:val="32"/>
          <w:lang w:val="zh-CN"/>
        </w:rPr>
        <w:t>.其他支出（类）</w:t>
      </w:r>
      <w:r>
        <w:rPr>
          <w:rFonts w:hint="eastAsia" w:ascii="仿宋_GB2312" w:eastAsia="仿宋_GB2312"/>
          <w:kern w:val="2"/>
          <w:sz w:val="32"/>
          <w:szCs w:val="32"/>
          <w:lang w:val="zh-CN"/>
        </w:rPr>
        <w:t>15.04</w:t>
      </w:r>
      <w:r>
        <w:rPr>
          <w:rFonts w:ascii="仿宋_GB2312" w:eastAsia="仿宋_GB2312"/>
          <w:kern w:val="2"/>
          <w:sz w:val="32"/>
          <w:szCs w:val="32"/>
          <w:lang w:val="zh-CN"/>
        </w:rPr>
        <w:t>万元，占</w:t>
      </w:r>
      <w:r>
        <w:rPr>
          <w:rFonts w:hint="eastAsia" w:ascii="仿宋_GB2312" w:eastAsia="仿宋_GB2312"/>
          <w:kern w:val="2"/>
          <w:sz w:val="32"/>
          <w:szCs w:val="32"/>
          <w:lang w:val="zh-CN"/>
        </w:rPr>
        <w:t>0.99%</w:t>
      </w:r>
      <w:r>
        <w:rPr>
          <w:rFonts w:ascii="仿宋_GB2312" w:eastAsia="仿宋_GB2312"/>
          <w:kern w:val="2"/>
          <w:sz w:val="32"/>
          <w:szCs w:val="32"/>
          <w:lang w:val="zh-CN"/>
        </w:rPr>
        <w:t>；</w:t>
      </w:r>
    </w:p>
    <w:p>
      <w:pPr>
        <w:ind w:firstLine="640" w:firstLineChars="200"/>
        <w:jc w:val="left"/>
        <w:outlineLvl w:val="2"/>
        <w:rPr>
          <w:rFonts w:ascii="黑体" w:hAnsi="黑体" w:eastAsia="黑体"/>
          <w:sz w:val="32"/>
          <w:szCs w:val="32"/>
        </w:rPr>
      </w:pPr>
      <w:r>
        <w:rPr>
          <w:rFonts w:hint="eastAsia" w:ascii="黑体" w:hAnsi="黑体" w:eastAsia="黑体"/>
          <w:sz w:val="32"/>
          <w:szCs w:val="32"/>
        </w:rPr>
        <w:t>（三）一般公共预算财政拨款支出决算具体情况</w:t>
      </w:r>
    </w:p>
    <w:p>
      <w:pPr>
        <w:ind w:firstLine="640" w:firstLineChars="200"/>
        <w:rPr>
          <w:rFonts w:ascii="仿宋_GB2312" w:hAnsi="仿宋_GB2312" w:eastAsia="仿宋_GB2312" w:cs="仿宋_GB2312"/>
          <w:sz w:val="32"/>
          <w:szCs w:val="32"/>
          <w:lang w:val="zh-CN"/>
        </w:rPr>
      </w:pPr>
      <w:r>
        <w:rPr>
          <w:rFonts w:hint="eastAsia" w:ascii="仿宋_GB2312" w:hAnsi="仿宋_GB2312" w:eastAsia="仿宋_GB2312" w:cs="仿宋_GB2312"/>
          <w:sz w:val="32"/>
          <w:szCs w:val="32"/>
        </w:rPr>
        <w:t>1.卫生健康支出（类）行政事业单位医疗（款）事业单位医疗（项）:支出决算数为40.07万元，比上年决算减少12.89万元，下降24.34%，主要原因是：2022年单位承担退休人员医疗支出，2023年度退休人员医疗支出不再缴纳，因此比上年下降。</w:t>
      </w:r>
    </w:p>
    <w:p>
      <w:pPr>
        <w:ind w:firstLine="640" w:firstLineChars="200"/>
        <w:rPr>
          <w:rFonts w:ascii="仿宋_GB2312" w:hAnsi="仿宋_GB2312" w:eastAsia="仿宋_GB2312" w:cs="仿宋_GB2312"/>
          <w:sz w:val="32"/>
          <w:szCs w:val="32"/>
          <w:lang w:val="zh-CN"/>
        </w:rPr>
      </w:pPr>
      <w:r>
        <w:rPr>
          <w:rFonts w:hint="eastAsia" w:ascii="仿宋_GB2312" w:hAnsi="仿宋_GB2312" w:eastAsia="仿宋_GB2312" w:cs="仿宋_GB2312"/>
          <w:sz w:val="32"/>
          <w:szCs w:val="32"/>
        </w:rPr>
        <w:t>2.住房保障支出（类）住房改革支出（款）住房公积金（项）:支出决算数为73.32万元，比上年决算增加3.63万元，增长5.21%，主要原因是：人员工资职级晋升，缴费基数增长</w:t>
      </w:r>
      <w:r>
        <w:rPr>
          <w:rFonts w:hint="eastAsia" w:ascii="仿宋_GB2312" w:hAnsi="仿宋_GB2312" w:eastAsia="仿宋_GB2312" w:cs="仿宋_GB2312"/>
          <w:sz w:val="32"/>
          <w:szCs w:val="32"/>
          <w:lang w:val="zh-CN"/>
        </w:rPr>
        <w:t>。</w:t>
      </w:r>
    </w:p>
    <w:p>
      <w:pPr>
        <w:ind w:firstLine="640" w:firstLineChars="200"/>
        <w:rPr>
          <w:rFonts w:ascii="仿宋_GB2312" w:hAnsi="仿宋_GB2312" w:eastAsia="仿宋_GB2312" w:cs="仿宋_GB2312"/>
          <w:sz w:val="32"/>
          <w:szCs w:val="32"/>
          <w:highlight w:val="yellow"/>
          <w:lang w:val="zh-CN"/>
        </w:rPr>
      </w:pPr>
      <w:r>
        <w:rPr>
          <w:rFonts w:hint="eastAsia" w:ascii="仿宋_GB2312" w:hAnsi="仿宋_GB2312" w:eastAsia="仿宋_GB2312" w:cs="仿宋_GB2312"/>
          <w:sz w:val="32"/>
          <w:szCs w:val="32"/>
        </w:rPr>
        <w:t>3.卫生健康支出（类）公共卫生（款）妇幼保健机构（项）:支出决算数为1,215.00万元，比上年决算增加419.44万元，增长52.72%，主要原因是：人员工资增加，人员经费比上年增加47.16万元，妇幼保健业务用房及前期费用项目支出比上年增加172.28万元，医疗服务与保障能力提升项目-重点医疗设备配置、远程会诊中心能力建设及人才队伍培训比上年增加200万元。</w:t>
      </w:r>
    </w:p>
    <w:p>
      <w:pPr>
        <w:ind w:firstLine="640" w:firstLineChars="200"/>
        <w:rPr>
          <w:rFonts w:ascii="仿宋_GB2312" w:hAnsi="仿宋_GB2312" w:eastAsia="仿宋_GB2312" w:cs="仿宋_GB2312"/>
          <w:sz w:val="32"/>
          <w:szCs w:val="32"/>
          <w:lang w:val="zh-CN"/>
        </w:rPr>
      </w:pPr>
      <w:r>
        <w:rPr>
          <w:rFonts w:hint="eastAsia" w:ascii="仿宋_GB2312" w:hAnsi="仿宋_GB2312" w:eastAsia="仿宋_GB2312" w:cs="仿宋_GB2312"/>
          <w:sz w:val="32"/>
          <w:szCs w:val="32"/>
        </w:rPr>
        <w:t>4.社会保障和就业支出（类）行政事业单位养老支出（款）事业单位离退休（项）:支出决算数为17.26万元，比上年决算增加6.59万元，增长61.76%，主要原因是：人员工资增加，养老缴费基数增长。</w:t>
      </w:r>
    </w:p>
    <w:p>
      <w:pPr>
        <w:ind w:firstLine="640" w:firstLineChars="200"/>
        <w:rPr>
          <w:rFonts w:ascii="仿宋_GB2312" w:hAnsi="仿宋_GB2312" w:eastAsia="仿宋_GB2312" w:cs="仿宋_GB2312"/>
          <w:sz w:val="32"/>
          <w:szCs w:val="32"/>
          <w:lang w:val="zh-CN"/>
        </w:rPr>
      </w:pPr>
      <w:r>
        <w:rPr>
          <w:rFonts w:hint="eastAsia" w:ascii="仿宋_GB2312" w:hAnsi="仿宋_GB2312" w:eastAsia="仿宋_GB2312" w:cs="仿宋_GB2312"/>
          <w:sz w:val="32"/>
          <w:szCs w:val="32"/>
        </w:rPr>
        <w:t>5.卫生健康支出（类）公共卫生（款）基本公共卫生服务（项）:支出决算数为53.00万元，比上年决算减少3.00万元，下降5.36%，主要原因是：国家免费孕前优生项目资金拨款减少，农村两癌项目经费拨款减少</w:t>
      </w:r>
      <w:r>
        <w:rPr>
          <w:rFonts w:hint="eastAsia" w:ascii="仿宋_GB2312" w:hAnsi="仿宋_GB2312" w:eastAsia="仿宋_GB2312" w:cs="仿宋_GB2312"/>
          <w:sz w:val="32"/>
          <w:szCs w:val="32"/>
          <w:lang w:val="zh-CN"/>
        </w:rPr>
        <w:t>。</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6.卫生健康支出（类）公共卫生（款）重大公共卫生服务（项）:支出决算数为12.10万元，比上年决算增加1.62万元，增长15.46%，主要原因是：本年度重大传染病工作经费支出比去年增加。</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7.其他支出（类）其他支出（款）其他支出（项）:支出决算数为15.04万元，比上年决算增加7.17万元，增长91.11%，主要原因是：以前年度为民办实事经费部分资金未支付，在本年度进行了支付。</w:t>
      </w:r>
    </w:p>
    <w:p>
      <w:pPr>
        <w:ind w:firstLine="640" w:firstLineChars="200"/>
        <w:rPr>
          <w:rFonts w:ascii="仿宋_GB2312" w:hAnsi="仿宋_GB2312" w:eastAsia="仿宋_GB2312" w:cs="仿宋_GB2312"/>
          <w:sz w:val="32"/>
          <w:szCs w:val="32"/>
          <w:lang w:val="zh-CN"/>
        </w:rPr>
      </w:pPr>
      <w:r>
        <w:rPr>
          <w:rFonts w:hint="eastAsia" w:ascii="仿宋_GB2312" w:hAnsi="仿宋_GB2312" w:eastAsia="仿宋_GB2312" w:cs="仿宋_GB2312"/>
          <w:sz w:val="32"/>
          <w:szCs w:val="32"/>
        </w:rPr>
        <w:t>8.社会保障和就业支出（类）行政事业单位养老支出（款）机关事业单位基本养老保险缴费支出（项）:支出决算数为94.00万元，比上年决算增加15.72万元，增长20.08%，主要原因是：人员工资增加，单位基本养老保险缴费支出基数增长</w:t>
      </w:r>
      <w:r>
        <w:rPr>
          <w:rFonts w:hint="eastAsia" w:ascii="仿宋_GB2312" w:hAnsi="仿宋_GB2312" w:eastAsia="仿宋_GB2312" w:cs="仿宋_GB2312"/>
          <w:sz w:val="32"/>
          <w:szCs w:val="32"/>
          <w:lang w:val="zh-CN"/>
        </w:rPr>
        <w:t>。</w:t>
      </w:r>
    </w:p>
    <w:p>
      <w:pPr>
        <w:ind w:firstLine="640" w:firstLineChars="200"/>
        <w:rPr>
          <w:rFonts w:ascii="仿宋_GB2312" w:hAnsi="仿宋_GB2312" w:eastAsia="仿宋_GB2312" w:cs="仿宋_GB2312"/>
          <w:sz w:val="32"/>
          <w:szCs w:val="32"/>
          <w:lang w:val="zh-CN"/>
        </w:rPr>
      </w:pPr>
      <w:r>
        <w:rPr>
          <w:rFonts w:hint="eastAsia" w:ascii="仿宋_GB2312" w:hAnsi="仿宋_GB2312" w:eastAsia="仿宋_GB2312" w:cs="仿宋_GB2312"/>
          <w:sz w:val="32"/>
          <w:szCs w:val="32"/>
        </w:rPr>
        <w:t>9.社会保障和就业支出（类）行政事业单位养老支出（款）机关事业单位职业年金缴费支出（项）:支出决算数为0.00万元，比上年决算减少5.96万元，下降100%，主要原因是：上年度职业年金缴费支出5.96万元，本年度无退休人员，未发生职业年金缴费。</w:t>
      </w:r>
    </w:p>
    <w:p>
      <w:pPr>
        <w:ind w:firstLine="640" w:firstLineChars="200"/>
        <w:jc w:val="left"/>
        <w:outlineLvl w:val="1"/>
        <w:rPr>
          <w:rFonts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pPr>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基本支出1,011.36万元，其中：人员经费1,008.57万元，包括：基本工资、津贴补贴、奖金、绩效工资、机关事业单位基本养老保险缴费、职工基本医疗保险缴费、其他社会保障缴费、住房公积金、退休费、其他对个人和家庭的补助。</w:t>
      </w:r>
    </w:p>
    <w:p>
      <w:pPr>
        <w:ind w:firstLine="640" w:firstLineChars="200"/>
        <w:jc w:val="left"/>
        <w:rPr>
          <w:rFonts w:ascii="仿宋_GB2312" w:eastAsia="仿宋_GB2312"/>
          <w:sz w:val="32"/>
          <w:szCs w:val="32"/>
          <w:highlight w:val="red"/>
        </w:rPr>
      </w:pPr>
      <w:r>
        <w:rPr>
          <w:rFonts w:hint="eastAsia" w:ascii="仿宋_GB2312" w:eastAsia="仿宋_GB2312"/>
          <w:sz w:val="32"/>
          <w:szCs w:val="32"/>
        </w:rPr>
        <w:t>公用经费2.79万元，包括：工会经费。</w:t>
      </w:r>
    </w:p>
    <w:p>
      <w:pPr>
        <w:ind w:firstLine="640" w:firstLineChars="200"/>
        <w:jc w:val="left"/>
        <w:outlineLvl w:val="1"/>
        <w:rPr>
          <w:rFonts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2023年度</w:t>
      </w:r>
      <w:r>
        <w:rPr>
          <w:rFonts w:hint="eastAsia" w:ascii="仿宋_GB2312" w:eastAsia="仿宋_GB2312"/>
          <w:sz w:val="32"/>
          <w:szCs w:val="32"/>
        </w:rPr>
        <w:t>财政拨款</w:t>
      </w:r>
      <w:r>
        <w:rPr>
          <w:rFonts w:hint="eastAsia" w:ascii="仿宋_GB2312" w:eastAsia="仿宋_GB2312"/>
          <w:sz w:val="32"/>
          <w:szCs w:val="32"/>
          <w:lang w:val="zh-CN"/>
        </w:rPr>
        <w:t>“三公”经费支出0.00万元，</w:t>
      </w:r>
      <w:r>
        <w:rPr>
          <w:rFonts w:hint="eastAsia" w:ascii="仿宋_GB2312" w:eastAsia="仿宋_GB2312"/>
          <w:sz w:val="32"/>
          <w:szCs w:val="32"/>
        </w:rPr>
        <w:t>比上年</w:t>
      </w:r>
      <w:r>
        <w:rPr>
          <w:rFonts w:hint="eastAsia" w:ascii="仿宋_GB2312" w:eastAsia="仿宋_GB2312"/>
          <w:sz w:val="32"/>
          <w:szCs w:val="32"/>
          <w:lang w:val="zh-CN"/>
        </w:rPr>
        <w:t>减少2.65万元，</w:t>
      </w:r>
      <w:r>
        <w:rPr>
          <w:rFonts w:hint="eastAsia" w:ascii="仿宋_GB2312" w:eastAsia="仿宋_GB2312"/>
          <w:sz w:val="32"/>
          <w:szCs w:val="32"/>
        </w:rPr>
        <w:t>下降100.00%,</w:t>
      </w:r>
      <w:r>
        <w:rPr>
          <w:rFonts w:hint="eastAsia" w:ascii="仿宋_GB2312" w:eastAsia="仿宋_GB2312"/>
          <w:sz w:val="32"/>
          <w:szCs w:val="32"/>
          <w:lang w:val="zh-CN"/>
        </w:rPr>
        <w:t>主要原因是：</w:t>
      </w:r>
      <w:r>
        <w:rPr>
          <w:rFonts w:hint="eastAsia" w:ascii="仿宋_GB2312" w:eastAsia="仿宋_GB2312"/>
          <w:sz w:val="32"/>
          <w:szCs w:val="32"/>
        </w:rPr>
        <w:t>公务用车一辆由机关事务管理局使用，我单位本年度无</w:t>
      </w:r>
      <w:r>
        <w:rPr>
          <w:rFonts w:hint="eastAsia" w:ascii="仿宋_GB2312" w:eastAsia="仿宋_GB2312"/>
          <w:sz w:val="32"/>
          <w:szCs w:val="32"/>
          <w:lang w:val="zh-CN"/>
        </w:rPr>
        <w:t>“三公”经费支出。其中：因公出国（境）费支出0.00万元，占0.00%，比上年增加0.00万元，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w:t>
      </w:r>
      <w:r>
        <w:rPr>
          <w:rFonts w:hint="eastAsia" w:ascii="仿宋_GB2312" w:eastAsia="仿宋_GB2312"/>
          <w:sz w:val="32"/>
          <w:szCs w:val="32"/>
        </w:rPr>
        <w:t>我单位无因公出国（境）费支出</w:t>
      </w:r>
      <w:r>
        <w:rPr>
          <w:rFonts w:hint="eastAsia" w:ascii="仿宋_GB2312" w:eastAsia="仿宋_GB2312"/>
          <w:sz w:val="32"/>
          <w:szCs w:val="32"/>
          <w:lang w:val="zh-CN"/>
        </w:rPr>
        <w:t>；公务用车购置及运行维护费支出0.00万元，占0.00%，比上年减少2.65万元，</w:t>
      </w:r>
      <w:r>
        <w:rPr>
          <w:rFonts w:hint="eastAsia" w:ascii="仿宋_GB2312" w:eastAsia="仿宋_GB2312"/>
          <w:sz w:val="32"/>
          <w:szCs w:val="32"/>
        </w:rPr>
        <w:t>下降100.00%,</w:t>
      </w:r>
      <w:r>
        <w:rPr>
          <w:rFonts w:hint="eastAsia" w:ascii="仿宋_GB2312" w:eastAsia="仿宋_GB2312"/>
          <w:sz w:val="32"/>
          <w:szCs w:val="32"/>
          <w:lang w:val="zh-CN"/>
        </w:rPr>
        <w:t>主要原因是：</w:t>
      </w:r>
      <w:r>
        <w:rPr>
          <w:rFonts w:hint="eastAsia" w:ascii="仿宋_GB2312" w:eastAsia="仿宋_GB2312"/>
          <w:sz w:val="32"/>
          <w:szCs w:val="32"/>
        </w:rPr>
        <w:t>公务用车一辆由机关事务管理局使用，我单位无公用车购置及运行维护费支出</w:t>
      </w:r>
      <w:r>
        <w:rPr>
          <w:rFonts w:hint="eastAsia" w:ascii="仿宋_GB2312" w:eastAsia="仿宋_GB2312"/>
          <w:sz w:val="32"/>
          <w:szCs w:val="32"/>
          <w:lang w:val="zh-CN"/>
        </w:rPr>
        <w:t>；公务接待费支出0.00万元，占0.00%，比上年增加0.00万元，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w:t>
      </w:r>
      <w:r>
        <w:rPr>
          <w:rFonts w:hint="eastAsia" w:ascii="仿宋_GB2312" w:eastAsia="仿宋_GB2312"/>
          <w:sz w:val="32"/>
          <w:szCs w:val="32"/>
        </w:rPr>
        <w:t>我单位无公务接待费支出</w:t>
      </w:r>
      <w:r>
        <w:rPr>
          <w:rFonts w:hint="eastAsia" w:ascii="仿宋_GB2312" w:eastAsia="仿宋_GB2312"/>
          <w:sz w:val="32"/>
          <w:szCs w:val="32"/>
          <w:lang w:val="zh-CN"/>
        </w:rPr>
        <w:t>。</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具体情况如下：</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因公出国（境）费支出0.00万元，开支内容包括</w:t>
      </w:r>
      <w:r>
        <w:rPr>
          <w:rFonts w:hint="eastAsia" w:ascii="仿宋_GB2312" w:eastAsia="仿宋_GB2312"/>
          <w:sz w:val="32"/>
          <w:szCs w:val="32"/>
        </w:rPr>
        <w:t>我单位无因公出国（境）费支出</w:t>
      </w:r>
      <w:r>
        <w:rPr>
          <w:rFonts w:hint="eastAsia" w:ascii="仿宋_GB2312" w:eastAsia="仿宋_GB2312"/>
          <w:sz w:val="32"/>
          <w:szCs w:val="32"/>
          <w:lang w:val="zh-CN"/>
        </w:rPr>
        <w:t>。单位全年安排的因公出国（境）团组0个，因公出国（境）0人次。</w:t>
      </w:r>
    </w:p>
    <w:p>
      <w:pPr>
        <w:ind w:firstLine="640" w:firstLineChars="200"/>
        <w:jc w:val="left"/>
        <w:rPr>
          <w:rFonts w:ascii="仿宋_GB2312" w:eastAsia="仿宋_GB2312"/>
          <w:sz w:val="32"/>
          <w:szCs w:val="32"/>
        </w:rPr>
      </w:pPr>
      <w:r>
        <w:rPr>
          <w:rFonts w:hint="eastAsia" w:ascii="仿宋_GB2312" w:eastAsia="仿宋_GB2312"/>
          <w:sz w:val="32"/>
          <w:szCs w:val="32"/>
          <w:lang w:val="zh-CN"/>
        </w:rPr>
        <w:t>公务用车购置及运行维护费0.00万元，其中：公务用车购置费0.00万元，公务用车运行维护费0.00万元。公务用车运行维护费开支内容包括</w:t>
      </w:r>
      <w:r>
        <w:rPr>
          <w:rFonts w:hint="eastAsia" w:ascii="仿宋_GB2312" w:eastAsia="仿宋_GB2312"/>
          <w:sz w:val="32"/>
          <w:szCs w:val="32"/>
        </w:rPr>
        <w:t>我单位无公务用车运行维护费支出</w:t>
      </w:r>
      <w:r>
        <w:rPr>
          <w:rFonts w:hint="eastAsia" w:ascii="仿宋_GB2312" w:eastAsia="仿宋_GB2312"/>
          <w:sz w:val="32"/>
          <w:szCs w:val="32"/>
          <w:lang w:val="zh-CN"/>
        </w:rPr>
        <w:t>。公务用车购置数0辆，公务用车保有量0辆。国有资产占用情况</w:t>
      </w:r>
      <w:r>
        <w:rPr>
          <w:rFonts w:hint="eastAsia" w:ascii="仿宋_GB2312" w:eastAsia="仿宋_GB2312"/>
          <w:sz w:val="32"/>
          <w:szCs w:val="32"/>
        </w:rPr>
        <w:t>中固定资产车辆</w:t>
      </w:r>
      <w:r>
        <w:rPr>
          <w:rFonts w:hint="eastAsia" w:ascii="仿宋_GB2312" w:eastAsia="仿宋_GB2312"/>
          <w:sz w:val="32"/>
          <w:szCs w:val="32"/>
          <w:lang w:val="zh-CN"/>
        </w:rPr>
        <w:t>3辆，</w:t>
      </w:r>
      <w:r>
        <w:rPr>
          <w:rFonts w:hint="eastAsia" w:ascii="仿宋_GB2312" w:eastAsia="仿宋_GB2312"/>
          <w:sz w:val="32"/>
          <w:szCs w:val="32"/>
        </w:rPr>
        <w:t>与</w:t>
      </w:r>
      <w:r>
        <w:rPr>
          <w:rFonts w:hint="eastAsia" w:ascii="仿宋_GB2312" w:eastAsia="仿宋_GB2312"/>
          <w:sz w:val="32"/>
          <w:szCs w:val="32"/>
          <w:lang w:val="zh-CN"/>
        </w:rPr>
        <w:t>公务用车</w:t>
      </w:r>
      <w:r>
        <w:rPr>
          <w:rFonts w:hint="eastAsia" w:ascii="仿宋_GB2312" w:eastAsia="仿宋_GB2312"/>
          <w:sz w:val="32"/>
          <w:szCs w:val="32"/>
        </w:rPr>
        <w:t>保有量差异</w:t>
      </w:r>
      <w:r>
        <w:rPr>
          <w:rFonts w:hint="eastAsia" w:ascii="仿宋_GB2312" w:eastAsia="仿宋_GB2312"/>
          <w:sz w:val="32"/>
          <w:szCs w:val="32"/>
          <w:lang w:val="zh-CN"/>
        </w:rPr>
        <w:t>原因是：</w:t>
      </w:r>
      <w:r>
        <w:rPr>
          <w:rFonts w:hint="eastAsia" w:ascii="仿宋_GB2312" w:eastAsia="仿宋_GB2312"/>
          <w:sz w:val="32"/>
          <w:szCs w:val="32"/>
        </w:rPr>
        <w:t>其他用车2辆：其中公务用车一辆于2022年由机关事务管理局调整使用，但资产一直未办理调拨；其他用车一辆为生育服务车</w:t>
      </w:r>
      <w:r>
        <w:rPr>
          <w:rFonts w:hint="eastAsia" w:ascii="仿宋_GB2312" w:eastAsia="仿宋_GB2312"/>
          <w:sz w:val="32"/>
          <w:szCs w:val="32"/>
          <w:lang w:val="zh-CN"/>
        </w:rPr>
        <w:t>。</w:t>
      </w:r>
      <w:r>
        <w:rPr>
          <w:rFonts w:hint="eastAsia" w:ascii="仿宋_GB2312" w:eastAsia="仿宋_GB2312"/>
          <w:sz w:val="32"/>
          <w:szCs w:val="32"/>
        </w:rPr>
        <w:t>特种专业技术用车一辆为救护车。</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公务接待费0.00万元，开支内容包括</w:t>
      </w:r>
      <w:r>
        <w:rPr>
          <w:rFonts w:hint="eastAsia" w:ascii="仿宋_GB2312" w:eastAsia="仿宋_GB2312"/>
          <w:sz w:val="32"/>
          <w:szCs w:val="32"/>
        </w:rPr>
        <w:t>我单位无公务接待费</w:t>
      </w:r>
      <w:r>
        <w:rPr>
          <w:rFonts w:hint="eastAsia" w:ascii="仿宋_GB2312" w:eastAsia="仿宋_GB2312"/>
          <w:sz w:val="32"/>
          <w:szCs w:val="32"/>
          <w:lang w:val="zh-CN"/>
        </w:rPr>
        <w:t>。单位全年安排的国内公务接待0批次，0人次。</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与</w:t>
      </w:r>
      <w:r>
        <w:rPr>
          <w:rFonts w:hint="eastAsia" w:ascii="仿宋_GB2312" w:eastAsia="仿宋_GB2312"/>
          <w:sz w:val="32"/>
          <w:szCs w:val="32"/>
        </w:rPr>
        <w:t>全年</w:t>
      </w:r>
      <w:r>
        <w:rPr>
          <w:rFonts w:hint="eastAsia" w:ascii="仿宋_GB2312" w:eastAsia="仿宋_GB2312"/>
          <w:sz w:val="32"/>
          <w:szCs w:val="32"/>
          <w:lang w:val="zh-CN"/>
        </w:rPr>
        <w:t>预算相比</w:t>
      </w:r>
      <w:r>
        <w:rPr>
          <w:rFonts w:hint="eastAsia" w:ascii="仿宋_GB2312" w:eastAsia="仿宋_GB2312"/>
          <w:sz w:val="32"/>
          <w:szCs w:val="32"/>
        </w:rPr>
        <w:t>,</w:t>
      </w:r>
      <w:r>
        <w:rPr>
          <w:rFonts w:hint="eastAsia" w:ascii="仿宋_GB2312" w:eastAsia="仿宋_GB2312"/>
          <w:sz w:val="32"/>
          <w:szCs w:val="32"/>
          <w:lang w:val="zh-CN"/>
        </w:rPr>
        <w:t>财政拨款“三公”经费支出</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w:t>
      </w:r>
      <w:r>
        <w:rPr>
          <w:rFonts w:hint="eastAsia" w:ascii="仿宋_GB2312" w:eastAsia="仿宋_GB2312"/>
          <w:sz w:val="32"/>
          <w:szCs w:val="32"/>
        </w:rPr>
        <w:t>我单位无“三公”经费支出</w:t>
      </w:r>
      <w:r>
        <w:rPr>
          <w:rFonts w:hint="eastAsia" w:ascii="仿宋_GB2312" w:eastAsia="仿宋_GB2312"/>
          <w:sz w:val="32"/>
          <w:szCs w:val="32"/>
          <w:lang w:val="zh-CN"/>
        </w:rPr>
        <w:t>。其中：因公出国（境）费</w:t>
      </w:r>
      <w:r>
        <w:rPr>
          <w:rFonts w:hint="eastAsia" w:ascii="仿宋_GB2312" w:eastAsia="仿宋_GB2312"/>
          <w:sz w:val="32"/>
          <w:szCs w:val="32"/>
        </w:rPr>
        <w:t>全年预算数</w:t>
      </w:r>
      <w:r>
        <w:rPr>
          <w:rFonts w:hint="eastAsia" w:ascii="仿宋_GB2312" w:eastAsia="仿宋_GB2312"/>
          <w:sz w:val="32"/>
          <w:szCs w:val="32"/>
          <w:lang w:val="zh-CN"/>
        </w:rPr>
        <w:t>0.00万元，决算数0.00万元，预决算差异率0.00%，主要原因是：</w:t>
      </w:r>
      <w:r>
        <w:rPr>
          <w:rFonts w:hint="eastAsia" w:ascii="仿宋_GB2312" w:eastAsia="仿宋_GB2312"/>
          <w:sz w:val="32"/>
          <w:szCs w:val="32"/>
        </w:rPr>
        <w:t>我单位无</w:t>
      </w:r>
      <w:r>
        <w:rPr>
          <w:rFonts w:hint="eastAsia" w:ascii="仿宋_GB2312" w:eastAsia="仿宋_GB2312"/>
          <w:sz w:val="32"/>
          <w:szCs w:val="32"/>
          <w:lang w:val="zh-CN"/>
        </w:rPr>
        <w:t>因公出国（境）费；公务用车购置费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w:t>
      </w:r>
      <w:r>
        <w:rPr>
          <w:rFonts w:hint="eastAsia" w:ascii="仿宋_GB2312" w:eastAsia="仿宋_GB2312"/>
          <w:sz w:val="32"/>
          <w:szCs w:val="32"/>
        </w:rPr>
        <w:t>我单位无</w:t>
      </w:r>
      <w:r>
        <w:rPr>
          <w:rFonts w:hint="eastAsia" w:ascii="仿宋_GB2312" w:eastAsia="仿宋_GB2312"/>
          <w:sz w:val="32"/>
          <w:szCs w:val="32"/>
          <w:lang w:val="zh-CN"/>
        </w:rPr>
        <w:t>公务用车购置费；公务用车运行费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w:t>
      </w:r>
      <w:r>
        <w:rPr>
          <w:rFonts w:hint="eastAsia" w:ascii="仿宋_GB2312" w:eastAsia="仿宋_GB2312"/>
          <w:sz w:val="32"/>
          <w:szCs w:val="32"/>
        </w:rPr>
        <w:t>我单位无公务用车运行费</w:t>
      </w:r>
      <w:r>
        <w:rPr>
          <w:rFonts w:hint="eastAsia" w:ascii="仿宋_GB2312" w:eastAsia="仿宋_GB2312"/>
          <w:sz w:val="32"/>
          <w:szCs w:val="32"/>
          <w:lang w:val="zh-CN"/>
        </w:rPr>
        <w:t>；公务接待费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w:t>
      </w:r>
      <w:r>
        <w:rPr>
          <w:rFonts w:hint="eastAsia" w:ascii="仿宋_GB2312" w:eastAsia="仿宋_GB2312"/>
          <w:sz w:val="32"/>
          <w:szCs w:val="32"/>
        </w:rPr>
        <w:t>我单位无公务接待费</w:t>
      </w:r>
      <w:r>
        <w:rPr>
          <w:rFonts w:hint="eastAsia" w:ascii="仿宋_GB2312" w:eastAsia="仿宋_GB2312"/>
          <w:sz w:val="32"/>
          <w:szCs w:val="32"/>
          <w:lang w:val="zh-CN"/>
        </w:rPr>
        <w:t>。</w:t>
      </w:r>
    </w:p>
    <w:p>
      <w:pPr>
        <w:ind w:firstLine="640" w:firstLineChars="200"/>
        <w:jc w:val="left"/>
        <w:outlineLvl w:val="1"/>
        <w:rPr>
          <w:rFonts w:ascii="黑体" w:hAnsi="黑体" w:eastAsia="黑体" w:cs="宋体"/>
          <w:bCs/>
          <w:kern w:val="0"/>
          <w:sz w:val="32"/>
          <w:szCs w:val="32"/>
        </w:rPr>
      </w:pPr>
      <w:bookmarkStart w:id="18" w:name="_Toc5810"/>
      <w:bookmarkStart w:id="19" w:name="_Toc7927"/>
      <w:r>
        <w:rPr>
          <w:rFonts w:hint="eastAsia" w:ascii="黑体" w:hAnsi="黑体" w:eastAsia="黑体" w:cs="宋体"/>
          <w:bCs/>
          <w:kern w:val="0"/>
          <w:sz w:val="32"/>
          <w:szCs w:val="32"/>
        </w:rPr>
        <w:t>八、政府性基金预算财政拨款收入支出决算情况说明</w:t>
      </w:r>
      <w:bookmarkEnd w:id="18"/>
      <w:bookmarkEnd w:id="19"/>
    </w:p>
    <w:p>
      <w:pPr>
        <w:ind w:firstLine="640" w:firstLineChars="200"/>
        <w:jc w:val="left"/>
        <w:rPr>
          <w:rFonts w:ascii="仿宋_GB2312" w:eastAsia="仿宋_GB2312"/>
          <w:sz w:val="32"/>
          <w:szCs w:val="32"/>
        </w:rPr>
      </w:pPr>
      <w:r>
        <w:rPr>
          <w:rFonts w:hint="eastAsia" w:ascii="仿宋_GB2312" w:eastAsia="仿宋_GB2312"/>
          <w:sz w:val="32"/>
          <w:szCs w:val="32"/>
        </w:rPr>
        <w:t>我单位本年度无政府性基金预算财政拨款收入、支出及结转和结余，政府性基金预算财政拨款收入支出决算表为空表。</w:t>
      </w:r>
    </w:p>
    <w:p>
      <w:pPr>
        <w:ind w:firstLine="640" w:firstLineChars="200"/>
        <w:jc w:val="left"/>
        <w:outlineLvl w:val="1"/>
        <w:rPr>
          <w:rFonts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pPr>
        <w:ind w:firstLine="640" w:firstLineChars="200"/>
        <w:jc w:val="left"/>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pPr>
        <w:ind w:firstLine="640" w:firstLineChars="200"/>
        <w:jc w:val="left"/>
        <w:outlineLvl w:val="1"/>
        <w:rPr>
          <w:rFonts w:ascii="黑体" w:hAnsi="黑体" w:eastAsia="黑体" w:cs="宋体"/>
          <w:bCs/>
          <w:kern w:val="0"/>
          <w:sz w:val="32"/>
          <w:szCs w:val="32"/>
        </w:rPr>
      </w:pPr>
      <w:bookmarkStart w:id="20" w:name="_Toc1235"/>
      <w:bookmarkStart w:id="21" w:name="_Toc7314"/>
      <w:r>
        <w:rPr>
          <w:rFonts w:hint="eastAsia" w:ascii="黑体" w:hAnsi="黑体" w:eastAsia="黑体" w:cs="宋体"/>
          <w:bCs/>
          <w:kern w:val="0"/>
          <w:sz w:val="32"/>
          <w:szCs w:val="32"/>
        </w:rPr>
        <w:t>十、其他重要事项的情况说明</w:t>
      </w:r>
      <w:bookmarkEnd w:id="20"/>
      <w:bookmarkEnd w:id="21"/>
    </w:p>
    <w:p>
      <w:pPr>
        <w:ind w:firstLine="640" w:firstLineChars="200"/>
        <w:jc w:val="left"/>
        <w:outlineLvl w:val="2"/>
        <w:rPr>
          <w:rFonts w:ascii="黑体" w:hAnsi="黑体" w:eastAsia="黑体"/>
          <w:sz w:val="32"/>
          <w:szCs w:val="32"/>
        </w:rPr>
      </w:pPr>
      <w:bookmarkStart w:id="22" w:name="_Toc13105"/>
      <w:bookmarkStart w:id="23" w:name="_Toc14519"/>
      <w:r>
        <w:rPr>
          <w:rFonts w:hint="eastAsia" w:ascii="黑体" w:hAnsi="黑体" w:eastAsia="黑体"/>
          <w:sz w:val="32"/>
          <w:szCs w:val="32"/>
        </w:rPr>
        <w:t>（一）机关运行经费支出情况</w:t>
      </w:r>
      <w:bookmarkEnd w:id="22"/>
      <w:bookmarkEnd w:id="23"/>
    </w:p>
    <w:p>
      <w:pPr>
        <w:ind w:firstLine="640" w:firstLineChars="200"/>
        <w:rPr>
          <w:rFonts w:ascii="仿宋_GB2312" w:eastAsia="仿宋_GB2312"/>
          <w:sz w:val="32"/>
          <w:szCs w:val="32"/>
        </w:rPr>
      </w:pPr>
      <w:bookmarkStart w:id="24" w:name="_Toc227"/>
      <w:bookmarkStart w:id="25" w:name="_Toc26704"/>
      <w:r>
        <w:rPr>
          <w:rFonts w:hint="eastAsia" w:ascii="仿宋_GB2312" w:hAnsi="仿宋_GB2312" w:eastAsia="仿宋_GB2312" w:cs="仿宋_GB2312"/>
          <w:sz w:val="32"/>
          <w:szCs w:val="32"/>
          <w:lang w:val="zh-CN"/>
        </w:rPr>
        <w:t>2023年度</w:t>
      </w:r>
      <w:r>
        <w:rPr>
          <w:rFonts w:hint="eastAsia" w:ascii="仿宋_GB2312" w:hAnsi="仿宋_GB2312" w:eastAsia="仿宋_GB2312" w:cs="仿宋_GB2312"/>
          <w:sz w:val="32"/>
          <w:szCs w:val="32"/>
        </w:rPr>
        <w:t>沙湾市妇幼保健计划生育服务中心（事业单位）公用经费支出2.79万元，</w:t>
      </w:r>
      <w:r>
        <w:rPr>
          <w:rFonts w:hint="eastAsia" w:ascii="仿宋_GB2312" w:hAnsi="仿宋_GB2312" w:eastAsia="仿宋_GB2312" w:cs="仿宋_GB2312"/>
          <w:sz w:val="32"/>
          <w:szCs w:val="32"/>
          <w:lang w:val="zh-CN"/>
        </w:rPr>
        <w:t>比上年减少2.62万元，下降48.43%，主要原因是：</w:t>
      </w:r>
      <w:r>
        <w:rPr>
          <w:rFonts w:hint="eastAsia" w:ascii="仿宋_GB2312" w:eastAsia="仿宋_GB2312"/>
          <w:sz w:val="32"/>
          <w:szCs w:val="32"/>
        </w:rPr>
        <w:t>上年公用经费5.41万元，为取暖费支出，本年度公用经费2.79万元，为工会经费支出。因此本年度公用经费比上年度减少2.62万元，下降48.43%。</w:t>
      </w:r>
    </w:p>
    <w:p>
      <w:pPr>
        <w:ind w:firstLine="320" w:firstLineChars="100"/>
        <w:jc w:val="left"/>
        <w:rPr>
          <w:rFonts w:eastAsia="黑体"/>
          <w:sz w:val="32"/>
          <w:szCs w:val="30"/>
          <w:lang w:val="zh-CN"/>
        </w:rPr>
      </w:pPr>
      <w:r>
        <w:rPr>
          <w:rFonts w:hint="eastAsia" w:eastAsia="黑体"/>
          <w:sz w:val="32"/>
          <w:szCs w:val="30"/>
          <w:lang w:val="zh-CN"/>
        </w:rPr>
        <w:t>（二）政府采购情况</w:t>
      </w:r>
      <w:bookmarkEnd w:id="24"/>
      <w:bookmarkEnd w:id="25"/>
    </w:p>
    <w:p>
      <w:pPr>
        <w:ind w:firstLine="640" w:firstLineChars="200"/>
        <w:jc w:val="left"/>
        <w:rPr>
          <w:rFonts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2023年度政府采购支出总额292.64万元，其中：政府采购货物支出227.13万元、政府采购工程支出0.90万元、政府采购服务支出64.61万元。</w:t>
      </w:r>
    </w:p>
    <w:p>
      <w:pPr>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lang w:val="zh-CN"/>
        </w:rPr>
        <w:t>授予中小企业合同金额292.24万元，占政府采购支出总额的99.86%，其中：授予小微企业合同金额277.36万元，占政府采购支出总额的94.78%</w:t>
      </w:r>
      <w:r>
        <w:rPr>
          <w:rFonts w:hint="eastAsia" w:ascii="仿宋_GB2312" w:hAnsi="仿宋_GB2312" w:eastAsia="仿宋_GB2312" w:cs="仿宋_GB2312"/>
          <w:sz w:val="32"/>
          <w:szCs w:val="32"/>
        </w:rPr>
        <w:t>。</w:t>
      </w:r>
    </w:p>
    <w:p>
      <w:pPr>
        <w:ind w:firstLine="320" w:firstLineChars="100"/>
        <w:jc w:val="left"/>
        <w:rPr>
          <w:rFonts w:eastAsia="黑体"/>
          <w:sz w:val="32"/>
          <w:szCs w:val="30"/>
          <w:lang w:val="zh-CN"/>
        </w:rPr>
      </w:pPr>
      <w:bookmarkStart w:id="26" w:name="_Toc4591"/>
      <w:bookmarkStart w:id="27" w:name="_Toc8391"/>
      <w:r>
        <w:rPr>
          <w:rFonts w:hint="eastAsia" w:eastAsia="黑体"/>
          <w:sz w:val="32"/>
          <w:szCs w:val="30"/>
          <w:lang w:val="zh-CN"/>
        </w:rPr>
        <w:t>（三）国有资产占用情况说明</w:t>
      </w:r>
      <w:bookmarkEnd w:id="26"/>
      <w:bookmarkEnd w:id="27"/>
    </w:p>
    <w:p>
      <w:pPr>
        <w:ind w:firstLine="640" w:firstLineChars="200"/>
        <w:jc w:val="left"/>
        <w:rPr>
          <w:rFonts w:ascii="仿宋_GB2312" w:hAnsi="仿宋_GB2312" w:eastAsia="仿宋_GB2312" w:cs="仿宋_GB2312"/>
          <w:sz w:val="32"/>
          <w:szCs w:val="32"/>
          <w:lang w:val="zh-CN"/>
        </w:rPr>
      </w:pPr>
      <w:r>
        <w:rPr>
          <w:rFonts w:hint="eastAsia" w:ascii="仿宋_GB2312" w:hAnsi="仿宋_GB2312" w:eastAsia="仿宋_GB2312" w:cs="仿宋_GB2312"/>
          <w:sz w:val="32"/>
          <w:szCs w:val="32"/>
        </w:rPr>
        <w:t>截至2023</w:t>
      </w:r>
      <w:r>
        <w:rPr>
          <w:rFonts w:hint="eastAsia" w:ascii="仿宋_GB2312" w:hAnsi="仿宋_GB2312" w:eastAsia="仿宋_GB2312" w:cs="仿宋_GB2312"/>
          <w:sz w:val="32"/>
          <w:szCs w:val="32"/>
          <w:lang w:val="zh-CN"/>
        </w:rPr>
        <w:t>年</w:t>
      </w:r>
      <w:r>
        <w:rPr>
          <w:rFonts w:hint="eastAsia" w:ascii="仿宋_GB2312" w:hAnsi="仿宋_GB2312" w:eastAsia="仿宋_GB2312" w:cs="仿宋_GB2312"/>
          <w:sz w:val="32"/>
          <w:szCs w:val="32"/>
        </w:rPr>
        <w:t>12月31日</w:t>
      </w:r>
      <w:r>
        <w:rPr>
          <w:rFonts w:hint="eastAsia" w:ascii="仿宋_GB2312" w:hAnsi="仿宋_GB2312" w:eastAsia="仿宋_GB2312" w:cs="仿宋_GB2312"/>
          <w:sz w:val="32"/>
          <w:szCs w:val="32"/>
          <w:lang w:val="zh-CN"/>
        </w:rPr>
        <w:t>，</w:t>
      </w:r>
      <w:r>
        <w:rPr>
          <w:rFonts w:hint="eastAsia" w:ascii="仿宋_GB2312" w:hAnsi="仿宋_GB2312" w:eastAsia="仿宋_GB2312" w:cs="仿宋_GB2312"/>
          <w:sz w:val="32"/>
          <w:szCs w:val="32"/>
        </w:rPr>
        <w:t>固定资产原值</w:t>
      </w:r>
      <w:r>
        <w:rPr>
          <w:rFonts w:hint="eastAsia" w:ascii="仿宋_GB2312" w:hAnsi="仿宋_GB2312" w:eastAsia="仿宋_GB2312" w:cs="仿宋_GB2312"/>
          <w:sz w:val="32"/>
          <w:szCs w:val="32"/>
          <w:lang w:val="zh-CN"/>
        </w:rPr>
        <w:t>5,860.78</w:t>
      </w:r>
      <w:r>
        <w:rPr>
          <w:rFonts w:hint="eastAsia" w:ascii="仿宋_GB2312" w:hAnsi="仿宋_GB2312" w:eastAsia="仿宋_GB2312" w:cs="仿宋_GB2312"/>
          <w:sz w:val="32"/>
          <w:szCs w:val="32"/>
        </w:rPr>
        <w:t>万元，房</w:t>
      </w:r>
      <w:r>
        <w:rPr>
          <w:rFonts w:hint="eastAsia" w:ascii="仿宋_GB2312" w:hAnsi="仿宋_GB2312" w:eastAsia="仿宋_GB2312" w:cs="仿宋_GB2312"/>
          <w:sz w:val="32"/>
          <w:szCs w:val="32"/>
          <w:lang w:val="zh-CN"/>
        </w:rPr>
        <w:t>屋3,544.00平方米，价值548.04万元。车辆3辆，价值60.66万元，其中：副部（省）级及以上领导用车0辆、主要</w:t>
      </w:r>
      <w:r>
        <w:rPr>
          <w:rFonts w:hint="eastAsia" w:ascii="仿宋_GB2312" w:hAnsi="仿宋_GB2312" w:eastAsia="仿宋_GB2312" w:cs="仿宋_GB2312"/>
          <w:sz w:val="32"/>
          <w:szCs w:val="32"/>
        </w:rPr>
        <w:t>负责人</w:t>
      </w:r>
      <w:r>
        <w:rPr>
          <w:rFonts w:hint="eastAsia" w:ascii="仿宋_GB2312" w:hAnsi="仿宋_GB2312" w:eastAsia="仿宋_GB2312" w:cs="仿宋_GB2312"/>
          <w:sz w:val="32"/>
          <w:szCs w:val="32"/>
          <w:lang w:val="zh-CN"/>
        </w:rPr>
        <w:t>用车0辆、机要通信用车0辆、应急保障用车0辆、执法执勤用车0辆、特种专业技术用车1辆、离退休干部</w:t>
      </w:r>
      <w:r>
        <w:rPr>
          <w:rFonts w:hint="eastAsia" w:ascii="仿宋_GB2312" w:hAnsi="仿宋_GB2312" w:eastAsia="仿宋_GB2312" w:cs="仿宋_GB2312"/>
          <w:sz w:val="32"/>
          <w:szCs w:val="32"/>
        </w:rPr>
        <w:t>服务</w:t>
      </w:r>
      <w:r>
        <w:rPr>
          <w:rFonts w:hint="eastAsia" w:ascii="仿宋_GB2312" w:hAnsi="仿宋_GB2312" w:eastAsia="仿宋_GB2312" w:cs="仿宋_GB2312"/>
          <w:sz w:val="32"/>
          <w:szCs w:val="32"/>
          <w:lang w:val="zh-CN"/>
        </w:rPr>
        <w:t>用车0辆、其他用车2辆，其他用车主要是：</w:t>
      </w:r>
      <w:r>
        <w:rPr>
          <w:rFonts w:hint="eastAsia" w:ascii="仿宋_GB2312" w:eastAsia="仿宋_GB2312"/>
          <w:sz w:val="32"/>
          <w:szCs w:val="32"/>
        </w:rPr>
        <w:t>公务用车一辆新GM6531，该车辆于2022年由机关事务管理局调整使用，资产一直未调拨；生育服务用车一辆，新G81131</w:t>
      </w:r>
      <w:r>
        <w:rPr>
          <w:rFonts w:hint="eastAsia" w:ascii="仿宋_GB2312" w:hAnsi="仿宋_GB2312" w:eastAsia="仿宋_GB2312" w:cs="仿宋_GB2312"/>
          <w:sz w:val="32"/>
          <w:szCs w:val="32"/>
          <w:lang w:val="zh-CN"/>
        </w:rPr>
        <w:t>；单价100万元（含）以上设备（不含车辆）7</w:t>
      </w:r>
      <w:r>
        <w:rPr>
          <w:rFonts w:hint="eastAsia" w:ascii="仿宋_GB2312" w:hAnsi="仿宋_GB2312" w:eastAsia="仿宋_GB2312" w:cs="仿宋_GB2312"/>
          <w:sz w:val="32"/>
          <w:szCs w:val="32"/>
        </w:rPr>
        <w:t>台（套）</w:t>
      </w:r>
      <w:r>
        <w:rPr>
          <w:rFonts w:hint="eastAsia" w:ascii="仿宋_GB2312" w:hAnsi="仿宋_GB2312" w:eastAsia="仿宋_GB2312" w:cs="仿宋_GB2312"/>
          <w:sz w:val="32"/>
          <w:szCs w:val="32"/>
          <w:lang w:val="zh-CN"/>
        </w:rPr>
        <w:t>。</w:t>
      </w:r>
    </w:p>
    <w:p>
      <w:pPr>
        <w:ind w:firstLine="640" w:firstLineChars="200"/>
        <w:jc w:val="left"/>
        <w:outlineLvl w:val="1"/>
        <w:rPr>
          <w:rFonts w:ascii="黑体" w:hAnsi="黑体" w:eastAsia="黑体" w:cs="宋体"/>
          <w:bCs/>
          <w:kern w:val="0"/>
          <w:sz w:val="32"/>
          <w:szCs w:val="32"/>
        </w:rPr>
      </w:pPr>
      <w:bookmarkStart w:id="28" w:name="_Toc11283"/>
      <w:bookmarkStart w:id="29" w:name="_Toc435"/>
      <w:r>
        <w:rPr>
          <w:rFonts w:hint="eastAsia" w:ascii="黑体" w:hAnsi="黑体" w:eastAsia="黑体" w:cs="宋体"/>
          <w:bCs/>
          <w:kern w:val="0"/>
          <w:sz w:val="32"/>
          <w:szCs w:val="32"/>
        </w:rPr>
        <w:t>十一、预算绩效的情况说明</w:t>
      </w:r>
      <w:bookmarkEnd w:id="28"/>
      <w:bookmarkEnd w:id="29"/>
    </w:p>
    <w:p>
      <w:pPr>
        <w:ind w:firstLine="640" w:firstLineChars="200"/>
        <w:rPr>
          <w:rFonts w:ascii="仿宋_GB2312" w:eastAsia="仿宋_GB2312"/>
          <w:sz w:val="32"/>
          <w:szCs w:val="32"/>
        </w:rPr>
      </w:pPr>
      <w:r>
        <w:rPr>
          <w:rFonts w:hint="eastAsia" w:ascii="仿宋_GB2312" w:eastAsia="仿宋_GB2312"/>
          <w:sz w:val="32"/>
          <w:szCs w:val="32"/>
        </w:rPr>
        <w:t>根据预算绩效管理要求，我单位2023年度</w:t>
      </w:r>
      <w:r>
        <w:rPr>
          <w:rFonts w:hint="eastAsia" w:ascii="仿宋_GB2312" w:hAnsi="仿宋_GB2312" w:eastAsia="仿宋_GB2312" w:cs="仿宋_GB2312"/>
          <w:kern w:val="0"/>
          <w:sz w:val="32"/>
          <w:szCs w:val="32"/>
        </w:rPr>
        <w:t>预算绩效管理整体支出绩效自评表</w:t>
      </w:r>
      <w:r>
        <w:rPr>
          <w:rFonts w:hint="eastAsia" w:ascii="仿宋_GB2312" w:eastAsia="仿宋_GB2312"/>
          <w:sz w:val="32"/>
          <w:szCs w:val="32"/>
        </w:rPr>
        <w:t>1</w:t>
      </w:r>
      <w:r>
        <w:rPr>
          <w:rFonts w:hint="eastAsia" w:ascii="仿宋_GB2312" w:hAnsi="仿宋_GB2312" w:eastAsia="仿宋_GB2312" w:cs="仿宋_GB2312"/>
          <w:kern w:val="0"/>
          <w:sz w:val="32"/>
          <w:szCs w:val="32"/>
        </w:rPr>
        <w:t>个，全年</w:t>
      </w:r>
      <w:r>
        <w:rPr>
          <w:rFonts w:hint="eastAsia" w:ascii="仿宋_GB2312" w:eastAsia="仿宋_GB2312"/>
          <w:sz w:val="32"/>
          <w:szCs w:val="32"/>
        </w:rPr>
        <w:t>预算总额1787.43万元，实际执行总额1775.66万元</w:t>
      </w:r>
      <w:r>
        <w:rPr>
          <w:rFonts w:hint="eastAsia" w:ascii="仿宋_GB2312" w:hAnsi="仿宋_GB2312" w:eastAsia="仿宋_GB2312" w:cs="仿宋_GB2312"/>
          <w:kern w:val="0"/>
          <w:sz w:val="32"/>
          <w:szCs w:val="32"/>
        </w:rPr>
        <w:t>；</w:t>
      </w:r>
      <w:r>
        <w:rPr>
          <w:rFonts w:hint="eastAsia" w:ascii="仿宋_GB2312" w:eastAsia="仿宋_GB2312"/>
          <w:sz w:val="32"/>
          <w:szCs w:val="32"/>
        </w:rPr>
        <w:t>预算绩效评价项目5个，全年预算数514.53万元，全年执行数513.03万元。预算绩效管理取得的成效：一是项目绩效理念能够得到进一步强化。本院通过绩效项目工作的开展，加强了本院项目预算绩效管理，有效解决传统财政拨款资金利用率低下的问题，不断提升资金分配的科学合理性，促使本院资金利用发挥出更大的作用价值；二是项目预算管理水平能够得到进一步提升。发现的问题及原因：一是对绩效管理认识程度不够，只是盲目地把所谓的绩效管理手段运用到管理工作中去；二是简单地用一个环节点的管理代替整个过程，削弱了绩效管理应该发挥的作用。下一步改进措施：一是努力抓好绩效目标管理工作，在申报专项资金时应编制科学合理的项目绩效目标，做到绩效目标明确、细化、量化，从而有利于加强财政专项资金管理的落实和具体化；二是规范项目管理。应进一步规范项目管理，加强项目管理力度。具体项目自评情况附项目支出绩效自评表。具体项目自评情况附项目支出绩效自评表。</w:t>
      </w:r>
    </w:p>
    <w:p>
      <w:pPr>
        <w:ind w:firstLine="640" w:firstLineChars="200"/>
        <w:jc w:val="left"/>
        <w:rPr>
          <w:rFonts w:ascii="黑体" w:hAnsi="黑体" w:eastAsia="黑体" w:cs="宋体"/>
          <w:bCs/>
          <w:kern w:val="0"/>
          <w:sz w:val="32"/>
          <w:szCs w:val="32"/>
        </w:rPr>
      </w:pPr>
      <w:r>
        <w:rPr>
          <w:rFonts w:hint="eastAsia" w:ascii="黑体" w:hAnsi="黑体" w:eastAsia="黑体" w:cs="宋体"/>
          <w:bCs/>
          <w:kern w:val="0"/>
          <w:sz w:val="32"/>
          <w:szCs w:val="32"/>
        </w:rPr>
        <w:t>十二、其他需说明的事项</w:t>
      </w:r>
    </w:p>
    <w:p>
      <w:pPr>
        <w:ind w:firstLine="640" w:firstLineChars="200"/>
        <w:jc w:val="left"/>
        <w:rPr>
          <w:rFonts w:hint="eastAsia" w:ascii="仿宋_GB2312" w:hAnsi="仿宋_GB2312" w:eastAsia="仿宋_GB2312" w:cs="仿宋_GB2312"/>
          <w:kern w:val="0"/>
          <w:sz w:val="32"/>
          <w:szCs w:val="32"/>
          <w:lang w:eastAsia="zh-CN"/>
        </w:rPr>
      </w:pPr>
      <w:r>
        <w:rPr>
          <w:rFonts w:hint="eastAsia" w:ascii="仿宋_GB2312" w:hAnsi="仿宋_GB2312" w:eastAsia="仿宋_GB2312" w:cs="仿宋_GB2312"/>
          <w:kern w:val="0"/>
          <w:sz w:val="32"/>
          <w:szCs w:val="32"/>
        </w:rPr>
        <w:t>本单位无其他需说明事项</w:t>
      </w:r>
      <w:r>
        <w:rPr>
          <w:rFonts w:hint="eastAsia" w:ascii="仿宋_GB2312" w:hAnsi="仿宋_GB2312" w:eastAsia="仿宋_GB2312" w:cs="仿宋_GB2312"/>
          <w:kern w:val="0"/>
          <w:sz w:val="32"/>
          <w:szCs w:val="32"/>
          <w:lang w:eastAsia="zh-CN"/>
        </w:rPr>
        <w:t>。</w:t>
      </w:r>
      <w:bookmarkStart w:id="48" w:name="_GoBack"/>
      <w:bookmarkEnd w:id="48"/>
    </w:p>
    <w:p>
      <w:pPr>
        <w:jc w:val="center"/>
        <w:outlineLvl w:val="0"/>
        <w:rPr>
          <w:rFonts w:ascii="黑体" w:hAnsi="黑体" w:eastAsia="黑体"/>
          <w:sz w:val="32"/>
          <w:szCs w:val="32"/>
        </w:rPr>
      </w:pPr>
      <w:bookmarkStart w:id="30" w:name="_Toc24143"/>
      <w:bookmarkStart w:id="31" w:name="_Toc3250"/>
      <w:r>
        <w:rPr>
          <w:rFonts w:hint="eastAsia" w:ascii="黑体" w:hAnsi="黑体" w:eastAsia="黑体"/>
          <w:sz w:val="32"/>
          <w:szCs w:val="32"/>
        </w:rPr>
        <w:br w:type="page"/>
      </w:r>
      <w:r>
        <w:rPr>
          <w:rFonts w:hint="eastAsia" w:ascii="黑体" w:hAnsi="黑体" w:eastAsia="黑体"/>
          <w:sz w:val="32"/>
          <w:szCs w:val="32"/>
        </w:rPr>
        <w:t>第三部分 专业名词解释</w:t>
      </w:r>
      <w:bookmarkEnd w:id="30"/>
      <w:bookmarkEnd w:id="31"/>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pPr>
        <w:ind w:firstLine="640" w:firstLineChars="200"/>
        <w:jc w:val="center"/>
        <w:outlineLvl w:val="0"/>
        <w:rPr>
          <w:rFonts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pPr>
        <w:ind w:firstLine="640" w:firstLineChars="200"/>
        <w:outlineLvl w:val="1"/>
        <w:rPr>
          <w:rFonts w:ascii="黑体" w:hAnsi="黑体" w:eastAsia="仿宋_GB2312" w:cs="宋体"/>
          <w:bCs/>
          <w:kern w:val="0"/>
          <w:sz w:val="32"/>
          <w:szCs w:val="32"/>
        </w:rPr>
      </w:pPr>
      <w:bookmarkStart w:id="32" w:name="_Toc2183"/>
      <w:bookmarkStart w:id="33" w:name="_Toc6062"/>
      <w:r>
        <w:rPr>
          <w:rFonts w:hint="eastAsia" w:ascii="黑体" w:hAnsi="黑体" w:eastAsia="仿宋_GB2312" w:cs="宋体"/>
          <w:bCs/>
          <w:kern w:val="0"/>
          <w:sz w:val="32"/>
          <w:szCs w:val="32"/>
        </w:rPr>
        <w:t>一、《收入支出决算总表》</w:t>
      </w:r>
      <w:bookmarkEnd w:id="32"/>
      <w:bookmarkEnd w:id="33"/>
    </w:p>
    <w:p>
      <w:pPr>
        <w:ind w:firstLine="640" w:firstLineChars="200"/>
        <w:outlineLvl w:val="1"/>
        <w:rPr>
          <w:rFonts w:ascii="黑体" w:hAnsi="黑体" w:eastAsia="仿宋_GB2312" w:cs="宋体"/>
          <w:bCs/>
          <w:kern w:val="0"/>
          <w:sz w:val="32"/>
          <w:szCs w:val="32"/>
        </w:rPr>
      </w:pPr>
      <w:bookmarkStart w:id="34" w:name="_Toc24532"/>
      <w:bookmarkStart w:id="35" w:name="_Toc30364"/>
      <w:r>
        <w:rPr>
          <w:rFonts w:hint="eastAsia" w:ascii="黑体" w:hAnsi="黑体" w:eastAsia="仿宋_GB2312" w:cs="宋体"/>
          <w:bCs/>
          <w:kern w:val="0"/>
          <w:sz w:val="32"/>
          <w:szCs w:val="32"/>
        </w:rPr>
        <w:t>二、《收入决算表》</w:t>
      </w:r>
      <w:bookmarkEnd w:id="34"/>
      <w:bookmarkEnd w:id="35"/>
    </w:p>
    <w:p>
      <w:pPr>
        <w:ind w:firstLine="640" w:firstLineChars="200"/>
        <w:outlineLvl w:val="1"/>
        <w:rPr>
          <w:rFonts w:ascii="黑体" w:hAnsi="黑体" w:eastAsia="仿宋_GB2312" w:cs="宋体"/>
          <w:bCs/>
          <w:kern w:val="0"/>
          <w:sz w:val="32"/>
          <w:szCs w:val="32"/>
        </w:rPr>
      </w:pPr>
      <w:bookmarkStart w:id="36" w:name="_Toc21304"/>
      <w:bookmarkStart w:id="37" w:name="_Toc32434"/>
      <w:r>
        <w:rPr>
          <w:rFonts w:hint="eastAsia" w:ascii="黑体" w:hAnsi="黑体" w:eastAsia="仿宋_GB2312" w:cs="宋体"/>
          <w:bCs/>
          <w:kern w:val="0"/>
          <w:sz w:val="32"/>
          <w:szCs w:val="32"/>
        </w:rPr>
        <w:t>三、《支出决算表》</w:t>
      </w:r>
      <w:bookmarkEnd w:id="36"/>
      <w:bookmarkEnd w:id="37"/>
    </w:p>
    <w:p>
      <w:pPr>
        <w:ind w:firstLine="640" w:firstLineChars="200"/>
        <w:outlineLvl w:val="1"/>
        <w:rPr>
          <w:rFonts w:ascii="黑体" w:hAnsi="黑体" w:eastAsia="仿宋_GB2312" w:cs="宋体"/>
          <w:bCs/>
          <w:kern w:val="0"/>
          <w:sz w:val="32"/>
          <w:szCs w:val="32"/>
        </w:rPr>
      </w:pPr>
      <w:bookmarkStart w:id="38" w:name="_Toc28786"/>
      <w:bookmarkStart w:id="39" w:name="_Toc14238"/>
      <w:r>
        <w:rPr>
          <w:rFonts w:hint="eastAsia" w:ascii="黑体" w:hAnsi="黑体" w:eastAsia="仿宋_GB2312" w:cs="宋体"/>
          <w:bCs/>
          <w:kern w:val="0"/>
          <w:sz w:val="32"/>
          <w:szCs w:val="32"/>
        </w:rPr>
        <w:t>四、《财政拨款收入支出决算总表》</w:t>
      </w:r>
      <w:bookmarkEnd w:id="38"/>
      <w:bookmarkEnd w:id="39"/>
    </w:p>
    <w:p>
      <w:pPr>
        <w:ind w:firstLine="640" w:firstLineChars="200"/>
        <w:outlineLvl w:val="1"/>
        <w:rPr>
          <w:rFonts w:ascii="黑体" w:hAnsi="黑体" w:eastAsia="仿宋_GB2312" w:cs="宋体"/>
          <w:bCs/>
          <w:kern w:val="0"/>
          <w:sz w:val="32"/>
          <w:szCs w:val="32"/>
        </w:rPr>
      </w:pPr>
      <w:bookmarkStart w:id="40" w:name="_Toc14869"/>
      <w:bookmarkStart w:id="41" w:name="_Toc10347"/>
      <w:r>
        <w:rPr>
          <w:rFonts w:hint="eastAsia" w:ascii="黑体" w:hAnsi="黑体" w:eastAsia="仿宋_GB2312" w:cs="宋体"/>
          <w:bCs/>
          <w:kern w:val="0"/>
          <w:sz w:val="32"/>
          <w:szCs w:val="32"/>
        </w:rPr>
        <w:t>五、《一般公共预算财政拨款支出决算表》</w:t>
      </w:r>
      <w:bookmarkEnd w:id="40"/>
      <w:bookmarkEnd w:id="41"/>
    </w:p>
    <w:p>
      <w:pPr>
        <w:ind w:firstLine="640" w:firstLineChars="200"/>
        <w:outlineLvl w:val="1"/>
        <w:rPr>
          <w:rFonts w:ascii="黑体" w:hAnsi="黑体" w:eastAsia="仿宋_GB2312" w:cs="宋体"/>
          <w:bCs/>
          <w:kern w:val="0"/>
          <w:sz w:val="32"/>
          <w:szCs w:val="32"/>
        </w:rPr>
      </w:pPr>
      <w:bookmarkStart w:id="42" w:name="_Toc5626"/>
      <w:bookmarkStart w:id="43" w:name="_Toc8884"/>
      <w:r>
        <w:rPr>
          <w:rFonts w:hint="eastAsia" w:ascii="黑体" w:hAnsi="黑体" w:eastAsia="仿宋_GB2312" w:cs="宋体"/>
          <w:bCs/>
          <w:kern w:val="0"/>
          <w:sz w:val="32"/>
          <w:szCs w:val="32"/>
        </w:rPr>
        <w:t>六、《一般公共预算财政拨款基本支出决算表》</w:t>
      </w:r>
      <w:bookmarkEnd w:id="42"/>
      <w:bookmarkEnd w:id="43"/>
    </w:p>
    <w:p>
      <w:pPr>
        <w:ind w:firstLine="640" w:firstLineChars="200"/>
        <w:outlineLvl w:val="1"/>
        <w:rPr>
          <w:rFonts w:ascii="黑体" w:hAnsi="黑体" w:eastAsia="仿宋_GB2312" w:cs="宋体"/>
          <w:bCs/>
          <w:kern w:val="0"/>
          <w:sz w:val="32"/>
          <w:szCs w:val="32"/>
        </w:rPr>
      </w:pPr>
      <w:r>
        <w:rPr>
          <w:rFonts w:hint="eastAsia" w:ascii="黑体" w:hAnsi="黑体" w:eastAsia="仿宋_GB2312" w:cs="宋体"/>
          <w:bCs/>
          <w:kern w:val="0"/>
          <w:sz w:val="32"/>
          <w:szCs w:val="32"/>
        </w:rPr>
        <w:t>七、</w:t>
      </w:r>
      <w:bookmarkStart w:id="44" w:name="_Toc29106"/>
      <w:bookmarkStart w:id="45" w:name="_Toc32663"/>
      <w:r>
        <w:rPr>
          <w:rFonts w:hint="eastAsia" w:ascii="黑体" w:hAnsi="黑体" w:eastAsia="仿宋_GB2312" w:cs="宋体"/>
          <w:bCs/>
          <w:kern w:val="0"/>
          <w:sz w:val="32"/>
          <w:szCs w:val="32"/>
        </w:rPr>
        <w:t>《财政拨款“三公”经费支出决算表》</w:t>
      </w:r>
      <w:bookmarkEnd w:id="44"/>
      <w:bookmarkEnd w:id="45"/>
    </w:p>
    <w:p>
      <w:pPr>
        <w:ind w:firstLine="640" w:firstLineChars="200"/>
        <w:outlineLvl w:val="1"/>
        <w:rPr>
          <w:rFonts w:ascii="黑体" w:hAnsi="黑体" w:eastAsia="仿宋_GB2312" w:cs="宋体"/>
          <w:bCs/>
          <w:kern w:val="0"/>
          <w:sz w:val="32"/>
          <w:szCs w:val="32"/>
        </w:rPr>
      </w:pPr>
      <w:bookmarkStart w:id="46" w:name="_Toc5453"/>
      <w:bookmarkStart w:id="47" w:name="_Toc7643"/>
      <w:r>
        <w:rPr>
          <w:rFonts w:hint="eastAsia" w:ascii="黑体" w:hAnsi="黑体" w:eastAsia="仿宋_GB2312" w:cs="宋体"/>
          <w:bCs/>
          <w:kern w:val="0"/>
          <w:sz w:val="32"/>
          <w:szCs w:val="32"/>
        </w:rPr>
        <w:t>八、《政府性基金预算财政拨款收入支出决算表》</w:t>
      </w:r>
      <w:bookmarkEnd w:id="46"/>
      <w:bookmarkEnd w:id="47"/>
    </w:p>
    <w:p>
      <w:pPr>
        <w:ind w:firstLine="640" w:firstLineChars="200"/>
        <w:outlineLvl w:val="1"/>
        <w:rPr>
          <w:rFonts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pPr>
        <w:ind w:firstLine="640" w:firstLineChars="200"/>
        <w:rPr>
          <w:rFonts w:ascii="仿宋_GB2312" w:eastAsia="仿宋_GB2312"/>
          <w:sz w:val="32"/>
          <w:szCs w:val="32"/>
        </w:rPr>
      </w:pPr>
    </w:p>
    <w:p>
      <w:pPr>
        <w:ind w:firstLine="640" w:firstLineChars="200"/>
        <w:outlineLvl w:val="1"/>
        <w:rPr>
          <w:rFonts w:ascii="黑体" w:hAnsi="黑体" w:eastAsia="黑体" w:cs="宋体"/>
          <w:bCs/>
          <w:kern w:val="0"/>
          <w:sz w:val="32"/>
          <w:szCs w:val="32"/>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pPr>
                  <w:pStyle w:val="4"/>
                </w:pPr>
                <w:r>
                  <w:rPr>
                    <w:rFonts w:hint="eastAsia"/>
                  </w:rPr>
                  <w:fldChar w:fldCharType="begin"/>
                </w:r>
                <w:r>
                  <w:rPr>
                    <w:rFonts w:hint="eastAsia"/>
                  </w:rPr>
                  <w:instrText xml:space="preserve"> PAGE  \* MERGEFORMAT </w:instrText>
                </w:r>
                <w:r>
                  <w:rPr>
                    <w:rFonts w:hint="eastAsia"/>
                  </w:rPr>
                  <w:fldChar w:fldCharType="separate"/>
                </w:r>
                <w:r>
                  <w:t>8</w:t>
                </w:r>
                <w:r>
                  <w:rPr>
                    <w:rFonts w:hint="eastAsia"/>
                  </w:rP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documentProtection w:enforcement="0"/>
  <w:defaultTabStop w:val="420"/>
  <w:drawingGridVerticalSpacing w:val="156"/>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Mjg3Nzg3NmU3NGUyZTA1ZDZlNDM0ZjAzMTZhMzZiMmIifQ=="/>
    <w:docVar w:name="KSO_WPS_MARK_KEY" w:val="41ee2a61-2d54-4f93-83be-afdb9a40d732"/>
  </w:docVars>
  <w:rsids>
    <w:rsidRoot w:val="00894545"/>
    <w:rsid w:val="00002D43"/>
    <w:rsid w:val="0004720F"/>
    <w:rsid w:val="00213C59"/>
    <w:rsid w:val="002B559A"/>
    <w:rsid w:val="003210CE"/>
    <w:rsid w:val="00372A7E"/>
    <w:rsid w:val="0042243F"/>
    <w:rsid w:val="004605D2"/>
    <w:rsid w:val="00640C31"/>
    <w:rsid w:val="00650C09"/>
    <w:rsid w:val="00652273"/>
    <w:rsid w:val="00846F44"/>
    <w:rsid w:val="00894545"/>
    <w:rsid w:val="008E128F"/>
    <w:rsid w:val="008F7D80"/>
    <w:rsid w:val="0091600C"/>
    <w:rsid w:val="00A33952"/>
    <w:rsid w:val="00B70D59"/>
    <w:rsid w:val="00BD3ADA"/>
    <w:rsid w:val="00C00D05"/>
    <w:rsid w:val="00CB5C8B"/>
    <w:rsid w:val="00D63A06"/>
    <w:rsid w:val="00DA1FB6"/>
    <w:rsid w:val="00E7580E"/>
    <w:rsid w:val="00F231EA"/>
    <w:rsid w:val="00F52A8D"/>
    <w:rsid w:val="019404F8"/>
    <w:rsid w:val="01C30B6B"/>
    <w:rsid w:val="01ED22F2"/>
    <w:rsid w:val="02BD3108"/>
    <w:rsid w:val="02F73D26"/>
    <w:rsid w:val="034D4FEF"/>
    <w:rsid w:val="035D1785"/>
    <w:rsid w:val="039F47CE"/>
    <w:rsid w:val="03BD5310"/>
    <w:rsid w:val="03D20604"/>
    <w:rsid w:val="03E05CE8"/>
    <w:rsid w:val="03F973EE"/>
    <w:rsid w:val="043E5B56"/>
    <w:rsid w:val="04C04386"/>
    <w:rsid w:val="04D07C7E"/>
    <w:rsid w:val="04D1723A"/>
    <w:rsid w:val="04D1736D"/>
    <w:rsid w:val="04D96608"/>
    <w:rsid w:val="04F210E4"/>
    <w:rsid w:val="04FA68C4"/>
    <w:rsid w:val="053F5AE6"/>
    <w:rsid w:val="057C0B0F"/>
    <w:rsid w:val="05EF4B48"/>
    <w:rsid w:val="05F76ECA"/>
    <w:rsid w:val="06183A24"/>
    <w:rsid w:val="06792773"/>
    <w:rsid w:val="06FD75CA"/>
    <w:rsid w:val="07093795"/>
    <w:rsid w:val="07804730"/>
    <w:rsid w:val="079052BE"/>
    <w:rsid w:val="08145C21"/>
    <w:rsid w:val="08321223"/>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172DAA"/>
    <w:rsid w:val="0D4903E8"/>
    <w:rsid w:val="0D7A4A46"/>
    <w:rsid w:val="0D7C314C"/>
    <w:rsid w:val="0E640559"/>
    <w:rsid w:val="0E864F34"/>
    <w:rsid w:val="0F1113DA"/>
    <w:rsid w:val="0F78534A"/>
    <w:rsid w:val="0F89358A"/>
    <w:rsid w:val="0F8C6D51"/>
    <w:rsid w:val="105B0B5E"/>
    <w:rsid w:val="10A032FB"/>
    <w:rsid w:val="112E58D0"/>
    <w:rsid w:val="116A5C35"/>
    <w:rsid w:val="11731CAC"/>
    <w:rsid w:val="119500A0"/>
    <w:rsid w:val="11C0733B"/>
    <w:rsid w:val="11D50D17"/>
    <w:rsid w:val="120E0809"/>
    <w:rsid w:val="127F665A"/>
    <w:rsid w:val="12C15B53"/>
    <w:rsid w:val="12F7068C"/>
    <w:rsid w:val="14207DC0"/>
    <w:rsid w:val="142B7E33"/>
    <w:rsid w:val="14B932DA"/>
    <w:rsid w:val="150A66AF"/>
    <w:rsid w:val="154C1139"/>
    <w:rsid w:val="158C5B77"/>
    <w:rsid w:val="160D1149"/>
    <w:rsid w:val="163563C0"/>
    <w:rsid w:val="164315EF"/>
    <w:rsid w:val="16557DFE"/>
    <w:rsid w:val="167268FB"/>
    <w:rsid w:val="16770D0A"/>
    <w:rsid w:val="169A0039"/>
    <w:rsid w:val="16D50C50"/>
    <w:rsid w:val="16E120E1"/>
    <w:rsid w:val="17385A05"/>
    <w:rsid w:val="173B3901"/>
    <w:rsid w:val="176747F9"/>
    <w:rsid w:val="17954A6E"/>
    <w:rsid w:val="17BE2C86"/>
    <w:rsid w:val="180059E9"/>
    <w:rsid w:val="184510FD"/>
    <w:rsid w:val="186016B7"/>
    <w:rsid w:val="190648B0"/>
    <w:rsid w:val="19071D6C"/>
    <w:rsid w:val="191E1F5F"/>
    <w:rsid w:val="19D26CD4"/>
    <w:rsid w:val="19E60D19"/>
    <w:rsid w:val="1A3E3450"/>
    <w:rsid w:val="1AD807E5"/>
    <w:rsid w:val="1B39345B"/>
    <w:rsid w:val="1B486B68"/>
    <w:rsid w:val="1BB424FF"/>
    <w:rsid w:val="1BFB2A1F"/>
    <w:rsid w:val="1C015D4A"/>
    <w:rsid w:val="1C290ED5"/>
    <w:rsid w:val="1C317E4F"/>
    <w:rsid w:val="1C472464"/>
    <w:rsid w:val="1CF96EED"/>
    <w:rsid w:val="1D22799A"/>
    <w:rsid w:val="1D5C1A72"/>
    <w:rsid w:val="1DAF458D"/>
    <w:rsid w:val="1E086ACE"/>
    <w:rsid w:val="1E62130A"/>
    <w:rsid w:val="1E97358B"/>
    <w:rsid w:val="1EAA4A5F"/>
    <w:rsid w:val="1EE869A7"/>
    <w:rsid w:val="1F3F37CF"/>
    <w:rsid w:val="1FA15E62"/>
    <w:rsid w:val="1FDC4DA1"/>
    <w:rsid w:val="1FED69B6"/>
    <w:rsid w:val="2064678E"/>
    <w:rsid w:val="20DC1AB9"/>
    <w:rsid w:val="20DD6197"/>
    <w:rsid w:val="20E05897"/>
    <w:rsid w:val="212631E0"/>
    <w:rsid w:val="2138666F"/>
    <w:rsid w:val="21742080"/>
    <w:rsid w:val="21A53757"/>
    <w:rsid w:val="21F879E1"/>
    <w:rsid w:val="221236C6"/>
    <w:rsid w:val="22175075"/>
    <w:rsid w:val="22D7662C"/>
    <w:rsid w:val="23326B7F"/>
    <w:rsid w:val="2380045B"/>
    <w:rsid w:val="23BC04D2"/>
    <w:rsid w:val="23EF1892"/>
    <w:rsid w:val="2483647E"/>
    <w:rsid w:val="24A32D55"/>
    <w:rsid w:val="24CE6D9A"/>
    <w:rsid w:val="24E567F1"/>
    <w:rsid w:val="24FB6418"/>
    <w:rsid w:val="25292727"/>
    <w:rsid w:val="252E5CA9"/>
    <w:rsid w:val="256F7692"/>
    <w:rsid w:val="25BA2154"/>
    <w:rsid w:val="25C8773F"/>
    <w:rsid w:val="26235823"/>
    <w:rsid w:val="264A7253"/>
    <w:rsid w:val="26F0170C"/>
    <w:rsid w:val="26FE3B9A"/>
    <w:rsid w:val="27201D62"/>
    <w:rsid w:val="27286E73"/>
    <w:rsid w:val="27CF2642"/>
    <w:rsid w:val="27E777F5"/>
    <w:rsid w:val="27EA1D4C"/>
    <w:rsid w:val="27EA2E41"/>
    <w:rsid w:val="282459E2"/>
    <w:rsid w:val="283A7FE5"/>
    <w:rsid w:val="28445F24"/>
    <w:rsid w:val="285F51FF"/>
    <w:rsid w:val="28DA4193"/>
    <w:rsid w:val="28DF2665"/>
    <w:rsid w:val="29072599"/>
    <w:rsid w:val="291029F3"/>
    <w:rsid w:val="29CB58F0"/>
    <w:rsid w:val="2A053397"/>
    <w:rsid w:val="2A076BD1"/>
    <w:rsid w:val="2A145E96"/>
    <w:rsid w:val="2A2131BB"/>
    <w:rsid w:val="2A790FA3"/>
    <w:rsid w:val="2AF5378F"/>
    <w:rsid w:val="2BB94DBF"/>
    <w:rsid w:val="2BF37410"/>
    <w:rsid w:val="2C6F314E"/>
    <w:rsid w:val="2CC206BE"/>
    <w:rsid w:val="2D1136DF"/>
    <w:rsid w:val="2D20606D"/>
    <w:rsid w:val="2D6729FE"/>
    <w:rsid w:val="2DB87198"/>
    <w:rsid w:val="2DB93C54"/>
    <w:rsid w:val="2E3D144C"/>
    <w:rsid w:val="2E891204"/>
    <w:rsid w:val="2F322EC8"/>
    <w:rsid w:val="2F3F0A28"/>
    <w:rsid w:val="2FBF7029"/>
    <w:rsid w:val="2FD0187F"/>
    <w:rsid w:val="2FD27414"/>
    <w:rsid w:val="2FFE4BB0"/>
    <w:rsid w:val="300E7B60"/>
    <w:rsid w:val="300F6E18"/>
    <w:rsid w:val="30862F5F"/>
    <w:rsid w:val="30A4775A"/>
    <w:rsid w:val="314029C9"/>
    <w:rsid w:val="31C63837"/>
    <w:rsid w:val="31C82E39"/>
    <w:rsid w:val="32601BAD"/>
    <w:rsid w:val="329F6389"/>
    <w:rsid w:val="3389023A"/>
    <w:rsid w:val="33CB74FA"/>
    <w:rsid w:val="343642F2"/>
    <w:rsid w:val="343F3010"/>
    <w:rsid w:val="345D0A00"/>
    <w:rsid w:val="34713BFD"/>
    <w:rsid w:val="34C13589"/>
    <w:rsid w:val="3508484A"/>
    <w:rsid w:val="352013E9"/>
    <w:rsid w:val="353369E3"/>
    <w:rsid w:val="35B21E0B"/>
    <w:rsid w:val="35E00D72"/>
    <w:rsid w:val="35EF0C06"/>
    <w:rsid w:val="35EF46FC"/>
    <w:rsid w:val="3616101C"/>
    <w:rsid w:val="36965B9D"/>
    <w:rsid w:val="36C549FD"/>
    <w:rsid w:val="37A755DD"/>
    <w:rsid w:val="37F33BFE"/>
    <w:rsid w:val="37F94FA0"/>
    <w:rsid w:val="380D3381"/>
    <w:rsid w:val="38115B1F"/>
    <w:rsid w:val="385E3AC3"/>
    <w:rsid w:val="387D6B9E"/>
    <w:rsid w:val="38B75FF0"/>
    <w:rsid w:val="38D45016"/>
    <w:rsid w:val="38D90432"/>
    <w:rsid w:val="3914510A"/>
    <w:rsid w:val="3926770B"/>
    <w:rsid w:val="3982065B"/>
    <w:rsid w:val="398D3668"/>
    <w:rsid w:val="39DA0497"/>
    <w:rsid w:val="3A893816"/>
    <w:rsid w:val="3A893B6D"/>
    <w:rsid w:val="3AD1763A"/>
    <w:rsid w:val="3B196883"/>
    <w:rsid w:val="3B6716E3"/>
    <w:rsid w:val="3B6C6B2D"/>
    <w:rsid w:val="3BB91B6B"/>
    <w:rsid w:val="3C242659"/>
    <w:rsid w:val="3C96719C"/>
    <w:rsid w:val="3CA72BE8"/>
    <w:rsid w:val="3CDC1E1E"/>
    <w:rsid w:val="3CF37F8C"/>
    <w:rsid w:val="3D137554"/>
    <w:rsid w:val="3D5275AC"/>
    <w:rsid w:val="3DCC2473"/>
    <w:rsid w:val="3DEB0883"/>
    <w:rsid w:val="3E2527BF"/>
    <w:rsid w:val="3E2752D9"/>
    <w:rsid w:val="3E70484C"/>
    <w:rsid w:val="3E731662"/>
    <w:rsid w:val="3E8168DD"/>
    <w:rsid w:val="3EA7725F"/>
    <w:rsid w:val="3EB03713"/>
    <w:rsid w:val="3EBD69BC"/>
    <w:rsid w:val="3EBF1A11"/>
    <w:rsid w:val="3EC52607"/>
    <w:rsid w:val="3EEC6CEF"/>
    <w:rsid w:val="3F183429"/>
    <w:rsid w:val="3F6953A0"/>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2C10D7B"/>
    <w:rsid w:val="434E6957"/>
    <w:rsid w:val="43BA0E31"/>
    <w:rsid w:val="43C15147"/>
    <w:rsid w:val="43E14DD2"/>
    <w:rsid w:val="43F800E9"/>
    <w:rsid w:val="443A7E4B"/>
    <w:rsid w:val="444A7D08"/>
    <w:rsid w:val="452F5B3A"/>
    <w:rsid w:val="454E7FD2"/>
    <w:rsid w:val="46061BDC"/>
    <w:rsid w:val="461404F8"/>
    <w:rsid w:val="46413018"/>
    <w:rsid w:val="464B7E04"/>
    <w:rsid w:val="468041AA"/>
    <w:rsid w:val="468123C6"/>
    <w:rsid w:val="46901EEE"/>
    <w:rsid w:val="469C74D2"/>
    <w:rsid w:val="47445515"/>
    <w:rsid w:val="474B4782"/>
    <w:rsid w:val="47D90D14"/>
    <w:rsid w:val="47DE1152"/>
    <w:rsid w:val="48387FB0"/>
    <w:rsid w:val="483A6114"/>
    <w:rsid w:val="484547D9"/>
    <w:rsid w:val="485E07D6"/>
    <w:rsid w:val="488727DB"/>
    <w:rsid w:val="48B82268"/>
    <w:rsid w:val="48C354B3"/>
    <w:rsid w:val="493D58B5"/>
    <w:rsid w:val="494A7A04"/>
    <w:rsid w:val="49605EF7"/>
    <w:rsid w:val="4A0A26D2"/>
    <w:rsid w:val="4A2019A5"/>
    <w:rsid w:val="4A241A0B"/>
    <w:rsid w:val="4A5C2BD7"/>
    <w:rsid w:val="4A7B2875"/>
    <w:rsid w:val="4A934476"/>
    <w:rsid w:val="4AAA220A"/>
    <w:rsid w:val="4AE12E67"/>
    <w:rsid w:val="4AF47331"/>
    <w:rsid w:val="4B4C0111"/>
    <w:rsid w:val="4B8553A9"/>
    <w:rsid w:val="4BDB3730"/>
    <w:rsid w:val="4C200F7A"/>
    <w:rsid w:val="4C904174"/>
    <w:rsid w:val="4CA94FE8"/>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3C450E"/>
    <w:rsid w:val="518D0ED5"/>
    <w:rsid w:val="525C687F"/>
    <w:rsid w:val="52A3740A"/>
    <w:rsid w:val="52F05B92"/>
    <w:rsid w:val="52F647F7"/>
    <w:rsid w:val="52F92565"/>
    <w:rsid w:val="53AE735E"/>
    <w:rsid w:val="53D03877"/>
    <w:rsid w:val="542F73CA"/>
    <w:rsid w:val="5430786D"/>
    <w:rsid w:val="545A1D2A"/>
    <w:rsid w:val="548F600D"/>
    <w:rsid w:val="54C811C0"/>
    <w:rsid w:val="556A442D"/>
    <w:rsid w:val="55DA564E"/>
    <w:rsid w:val="55E816A3"/>
    <w:rsid w:val="5604127D"/>
    <w:rsid w:val="56044E6C"/>
    <w:rsid w:val="56166703"/>
    <w:rsid w:val="56510474"/>
    <w:rsid w:val="56861525"/>
    <w:rsid w:val="56A93273"/>
    <w:rsid w:val="56BD550C"/>
    <w:rsid w:val="56E07045"/>
    <w:rsid w:val="56FF28AF"/>
    <w:rsid w:val="57540E7D"/>
    <w:rsid w:val="577B4878"/>
    <w:rsid w:val="57926973"/>
    <w:rsid w:val="57D1482F"/>
    <w:rsid w:val="58175352"/>
    <w:rsid w:val="581F2200"/>
    <w:rsid w:val="583059FA"/>
    <w:rsid w:val="58417EEA"/>
    <w:rsid w:val="584A0929"/>
    <w:rsid w:val="58CD2491"/>
    <w:rsid w:val="591B41B2"/>
    <w:rsid w:val="59254A26"/>
    <w:rsid w:val="59326325"/>
    <w:rsid w:val="595C505B"/>
    <w:rsid w:val="595E55C3"/>
    <w:rsid w:val="596E7E20"/>
    <w:rsid w:val="599B5209"/>
    <w:rsid w:val="5A5D23AA"/>
    <w:rsid w:val="5A60780B"/>
    <w:rsid w:val="5AB34579"/>
    <w:rsid w:val="5AB40E78"/>
    <w:rsid w:val="5AF80B40"/>
    <w:rsid w:val="5AFC6609"/>
    <w:rsid w:val="5B113480"/>
    <w:rsid w:val="5BD456CE"/>
    <w:rsid w:val="5C0D1F49"/>
    <w:rsid w:val="5CBB0CE2"/>
    <w:rsid w:val="5CC17177"/>
    <w:rsid w:val="5CF306BC"/>
    <w:rsid w:val="5D3F3D64"/>
    <w:rsid w:val="5D833043"/>
    <w:rsid w:val="5DD92690"/>
    <w:rsid w:val="5DDB1CFD"/>
    <w:rsid w:val="5DDD46F4"/>
    <w:rsid w:val="5E7E6D93"/>
    <w:rsid w:val="5E82459B"/>
    <w:rsid w:val="5ED44800"/>
    <w:rsid w:val="5F350BDE"/>
    <w:rsid w:val="5F61632C"/>
    <w:rsid w:val="5FA17648"/>
    <w:rsid w:val="5FE705CB"/>
    <w:rsid w:val="6007714E"/>
    <w:rsid w:val="603D5080"/>
    <w:rsid w:val="606842D0"/>
    <w:rsid w:val="60687FA3"/>
    <w:rsid w:val="60D0261B"/>
    <w:rsid w:val="618E3791"/>
    <w:rsid w:val="61947DCA"/>
    <w:rsid w:val="61A46A97"/>
    <w:rsid w:val="61D1382F"/>
    <w:rsid w:val="61F114A2"/>
    <w:rsid w:val="622B0ABA"/>
    <w:rsid w:val="62512BB4"/>
    <w:rsid w:val="625D7D1A"/>
    <w:rsid w:val="62660469"/>
    <w:rsid w:val="62DD7D21"/>
    <w:rsid w:val="637D586B"/>
    <w:rsid w:val="63955A08"/>
    <w:rsid w:val="63A5560B"/>
    <w:rsid w:val="63E9091F"/>
    <w:rsid w:val="64322AF9"/>
    <w:rsid w:val="64D6010D"/>
    <w:rsid w:val="64D82665"/>
    <w:rsid w:val="64E47C96"/>
    <w:rsid w:val="64ED21C2"/>
    <w:rsid w:val="64F0599E"/>
    <w:rsid w:val="64FC1925"/>
    <w:rsid w:val="651E5741"/>
    <w:rsid w:val="655D7702"/>
    <w:rsid w:val="658A4877"/>
    <w:rsid w:val="65A00902"/>
    <w:rsid w:val="65AC6EDD"/>
    <w:rsid w:val="65D97752"/>
    <w:rsid w:val="66085536"/>
    <w:rsid w:val="66105BF7"/>
    <w:rsid w:val="66150023"/>
    <w:rsid w:val="6628010D"/>
    <w:rsid w:val="6699345B"/>
    <w:rsid w:val="669B4528"/>
    <w:rsid w:val="66CC12D7"/>
    <w:rsid w:val="67134CEF"/>
    <w:rsid w:val="671F1ABD"/>
    <w:rsid w:val="67521A59"/>
    <w:rsid w:val="67C20047"/>
    <w:rsid w:val="67C304AB"/>
    <w:rsid w:val="67FA1EA7"/>
    <w:rsid w:val="683F0658"/>
    <w:rsid w:val="689C6793"/>
    <w:rsid w:val="68DB0208"/>
    <w:rsid w:val="68FB170C"/>
    <w:rsid w:val="691B3D98"/>
    <w:rsid w:val="693748F0"/>
    <w:rsid w:val="69846A0E"/>
    <w:rsid w:val="69AA1366"/>
    <w:rsid w:val="69AD798C"/>
    <w:rsid w:val="69D005C0"/>
    <w:rsid w:val="69D80B96"/>
    <w:rsid w:val="69F47AD7"/>
    <w:rsid w:val="6A2C39D4"/>
    <w:rsid w:val="6B68175F"/>
    <w:rsid w:val="6BFD799F"/>
    <w:rsid w:val="6C4A2E5A"/>
    <w:rsid w:val="6C8138D0"/>
    <w:rsid w:val="6CEF0725"/>
    <w:rsid w:val="6D4B2604"/>
    <w:rsid w:val="6D6548C5"/>
    <w:rsid w:val="6D77358F"/>
    <w:rsid w:val="6D8030E4"/>
    <w:rsid w:val="6E0E35C4"/>
    <w:rsid w:val="6E0F7A08"/>
    <w:rsid w:val="6E3947F5"/>
    <w:rsid w:val="6E6733A0"/>
    <w:rsid w:val="6E6E3938"/>
    <w:rsid w:val="6E9C74ED"/>
    <w:rsid w:val="6EF72976"/>
    <w:rsid w:val="6F795A80"/>
    <w:rsid w:val="6F7C1D2E"/>
    <w:rsid w:val="6F8E0407"/>
    <w:rsid w:val="6FDD069F"/>
    <w:rsid w:val="700B0D94"/>
    <w:rsid w:val="702B4D16"/>
    <w:rsid w:val="70AA6621"/>
    <w:rsid w:val="7111480F"/>
    <w:rsid w:val="71261F49"/>
    <w:rsid w:val="712E6956"/>
    <w:rsid w:val="71473612"/>
    <w:rsid w:val="71504F32"/>
    <w:rsid w:val="7152309F"/>
    <w:rsid w:val="718F7F65"/>
    <w:rsid w:val="71DA6992"/>
    <w:rsid w:val="727B234E"/>
    <w:rsid w:val="728A58B0"/>
    <w:rsid w:val="72D068C7"/>
    <w:rsid w:val="72E42ED8"/>
    <w:rsid w:val="72FC34C3"/>
    <w:rsid w:val="735F4CB9"/>
    <w:rsid w:val="73674C62"/>
    <w:rsid w:val="736C5547"/>
    <w:rsid w:val="73845865"/>
    <w:rsid w:val="739B6D9E"/>
    <w:rsid w:val="73BC1D76"/>
    <w:rsid w:val="73FB6630"/>
    <w:rsid w:val="74321847"/>
    <w:rsid w:val="74734E98"/>
    <w:rsid w:val="748D790E"/>
    <w:rsid w:val="749820CC"/>
    <w:rsid w:val="74CE04EC"/>
    <w:rsid w:val="74E76DCD"/>
    <w:rsid w:val="751D7C0A"/>
    <w:rsid w:val="75722D56"/>
    <w:rsid w:val="75DB5477"/>
    <w:rsid w:val="75FC6AC3"/>
    <w:rsid w:val="7616619B"/>
    <w:rsid w:val="76660D7C"/>
    <w:rsid w:val="766C5968"/>
    <w:rsid w:val="76BE0C8F"/>
    <w:rsid w:val="76CD53B2"/>
    <w:rsid w:val="76E6594C"/>
    <w:rsid w:val="770719AC"/>
    <w:rsid w:val="776526CC"/>
    <w:rsid w:val="77A262E1"/>
    <w:rsid w:val="77B13C33"/>
    <w:rsid w:val="77DC095A"/>
    <w:rsid w:val="77ED6F44"/>
    <w:rsid w:val="77F45548"/>
    <w:rsid w:val="77FC440B"/>
    <w:rsid w:val="784E7CA6"/>
    <w:rsid w:val="78574801"/>
    <w:rsid w:val="7873527F"/>
    <w:rsid w:val="790A6425"/>
    <w:rsid w:val="790E2D96"/>
    <w:rsid w:val="791B54B2"/>
    <w:rsid w:val="793C0F89"/>
    <w:rsid w:val="795A0A34"/>
    <w:rsid w:val="797339C3"/>
    <w:rsid w:val="79D57D57"/>
    <w:rsid w:val="79F00650"/>
    <w:rsid w:val="7A6242BF"/>
    <w:rsid w:val="7A794513"/>
    <w:rsid w:val="7A9B3811"/>
    <w:rsid w:val="7AB467DA"/>
    <w:rsid w:val="7AB9318D"/>
    <w:rsid w:val="7AE952D2"/>
    <w:rsid w:val="7B9F26AF"/>
    <w:rsid w:val="7BB607FE"/>
    <w:rsid w:val="7C7248A0"/>
    <w:rsid w:val="7C976D69"/>
    <w:rsid w:val="7CD752DA"/>
    <w:rsid w:val="7CDE40AB"/>
    <w:rsid w:val="7CF057E2"/>
    <w:rsid w:val="7D1548B5"/>
    <w:rsid w:val="7DF84014"/>
    <w:rsid w:val="7E207949"/>
    <w:rsid w:val="7E5C0A47"/>
    <w:rsid w:val="7E670C75"/>
    <w:rsid w:val="7EE24272"/>
    <w:rsid w:val="7EEA6053"/>
    <w:rsid w:val="7F487C04"/>
    <w:rsid w:val="7F611CBA"/>
    <w:rsid w:val="7FB45F21"/>
    <w:rsid w:val="7FE57088"/>
    <w:rsid w:val="7FF37FA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jc w:val="left"/>
    </w:pPr>
    <w:rPr>
      <w:kern w:val="0"/>
      <w:sz w:val="24"/>
    </w:rPr>
  </w:style>
  <w:style w:type="character" w:styleId="11">
    <w:name w:val="Strong"/>
    <w:basedOn w:val="10"/>
    <w:qFormat/>
    <w:uiPriority w:val="0"/>
    <w:rPr>
      <w:b/>
    </w:rPr>
  </w:style>
  <w:style w:type="paragraph" w:customStyle="1" w:styleId="1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4">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Micorosoft</Company>
  <Pages>17</Pages>
  <Words>1158</Words>
  <Characters>6603</Characters>
  <Lines>55</Lines>
  <Paragraphs>15</Paragraphs>
  <TotalTime>32</TotalTime>
  <ScaleCrop>false</ScaleCrop>
  <LinksUpToDate>false</LinksUpToDate>
  <CharactersWithSpaces>7746</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2024-09-13T09:41:00Z</dcterms:created>
  <dc:creator>GXR</dc:creator>
  <cp:lastModifiedBy>Administrator</cp:lastModifiedBy>
  <dcterms:modified xsi:type="dcterms:W3CDTF">2024-12-02T09:30:27Z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D624B15633CD43C8BF9435464A96BF70</vt:lpwstr>
  </property>
</Properties>
</file>