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tLeast"/>
        <w:ind w:firstLine="0" w:firstLineChars="0"/>
        <w:rPr>
          <w:rFonts w:ascii="方正小标宋简体" w:hAnsi="黑体" w:eastAsia="方正小标宋简体" w:cs="黑体"/>
          <w:bCs/>
          <w:sz w:val="48"/>
          <w:szCs w:val="48"/>
        </w:rPr>
      </w:pPr>
    </w:p>
    <w:p>
      <w:pPr>
        <w:spacing w:line="240" w:lineRule="atLeast"/>
        <w:ind w:firstLine="0" w:firstLineChars="0"/>
        <w:jc w:val="center"/>
        <w:rPr>
          <w:rFonts w:hint="eastAsia" w:ascii="方正小标宋简体" w:hAnsi="黑体" w:eastAsia="方正小标宋简体" w:cs="黑体"/>
          <w:bCs/>
          <w:sz w:val="48"/>
          <w:szCs w:val="48"/>
        </w:rPr>
      </w:pPr>
    </w:p>
    <w:p>
      <w:pPr>
        <w:spacing w:line="240" w:lineRule="atLeast"/>
        <w:ind w:firstLine="0" w:firstLineChars="0"/>
        <w:jc w:val="center"/>
        <w:rPr>
          <w:rFonts w:ascii="方正小标宋简体" w:hAnsi="黑体" w:eastAsia="方正小标宋简体" w:cs="黑体"/>
          <w:bCs/>
          <w:sz w:val="48"/>
          <w:szCs w:val="48"/>
        </w:rPr>
      </w:pPr>
      <w:r>
        <w:rPr>
          <w:rFonts w:hint="eastAsia" w:ascii="方正小标宋简体" w:hAnsi="黑体" w:eastAsia="方正小标宋简体" w:cs="黑体"/>
          <w:bCs/>
          <w:sz w:val="48"/>
          <w:szCs w:val="48"/>
        </w:rPr>
        <w:t>塔城地区</w:t>
      </w:r>
      <w:r>
        <w:rPr>
          <w:rFonts w:hint="eastAsia" w:ascii="方正小标宋简体" w:hAnsi="黑体" w:eastAsia="方正小标宋简体" w:cs="黑体"/>
          <w:bCs/>
          <w:color w:val="000000" w:themeColor="text1"/>
          <w:sz w:val="48"/>
          <w:szCs w:val="48"/>
        </w:rPr>
        <w:t>沙湾市妇幼保健</w:t>
      </w:r>
      <w:bookmarkStart w:id="25" w:name="_GoBack"/>
      <w:r>
        <w:rPr>
          <w:rFonts w:hint="eastAsia" w:ascii="方正小标宋简体" w:hAnsi="黑体" w:eastAsia="方正小标宋简体" w:cs="黑体"/>
          <w:bCs/>
          <w:color w:val="000000" w:themeColor="text1"/>
          <w:sz w:val="48"/>
          <w:szCs w:val="48"/>
        </w:rPr>
        <w:t>计划生育</w:t>
      </w:r>
      <w:bookmarkEnd w:id="25"/>
      <w:r>
        <w:rPr>
          <w:rFonts w:hint="eastAsia" w:ascii="方正小标宋简体" w:hAnsi="黑体" w:eastAsia="方正小标宋简体" w:cs="黑体"/>
          <w:bCs/>
          <w:color w:val="000000" w:themeColor="text1"/>
          <w:sz w:val="48"/>
          <w:szCs w:val="48"/>
        </w:rPr>
        <w:t>服务中心2023年基本公共卫生服务补助资金</w:t>
      </w:r>
      <w:r>
        <w:rPr>
          <w:rFonts w:hint="eastAsia" w:ascii="方正小标宋简体" w:hAnsi="黑体" w:eastAsia="方正小标宋简体" w:cs="黑体"/>
          <w:bCs/>
          <w:sz w:val="48"/>
          <w:szCs w:val="48"/>
        </w:rPr>
        <w:t>项目支出绩效评价报告</w:t>
      </w:r>
    </w:p>
    <w:p>
      <w:pPr>
        <w:spacing w:line="240" w:lineRule="atLeast"/>
        <w:ind w:firstLine="960"/>
        <w:jc w:val="center"/>
        <w:rPr>
          <w:rFonts w:ascii="方正小标宋简体" w:hAnsi="黑体" w:eastAsia="方正小标宋简体" w:cs="黑体"/>
          <w:bCs/>
          <w:sz w:val="48"/>
          <w:szCs w:val="48"/>
        </w:rPr>
      </w:pPr>
    </w:p>
    <w:p>
      <w:pPr>
        <w:spacing w:line="240" w:lineRule="atLeast"/>
        <w:ind w:firstLine="960"/>
        <w:jc w:val="center"/>
        <w:rPr>
          <w:rFonts w:ascii="方正小标宋简体" w:hAnsi="黑体" w:eastAsia="方正小标宋简体" w:cs="黑体"/>
          <w:bCs/>
          <w:sz w:val="48"/>
          <w:szCs w:val="48"/>
        </w:rPr>
      </w:pPr>
    </w:p>
    <w:p>
      <w:pPr>
        <w:ind w:firstLine="1200" w:firstLineChars="400"/>
        <w:rPr>
          <w:rFonts w:ascii="黑体" w:hAnsi="黑体" w:eastAsia="黑体" w:cs="仿宋_GB2312"/>
          <w:sz w:val="30"/>
          <w:szCs w:val="30"/>
        </w:rPr>
      </w:pPr>
      <w:r>
        <w:rPr>
          <w:rFonts w:ascii="黑体" w:hAnsi="黑体" w:eastAsia="黑体" w:cs="宋体"/>
          <w:sz w:val="30"/>
          <w:szCs w:val="30"/>
        </w:rPr>
        <w:t>项目名称：</w:t>
      </w:r>
      <w:bookmarkStart w:id="0" w:name="_Hlk68780987"/>
      <w:r>
        <w:rPr>
          <w:rFonts w:hint="eastAsia" w:ascii="黑体" w:hAnsi="黑体" w:eastAsia="黑体" w:cs="仿宋_GB2312"/>
          <w:sz w:val="30"/>
          <w:szCs w:val="30"/>
        </w:rPr>
        <w:t>基本公共卫生服务补助资金项目</w:t>
      </w:r>
      <w:bookmarkEnd w:id="0"/>
    </w:p>
    <w:p>
      <w:pPr>
        <w:ind w:firstLine="1200" w:firstLineChars="400"/>
        <w:rPr>
          <w:rFonts w:ascii="黑体" w:hAnsi="黑体" w:eastAsia="黑体" w:cs="宋体"/>
          <w:color w:val="000000" w:themeColor="text1"/>
          <w:sz w:val="30"/>
          <w:szCs w:val="30"/>
        </w:rPr>
      </w:pPr>
      <w:r>
        <w:rPr>
          <w:rFonts w:ascii="黑体" w:hAnsi="黑体" w:eastAsia="黑体" w:cs="宋体"/>
          <w:sz w:val="30"/>
          <w:szCs w:val="30"/>
        </w:rPr>
        <w:t>项目单位：</w:t>
      </w:r>
      <w:r>
        <w:rPr>
          <w:rFonts w:hint="eastAsia" w:ascii="黑体" w:hAnsi="黑体" w:eastAsia="黑体" w:cs="仿宋_GB2312"/>
          <w:color w:val="000000" w:themeColor="text1"/>
          <w:sz w:val="30"/>
          <w:szCs w:val="30"/>
        </w:rPr>
        <w:t>沙湾市妇幼保健计划生育服务中心</w:t>
      </w:r>
    </w:p>
    <w:p>
      <w:pPr>
        <w:ind w:firstLine="1200" w:firstLineChars="400"/>
        <w:rPr>
          <w:rFonts w:ascii="黑体" w:hAnsi="黑体" w:eastAsia="黑体" w:cs="宋体"/>
          <w:color w:val="000000" w:themeColor="text1"/>
          <w:sz w:val="30"/>
          <w:szCs w:val="30"/>
        </w:rPr>
      </w:pPr>
      <w:r>
        <w:rPr>
          <w:rFonts w:ascii="黑体" w:hAnsi="黑体" w:eastAsia="黑体" w:cs="宋体"/>
          <w:color w:val="000000" w:themeColor="text1"/>
          <w:sz w:val="30"/>
          <w:szCs w:val="30"/>
        </w:rPr>
        <w:t>主管部门：</w:t>
      </w:r>
      <w:r>
        <w:rPr>
          <w:rFonts w:hint="eastAsia" w:ascii="黑体" w:hAnsi="黑体" w:eastAsia="黑体" w:cs="仿宋_GB2312"/>
          <w:color w:val="000000" w:themeColor="text1"/>
          <w:sz w:val="30"/>
          <w:szCs w:val="30"/>
        </w:rPr>
        <w:t>沙湾市卫生健康委员会</w:t>
      </w:r>
    </w:p>
    <w:p>
      <w:pPr>
        <w:ind w:firstLine="1200" w:firstLineChars="400"/>
        <w:rPr>
          <w:rFonts w:ascii="黑体" w:hAnsi="黑体" w:eastAsia="黑体" w:cs="宋体"/>
          <w:color w:val="000000" w:themeColor="text1"/>
          <w:sz w:val="30"/>
          <w:szCs w:val="30"/>
        </w:rPr>
      </w:pPr>
      <w:r>
        <w:rPr>
          <w:rFonts w:hint="eastAsia" w:ascii="黑体" w:hAnsi="黑体" w:eastAsia="黑体" w:cs="宋体"/>
          <w:color w:val="000000" w:themeColor="text1"/>
          <w:sz w:val="30"/>
          <w:szCs w:val="30"/>
        </w:rPr>
        <w:t>项目负责人</w:t>
      </w:r>
      <w:r>
        <w:rPr>
          <w:rFonts w:ascii="黑体" w:hAnsi="黑体" w:eastAsia="黑体" w:cs="宋体"/>
          <w:color w:val="000000" w:themeColor="text1"/>
          <w:sz w:val="30"/>
          <w:szCs w:val="30"/>
        </w:rPr>
        <w:t>：</w:t>
      </w:r>
      <w:r>
        <w:rPr>
          <w:rFonts w:hint="eastAsia" w:ascii="黑体" w:hAnsi="黑体" w:eastAsia="黑体" w:cs="仿宋_GB2312"/>
          <w:color w:val="000000" w:themeColor="text1"/>
          <w:sz w:val="30"/>
          <w:szCs w:val="30"/>
        </w:rPr>
        <w:t>张艳</w:t>
      </w:r>
    </w:p>
    <w:p>
      <w:pPr>
        <w:ind w:firstLine="1200" w:firstLineChars="400"/>
        <w:rPr>
          <w:rFonts w:ascii="黑体" w:hAnsi="黑体" w:eastAsia="黑体" w:cs="仿宋_GB2312"/>
          <w:color w:val="000000" w:themeColor="text1"/>
          <w:sz w:val="30"/>
          <w:szCs w:val="30"/>
        </w:rPr>
      </w:pPr>
      <w:r>
        <w:rPr>
          <w:rFonts w:hint="eastAsia" w:ascii="黑体" w:hAnsi="黑体" w:eastAsia="黑体" w:cs="宋体"/>
          <w:color w:val="000000" w:themeColor="text1"/>
          <w:sz w:val="30"/>
          <w:szCs w:val="30"/>
        </w:rPr>
        <w:t>填报时间：</w:t>
      </w:r>
      <w:r>
        <w:rPr>
          <w:rFonts w:ascii="黑体" w:hAnsi="黑体" w:eastAsia="黑体" w:cs="宋体"/>
          <w:color w:val="000000" w:themeColor="text1"/>
          <w:sz w:val="30"/>
          <w:szCs w:val="30"/>
        </w:rPr>
        <w:t>202</w:t>
      </w:r>
      <w:r>
        <w:rPr>
          <w:rFonts w:hint="eastAsia" w:ascii="黑体" w:hAnsi="黑体" w:eastAsia="黑体" w:cs="宋体"/>
          <w:color w:val="000000" w:themeColor="text1"/>
          <w:sz w:val="30"/>
          <w:szCs w:val="30"/>
        </w:rPr>
        <w:t>4年</w:t>
      </w:r>
      <w:r>
        <w:rPr>
          <w:rFonts w:hint="eastAsia" w:ascii="黑体" w:hAnsi="黑体" w:eastAsia="黑体" w:cs="仿宋_GB2312"/>
          <w:color w:val="000000" w:themeColor="text1"/>
          <w:sz w:val="30"/>
          <w:szCs w:val="30"/>
        </w:rPr>
        <w:t>3</w:t>
      </w:r>
      <w:r>
        <w:rPr>
          <w:rFonts w:hint="eastAsia" w:ascii="黑体" w:hAnsi="黑体" w:eastAsia="黑体" w:cs="宋体"/>
          <w:color w:val="000000" w:themeColor="text1"/>
          <w:sz w:val="30"/>
          <w:szCs w:val="30"/>
        </w:rPr>
        <w:t>月</w:t>
      </w:r>
      <w:r>
        <w:rPr>
          <w:rFonts w:hint="eastAsia" w:ascii="黑体" w:hAnsi="黑体" w:eastAsia="黑体" w:cs="仿宋_GB2312"/>
          <w:color w:val="000000" w:themeColor="text1"/>
          <w:sz w:val="30"/>
          <w:szCs w:val="30"/>
        </w:rPr>
        <w:t>21日</w:t>
      </w:r>
    </w:p>
    <w:p>
      <w:pPr>
        <w:spacing w:after="100" w:afterAutospacing="1" w:line="360" w:lineRule="auto"/>
        <w:ind w:firstLine="880"/>
        <w:jc w:val="center"/>
        <w:rPr>
          <w:rFonts w:ascii="方正小标宋_GBK" w:hAnsi="黑体" w:eastAsia="方正小标宋_GBK" w:cs="黑体"/>
          <w:bCs/>
          <w:sz w:val="44"/>
          <w:szCs w:val="44"/>
        </w:rPr>
      </w:pPr>
    </w:p>
    <w:p>
      <w:pPr>
        <w:pStyle w:val="2"/>
        <w:rPr>
          <w:rFonts w:ascii="方正小标宋_GBK" w:hAnsi="黑体" w:eastAsia="方正小标宋_GBK" w:cs="黑体"/>
          <w:bCs/>
          <w:sz w:val="44"/>
          <w:szCs w:val="44"/>
        </w:rPr>
      </w:pPr>
    </w:p>
    <w:p>
      <w:pPr>
        <w:rPr>
          <w:rFonts w:ascii="方正小标宋_GBK" w:hAnsi="黑体" w:eastAsia="方正小标宋_GBK" w:cs="黑体"/>
          <w:bCs/>
          <w:sz w:val="44"/>
          <w:szCs w:val="44"/>
        </w:rPr>
      </w:pPr>
    </w:p>
    <w:p>
      <w:pPr>
        <w:pStyle w:val="2"/>
        <w:rPr>
          <w:rFonts w:ascii="方正小标宋_GBK" w:hAnsi="黑体" w:eastAsia="方正小标宋_GBK" w:cs="黑体"/>
          <w:bCs/>
          <w:sz w:val="44"/>
          <w:szCs w:val="44"/>
        </w:rPr>
      </w:pPr>
    </w:p>
    <w:p>
      <w:pPr>
        <w:rPr>
          <w:rFonts w:ascii="方正小标宋_GBK" w:hAnsi="黑体" w:eastAsia="方正小标宋_GBK" w:cs="黑体"/>
          <w:bCs/>
          <w:sz w:val="44"/>
          <w:szCs w:val="44"/>
        </w:rPr>
      </w:pPr>
    </w:p>
    <w:p>
      <w:pPr>
        <w:pStyle w:val="2"/>
        <w:rPr>
          <w:rFonts w:ascii="方正小标宋_GBK" w:hAnsi="黑体" w:eastAsia="方正小标宋_GBK" w:cs="黑体"/>
          <w:bCs/>
          <w:sz w:val="44"/>
          <w:szCs w:val="44"/>
        </w:rPr>
      </w:pPr>
    </w:p>
    <w:p/>
    <w:p>
      <w:pPr>
        <w:spacing w:after="100" w:afterAutospacing="1" w:line="360" w:lineRule="auto"/>
        <w:ind w:firstLine="0" w:firstLineChars="0"/>
        <w:jc w:val="center"/>
        <w:rPr>
          <w:rFonts w:ascii="方正小标宋_GBK" w:hAnsi="黑体" w:eastAsia="方正小标宋_GBK" w:cs="黑体"/>
          <w:bCs/>
          <w:sz w:val="44"/>
          <w:szCs w:val="44"/>
        </w:rPr>
      </w:pPr>
      <w:r>
        <w:rPr>
          <w:rFonts w:hint="eastAsia" w:ascii="方正小标宋_GBK" w:hAnsi="黑体" w:eastAsia="方正小标宋_GBK" w:cs="黑体"/>
          <w:bCs/>
          <w:sz w:val="44"/>
          <w:szCs w:val="44"/>
        </w:rPr>
        <w:t>塔城地区</w:t>
      </w:r>
      <w:r>
        <w:rPr>
          <w:rFonts w:hint="eastAsia" w:ascii="方正小标宋_GBK" w:hAnsi="黑体" w:eastAsia="方正小标宋_GBK" w:cs="黑体"/>
          <w:bCs/>
          <w:color w:val="000000" w:themeColor="text1"/>
          <w:sz w:val="44"/>
          <w:szCs w:val="44"/>
        </w:rPr>
        <w:t>沙湾市妇幼保健计划生育服务中心2023年基本公共卫生服务补助资金项目支</w:t>
      </w:r>
      <w:r>
        <w:rPr>
          <w:rFonts w:hint="eastAsia" w:ascii="方正小标宋_GBK" w:hAnsi="黑体" w:eastAsia="方正小标宋_GBK" w:cs="黑体"/>
          <w:bCs/>
          <w:sz w:val="44"/>
          <w:szCs w:val="44"/>
        </w:rPr>
        <w:t>出绩效评价报告</w:t>
      </w:r>
    </w:p>
    <w:p>
      <w:pPr>
        <w:pStyle w:val="3"/>
        <w:spacing w:line="600" w:lineRule="exact"/>
        <w:ind w:firstLine="640"/>
        <w:rPr>
          <w:szCs w:val="32"/>
        </w:rPr>
      </w:pPr>
      <w:r>
        <w:rPr>
          <w:rFonts w:hint="eastAsia"/>
          <w:szCs w:val="32"/>
        </w:rPr>
        <w:t>一、基本情况</w:t>
      </w:r>
    </w:p>
    <w:p>
      <w:pPr>
        <w:pStyle w:val="4"/>
        <w:spacing w:line="600" w:lineRule="exact"/>
        <w:ind w:firstLine="640"/>
        <w:rPr>
          <w:rFonts w:ascii="楷体_GB2312" w:eastAsia="楷体_GB2312"/>
          <w:szCs w:val="32"/>
        </w:rPr>
      </w:pPr>
      <w:r>
        <w:rPr>
          <w:rFonts w:hint="eastAsia" w:ascii="楷体_GB2312" w:eastAsia="楷体_GB2312"/>
          <w:szCs w:val="32"/>
        </w:rPr>
        <w:t>（一）项目概况</w:t>
      </w:r>
    </w:p>
    <w:p>
      <w:pPr>
        <w:ind w:firstLine="640"/>
        <w:rPr>
          <w:b/>
          <w:bCs/>
          <w:sz w:val="32"/>
          <w:szCs w:val="32"/>
        </w:rPr>
      </w:pPr>
      <w:r>
        <w:rPr>
          <w:rFonts w:hint="eastAsia"/>
          <w:b/>
          <w:bCs/>
          <w:sz w:val="32"/>
          <w:szCs w:val="32"/>
        </w:rPr>
        <w:t>1.项目背景</w:t>
      </w:r>
    </w:p>
    <w:p>
      <w:pPr>
        <w:pStyle w:val="21"/>
        <w:spacing w:line="560" w:lineRule="exact"/>
        <w:ind w:firstLine="640"/>
        <w:rPr>
          <w:rFonts w:ascii="仿宋_GB2312" w:hAnsi="仿宋" w:cstheme="minorBidi"/>
          <w:kern w:val="2"/>
          <w:sz w:val="32"/>
          <w:szCs w:val="32"/>
        </w:rPr>
      </w:pPr>
      <w:r>
        <w:rPr>
          <w:rFonts w:hint="eastAsia" w:ascii="仿宋_GB2312" w:hAnsi="仿宋" w:cstheme="minorBidi"/>
          <w:kern w:val="2"/>
          <w:sz w:val="32"/>
          <w:szCs w:val="32"/>
        </w:rPr>
        <w:t>妇幼保健和计划生育技术服务关系8.8亿妇女儿童身心健康，关系4亿多家庭生活幸福，是重大民生事业。优化整合妇幼保健和生育技术服务资源，是妇女儿童健康需求日益增长的需要。妇幼保健机构有优质的医疗保健资源，技术实力雄厚；生育技术服务机构有完善的基层工作网络，擅长做群众工作；两者各有特点，各具优势。优化整合妇幼保健和生育技术服务资源，实现资源共享、优势互补，有利于加强妇幼卫生和生育技术服务工作，有利于强化人群生命健康全过程管理，有利于提高出生人口素质和妇女儿童健康水平，有利于实现《中国妇女发展纲要（2011—2020年）》、《中国儿童发展纲要（2011—2020年）》目标要求和千年发展目标，有利于建立人人享有基本医疗卫生制度，具有重要的现实意义和深远的历史意义。</w:t>
      </w:r>
    </w:p>
    <w:p>
      <w:pPr>
        <w:pStyle w:val="21"/>
        <w:spacing w:line="560" w:lineRule="exact"/>
        <w:ind w:firstLine="640"/>
        <w:rPr>
          <w:color w:val="000000" w:themeColor="text1"/>
          <w:sz w:val="32"/>
          <w:szCs w:val="32"/>
        </w:rPr>
      </w:pPr>
      <w:r>
        <w:rPr>
          <w:rFonts w:hint="eastAsia" w:ascii="仿宋_GB2312" w:hAnsi="仿宋" w:cstheme="minorBidi"/>
          <w:kern w:val="2"/>
          <w:sz w:val="32"/>
          <w:szCs w:val="32"/>
        </w:rPr>
        <w:t>2023年，沙湾市妇幼保健计划生育服务中心根据塔地财社[2023]25号关于拨付2023年中央基本公共卫生服务补助资金（第二批）的通知以及塔地财社[2023]17号关于拨付2023年自</w:t>
      </w:r>
      <w:r>
        <w:rPr>
          <w:rFonts w:hint="eastAsia" w:ascii="仿宋_GB2312" w:hAnsi="仿宋" w:cstheme="minorBidi"/>
          <w:color w:val="000000" w:themeColor="text1"/>
          <w:kern w:val="2"/>
          <w:sz w:val="32"/>
          <w:szCs w:val="32"/>
        </w:rPr>
        <w:t>治区基本公共卫生服务补助资金（第二批）的通知</w:t>
      </w:r>
      <w:r>
        <w:rPr>
          <w:rFonts w:hint="eastAsia"/>
          <w:color w:val="000000" w:themeColor="text1"/>
          <w:sz w:val="32"/>
          <w:szCs w:val="32"/>
        </w:rPr>
        <w:t>积极开展了基本公共卫生服务补助资金项目，提高医疗服务水平解决群众就医的问题，让群众都能看上病。</w:t>
      </w:r>
    </w:p>
    <w:p>
      <w:pPr>
        <w:ind w:firstLine="640"/>
        <w:rPr>
          <w:b/>
          <w:bCs/>
          <w:sz w:val="32"/>
          <w:szCs w:val="32"/>
        </w:rPr>
      </w:pPr>
      <w:r>
        <w:rPr>
          <w:rFonts w:hint="eastAsia"/>
          <w:b/>
          <w:bCs/>
          <w:sz w:val="32"/>
          <w:szCs w:val="32"/>
        </w:rPr>
        <w:t>2.项目主要内容及实施情况</w:t>
      </w:r>
    </w:p>
    <w:p>
      <w:pPr>
        <w:ind w:firstLine="640"/>
        <w:rPr>
          <w:rFonts w:ascii="仿宋_GB2312" w:hAnsi="仿宋" w:cstheme="minorBidi"/>
          <w:color w:val="000000" w:themeColor="text1"/>
          <w:sz w:val="32"/>
          <w:szCs w:val="32"/>
        </w:rPr>
      </w:pPr>
      <w:r>
        <w:rPr>
          <w:rFonts w:hint="eastAsia" w:ascii="仿宋_GB2312" w:hAnsi="仿宋" w:cstheme="minorBidi"/>
          <w:color w:val="000000" w:themeColor="text1"/>
          <w:sz w:val="32"/>
          <w:szCs w:val="32"/>
        </w:rPr>
        <w:t>本项目主要内容为：１、开展新生儿遗传代谢病血片采集、实验室检测、诊治工作。２、开展新生儿听力筛查、听力障碍确诊及康复工作。３、为准备怀孕的农村妇女免费增补叶酸，在孕前3个月至孕早期3个月服用，开展叶酸补服督导、随访和登记，预防和减少神经管缺陷的发生。４、不断扩大“两癌”检查覆盖范围和覆盖人数，在贫困地区以县为单位实现“两癌”检查工作全覆盖。逐步提高“两癌”检查目标人群覆盖率。５、乡镇（场）卫生院、计生办配合市妇幼保健计划生育服务中心开展孕前优生健康检查相关工作，承担健康教育和一般人群优生咨询指导，开展早孕随访和妊娠结局随访。村级生育服务室协助县乡镇级服务机构开展健康教育，做好宣传动员组织工作。通过项目实施切实降低了孕产妇和婴儿死亡率，提升了母婴安全保障能力，提高了项目覆盖地区孕产保健、儿童保健、妇女保健、生育服务等妇幼工作能力，促进了妇幼机构服务水平不断提升。</w:t>
      </w:r>
    </w:p>
    <w:p>
      <w:pPr>
        <w:pStyle w:val="21"/>
        <w:spacing w:line="560" w:lineRule="exact"/>
        <w:ind w:firstLine="640"/>
        <w:rPr>
          <w:rFonts w:ascii="仿宋_GB2312" w:hAnsi="仿宋" w:cstheme="minorBidi"/>
          <w:color w:val="000000" w:themeColor="text1"/>
          <w:kern w:val="2"/>
          <w:sz w:val="32"/>
          <w:szCs w:val="32"/>
        </w:rPr>
      </w:pPr>
      <w:r>
        <w:rPr>
          <w:rFonts w:hint="eastAsia" w:ascii="仿宋_GB2312" w:hAnsi="仿宋" w:cstheme="minorBidi"/>
          <w:color w:val="000000" w:themeColor="text1"/>
          <w:kern w:val="2"/>
          <w:sz w:val="32"/>
          <w:szCs w:val="32"/>
        </w:rPr>
        <w:t>本项目于2023年1月开始实施，截至2023年12月，该项目已实施完成，各项任务指标全部完成。通过本项目的实施对提高沙湾市医疗服务水平具有重要作用，是保证各族人民身心健康的需要，是区域内医疗事业发展的客观要求，是建设新时期农村卫生服务体系的需要，是构筑和谐社会的需要，同时也是沙湾市经济社会发展的客观需要。</w:t>
      </w:r>
    </w:p>
    <w:p>
      <w:pPr>
        <w:ind w:firstLine="640"/>
        <w:rPr>
          <w:b/>
          <w:bCs/>
          <w:sz w:val="32"/>
          <w:szCs w:val="32"/>
        </w:rPr>
      </w:pPr>
      <w:r>
        <w:rPr>
          <w:rFonts w:hint="eastAsia"/>
          <w:b/>
          <w:bCs/>
          <w:sz w:val="32"/>
          <w:szCs w:val="32"/>
        </w:rPr>
        <w:t>3.项目实施主体</w:t>
      </w:r>
    </w:p>
    <w:p>
      <w:pPr>
        <w:pStyle w:val="21"/>
        <w:spacing w:line="570" w:lineRule="exact"/>
        <w:ind w:firstLine="640"/>
        <w:rPr>
          <w:rFonts w:ascii="仿宋_GB2312" w:hAnsi="仿宋_GB2312" w:cs="仿宋_GB2312"/>
          <w:color w:val="FF0000"/>
          <w:sz w:val="32"/>
          <w:szCs w:val="32"/>
        </w:rPr>
      </w:pPr>
      <w:r>
        <w:rPr>
          <w:rFonts w:hint="eastAsia" w:ascii="仿宋_GB2312" w:hAnsi="仿宋" w:cstheme="minorBidi"/>
          <w:color w:val="000000" w:themeColor="text1"/>
          <w:kern w:val="2"/>
          <w:sz w:val="32"/>
          <w:szCs w:val="32"/>
        </w:rPr>
        <w:t>2023年塔城地区基本公共卫生服务补助资金项目的实施主体为塔城地区沙湾市妇幼保健计划生育服务中心。</w:t>
      </w:r>
    </w:p>
    <w:p>
      <w:pPr>
        <w:ind w:firstLine="640"/>
        <w:rPr>
          <w:b/>
          <w:bCs/>
          <w:sz w:val="32"/>
          <w:szCs w:val="32"/>
        </w:rPr>
      </w:pPr>
      <w:r>
        <w:rPr>
          <w:rFonts w:hint="eastAsia"/>
          <w:b/>
          <w:bCs/>
          <w:sz w:val="32"/>
          <w:szCs w:val="32"/>
        </w:rPr>
        <w:t>4. 资金投入和使用情况</w:t>
      </w:r>
    </w:p>
    <w:p>
      <w:pPr>
        <w:spacing w:line="600" w:lineRule="exact"/>
        <w:ind w:firstLine="640"/>
        <w:rPr>
          <w:rFonts w:ascii="仿宋_GB2312" w:hAnsi="仿宋_GB2312" w:cs="仿宋_GB2312"/>
          <w:color w:val="FF0000"/>
          <w:sz w:val="32"/>
          <w:szCs w:val="32"/>
        </w:rPr>
      </w:pPr>
      <w:r>
        <w:rPr>
          <w:rFonts w:hint="eastAsia"/>
          <w:sz w:val="32"/>
          <w:szCs w:val="32"/>
        </w:rPr>
        <w:t>（1）项目资金安排落实、总投入情况</w:t>
      </w:r>
    </w:p>
    <w:p>
      <w:pPr>
        <w:spacing w:line="600" w:lineRule="exact"/>
        <w:ind w:firstLine="640"/>
        <w:rPr>
          <w:rFonts w:ascii="仿宋_GB2312" w:hAnsi="仿宋_GB2312" w:cs="仿宋_GB2312"/>
          <w:color w:val="000000" w:themeColor="text1"/>
          <w:sz w:val="32"/>
          <w:szCs w:val="32"/>
        </w:rPr>
      </w:pPr>
      <w:r>
        <w:rPr>
          <w:rFonts w:hint="eastAsia" w:ascii="仿宋_GB2312" w:hAnsi="仿宋_GB2312" w:cs="仿宋_GB2312"/>
          <w:color w:val="000000" w:themeColor="text1"/>
          <w:sz w:val="32"/>
          <w:szCs w:val="32"/>
        </w:rPr>
        <w:t>根据塔城地区财政局</w:t>
      </w:r>
      <w:r>
        <w:rPr>
          <w:rFonts w:hint="eastAsia" w:ascii="仿宋_GB2312" w:hAnsi="仿宋" w:cstheme="minorBidi"/>
          <w:color w:val="000000" w:themeColor="text1"/>
          <w:sz w:val="32"/>
          <w:szCs w:val="32"/>
        </w:rPr>
        <w:t>关于拨付2023年中央基本公共卫生服务补助资金（第二批）的通知</w:t>
      </w:r>
      <w:r>
        <w:rPr>
          <w:rFonts w:hint="eastAsia" w:ascii="仿宋_GB2312" w:hAnsi="仿宋_GB2312" w:cs="仿宋_GB2312"/>
          <w:color w:val="000000" w:themeColor="text1"/>
          <w:sz w:val="32"/>
          <w:szCs w:val="32"/>
        </w:rPr>
        <w:t>（塔地财预〔2023〕</w:t>
      </w:r>
      <w:r>
        <w:rPr>
          <w:rFonts w:hint="eastAsia" w:ascii="仿宋_GB2312"/>
          <w:color w:val="000000" w:themeColor="text1"/>
          <w:sz w:val="32"/>
          <w:szCs w:val="32"/>
        </w:rPr>
        <w:t>25</w:t>
      </w:r>
      <w:r>
        <w:rPr>
          <w:rFonts w:hint="eastAsia" w:ascii="仿宋_GB2312" w:hAnsi="仿宋_GB2312" w:cs="仿宋_GB2312"/>
          <w:color w:val="000000" w:themeColor="text1"/>
          <w:sz w:val="32"/>
          <w:szCs w:val="32"/>
        </w:rPr>
        <w:t>号）</w:t>
      </w:r>
      <w:r>
        <w:rPr>
          <w:rFonts w:hint="eastAsia" w:ascii="仿宋_GB2312" w:hAnsi="仿宋" w:cstheme="minorBidi"/>
          <w:color w:val="000000" w:themeColor="text1"/>
          <w:sz w:val="32"/>
          <w:szCs w:val="32"/>
        </w:rPr>
        <w:t>以及关于拨付2023年自治区基本公共卫生服务补助资金（第二批）的通知</w:t>
      </w:r>
      <w:r>
        <w:rPr>
          <w:rFonts w:hint="eastAsia" w:ascii="仿宋_GB2312" w:hAnsi="仿宋_GB2312" w:cs="仿宋_GB2312"/>
          <w:color w:val="000000" w:themeColor="text1"/>
          <w:sz w:val="32"/>
          <w:szCs w:val="32"/>
        </w:rPr>
        <w:t>（塔地财预〔2023〕</w:t>
      </w:r>
      <w:r>
        <w:rPr>
          <w:rFonts w:hint="eastAsia" w:ascii="仿宋_GB2312"/>
          <w:color w:val="000000" w:themeColor="text1"/>
          <w:sz w:val="32"/>
          <w:szCs w:val="32"/>
        </w:rPr>
        <w:t>17</w:t>
      </w:r>
      <w:r>
        <w:rPr>
          <w:rFonts w:hint="eastAsia" w:ascii="仿宋_GB2312" w:hAnsi="仿宋_GB2312" w:cs="仿宋_GB2312"/>
          <w:color w:val="000000" w:themeColor="text1"/>
          <w:sz w:val="32"/>
          <w:szCs w:val="32"/>
        </w:rPr>
        <w:t>号）文件，</w:t>
      </w:r>
      <w:r>
        <w:rPr>
          <w:rFonts w:hint="eastAsia"/>
          <w:color w:val="000000" w:themeColor="text1"/>
          <w:sz w:val="32"/>
          <w:szCs w:val="32"/>
        </w:rPr>
        <w:t>基本公共卫生服务补助资金</w:t>
      </w:r>
      <w:r>
        <w:rPr>
          <w:rFonts w:hint="eastAsia" w:ascii="仿宋_GB2312"/>
          <w:color w:val="000000" w:themeColor="text1"/>
          <w:sz w:val="32"/>
          <w:szCs w:val="32"/>
        </w:rPr>
        <w:t>项目</w:t>
      </w:r>
      <w:r>
        <w:rPr>
          <w:rFonts w:hint="eastAsia" w:ascii="仿宋_GB2312" w:hAnsi="仿宋_GB2312" w:cs="仿宋_GB2312"/>
          <w:color w:val="000000" w:themeColor="text1"/>
          <w:sz w:val="32"/>
          <w:szCs w:val="32"/>
        </w:rPr>
        <w:t>预算安排资金总额</w:t>
      </w:r>
      <w:r>
        <w:rPr>
          <w:rFonts w:hint="eastAsia" w:ascii="仿宋_GB2312"/>
          <w:color w:val="000000" w:themeColor="text1"/>
          <w:sz w:val="32"/>
          <w:szCs w:val="32"/>
        </w:rPr>
        <w:t>53.00</w:t>
      </w:r>
      <w:r>
        <w:rPr>
          <w:rFonts w:hint="eastAsia" w:ascii="仿宋_GB2312" w:hAnsi="仿宋_GB2312" w:cs="仿宋_GB2312"/>
          <w:color w:val="000000" w:themeColor="text1"/>
          <w:sz w:val="32"/>
          <w:szCs w:val="32"/>
        </w:rPr>
        <w:t>万元，其中</w:t>
      </w:r>
      <w:r>
        <w:rPr>
          <w:rFonts w:hint="eastAsia" w:ascii="仿宋_GB2312"/>
          <w:color w:val="000000" w:themeColor="text1"/>
          <w:sz w:val="32"/>
          <w:szCs w:val="32"/>
        </w:rPr>
        <w:t>财政资</w:t>
      </w:r>
      <w:r>
        <w:rPr>
          <w:rFonts w:hint="eastAsia" w:ascii="仿宋_GB2312" w:hAnsi="仿宋_GB2312" w:cs="仿宋_GB2312"/>
          <w:color w:val="000000" w:themeColor="text1"/>
          <w:sz w:val="32"/>
          <w:szCs w:val="32"/>
        </w:rPr>
        <w:t>金</w:t>
      </w:r>
      <w:r>
        <w:rPr>
          <w:rFonts w:hint="eastAsia" w:ascii="仿宋_GB2312"/>
          <w:color w:val="000000" w:themeColor="text1"/>
          <w:sz w:val="32"/>
          <w:szCs w:val="32"/>
        </w:rPr>
        <w:t>53.00万元、其他资金0.00万元；2023年实际收到预算资金53.00万元，预算资金到位率为</w:t>
      </w:r>
      <w:r>
        <w:rPr>
          <w:rFonts w:hint="eastAsia" w:ascii="仿宋_GB2312" w:hAnsi="仿宋_GB2312" w:cs="仿宋_GB2312"/>
          <w:color w:val="000000" w:themeColor="text1"/>
          <w:sz w:val="32"/>
          <w:szCs w:val="32"/>
        </w:rPr>
        <w:t>100.0</w:t>
      </w:r>
      <w:r>
        <w:rPr>
          <w:rFonts w:hint="eastAsia" w:ascii="仿宋_GB2312"/>
          <w:color w:val="000000" w:themeColor="text1"/>
          <w:sz w:val="32"/>
          <w:szCs w:val="32"/>
        </w:rPr>
        <w:t>%。</w:t>
      </w:r>
    </w:p>
    <w:p>
      <w:pPr>
        <w:spacing w:line="600" w:lineRule="exact"/>
        <w:ind w:firstLine="640"/>
        <w:rPr>
          <w:sz w:val="32"/>
          <w:szCs w:val="32"/>
        </w:rPr>
      </w:pPr>
      <w:r>
        <w:rPr>
          <w:rFonts w:hint="eastAsia"/>
          <w:sz w:val="32"/>
          <w:szCs w:val="32"/>
        </w:rPr>
        <w:t>（2）项目资金实际使用情况</w:t>
      </w:r>
    </w:p>
    <w:p>
      <w:pPr>
        <w:spacing w:line="600" w:lineRule="exact"/>
        <w:ind w:firstLine="640"/>
        <w:rPr>
          <w:rFonts w:ascii="仿宋_GB2312"/>
          <w:color w:val="000000" w:themeColor="text1"/>
          <w:sz w:val="32"/>
          <w:szCs w:val="32"/>
        </w:rPr>
      </w:pPr>
      <w:r>
        <w:rPr>
          <w:rFonts w:hint="eastAsia" w:ascii="仿宋_GB2312" w:hAnsi="仿宋_GB2312" w:cs="仿宋_GB2312"/>
          <w:color w:val="000000" w:themeColor="text1"/>
          <w:sz w:val="32"/>
          <w:szCs w:val="32"/>
        </w:rPr>
        <w:t>截至2023年12月31日，</w:t>
      </w:r>
      <w:r>
        <w:rPr>
          <w:rFonts w:hint="eastAsia" w:ascii="仿宋_GB2312"/>
          <w:color w:val="000000" w:themeColor="text1"/>
          <w:sz w:val="32"/>
          <w:szCs w:val="32"/>
        </w:rPr>
        <w:t>本项目实际支付资金53.00万元，预算执行率</w:t>
      </w:r>
      <w:r>
        <w:rPr>
          <w:rFonts w:hint="eastAsia" w:ascii="仿宋_GB2312" w:hAnsi="仿宋_GB2312" w:cs="仿宋_GB2312"/>
          <w:color w:val="000000" w:themeColor="text1"/>
          <w:sz w:val="32"/>
          <w:szCs w:val="32"/>
        </w:rPr>
        <w:t>100.0</w:t>
      </w:r>
      <w:r>
        <w:rPr>
          <w:rFonts w:hint="eastAsia" w:ascii="仿宋_GB2312"/>
          <w:color w:val="000000" w:themeColor="text1"/>
          <w:sz w:val="32"/>
          <w:szCs w:val="32"/>
        </w:rPr>
        <w:t>%。项目资金主要用于支付两癌资金费用36.00万元、国免孕优资金费用7.00万元、新生儿遗传代谢资金费用2.00万元、新生儿听力资金费用3.00万元、叶酸资金费用5.00万元。</w:t>
      </w:r>
    </w:p>
    <w:p>
      <w:pPr>
        <w:pStyle w:val="4"/>
        <w:numPr>
          <w:ilvl w:val="0"/>
          <w:numId w:val="2"/>
        </w:numPr>
        <w:spacing w:line="600" w:lineRule="exact"/>
        <w:ind w:firstLine="643" w:firstLineChars="0"/>
        <w:rPr>
          <w:rFonts w:ascii="楷体_GB2312" w:eastAsia="楷体_GB2312"/>
          <w:szCs w:val="32"/>
        </w:rPr>
      </w:pPr>
      <w:r>
        <w:rPr>
          <w:rFonts w:hint="eastAsia" w:ascii="楷体_GB2312" w:eastAsia="楷体_GB2312"/>
          <w:szCs w:val="32"/>
        </w:rPr>
        <w:t>项目绩效目标</w:t>
      </w:r>
    </w:p>
    <w:p>
      <w:pPr>
        <w:ind w:firstLine="640"/>
        <w:rPr>
          <w:b/>
          <w:bCs/>
          <w:sz w:val="32"/>
          <w:szCs w:val="32"/>
        </w:rPr>
      </w:pPr>
      <w:r>
        <w:rPr>
          <w:rFonts w:hint="eastAsia"/>
          <w:b/>
          <w:bCs/>
          <w:sz w:val="32"/>
          <w:szCs w:val="32"/>
        </w:rPr>
        <w:t>1.总体目标</w:t>
      </w:r>
    </w:p>
    <w:p>
      <w:pPr>
        <w:spacing w:line="600" w:lineRule="exact"/>
        <w:ind w:firstLine="640"/>
        <w:rPr>
          <w:rFonts w:ascii="仿宋_GB2312"/>
          <w:color w:val="000000" w:themeColor="text1"/>
          <w:sz w:val="32"/>
          <w:szCs w:val="32"/>
        </w:rPr>
      </w:pPr>
      <w:r>
        <w:rPr>
          <w:rFonts w:hint="eastAsia" w:ascii="仿宋_GB2312"/>
          <w:color w:val="000000" w:themeColor="text1"/>
          <w:sz w:val="32"/>
          <w:szCs w:val="32"/>
        </w:rPr>
        <w:t>为了提高新生儿遗传代谢病筛查率和新生儿听力筛查率，降低智力和听力残疾儿童发生率；尽早发现先天性心脏病患儿，及时诊断和治疗，降低死亡率；提高出生人口素质；为加强出生缺陷干预工作，降低我区神经管缺陷发生率，提高出生人口素质；为35-64岁农村妇女进行免费宫颈癌检查和乳腺癌检查，普及“两癌”防治知识，增强农村妇女自我保健意识和技能，提高“两癌”早诊率；为预防和减少出生缺陷，提高我国出生人口素质。 目标1:两癌筛查数大于等于7500人；目标2:农村计划怀孕夫妇免费孕前优生检查数大于等于250对；目标3：新生儿遗传代谢病筛查数大于等于750人；目标4：新生儿听力筛查数大于等于750人；目标5：</w:t>
      </w:r>
      <w:r>
        <w:rPr>
          <w:rFonts w:hint="eastAsia" w:ascii="仿宋_GB2312"/>
          <w:color w:val="000000" w:themeColor="text1"/>
          <w:sz w:val="32"/>
          <w:szCs w:val="32"/>
          <w:lang w:eastAsia="zh-CN"/>
        </w:rPr>
        <w:t>计划</w:t>
      </w:r>
      <w:r>
        <w:rPr>
          <w:rFonts w:hint="eastAsia" w:ascii="仿宋_GB2312"/>
          <w:color w:val="000000" w:themeColor="text1"/>
          <w:sz w:val="32"/>
          <w:szCs w:val="32"/>
        </w:rPr>
        <w:t>任务数大于等于750人。计划通过本项目的实施，提升服务质量，改善了服务环境，规范了服务流程，提高了病人的生存率，有效预防了传染病的发生，保障了人人享有基本卫生服务，提高了全民健康素养，为人人享有持续的健康服务奠定了基础。</w:t>
      </w:r>
    </w:p>
    <w:p>
      <w:pPr>
        <w:ind w:firstLine="640"/>
        <w:rPr>
          <w:b/>
          <w:bCs/>
          <w:sz w:val="32"/>
          <w:szCs w:val="32"/>
        </w:rPr>
      </w:pPr>
      <w:r>
        <w:rPr>
          <w:rFonts w:hint="eastAsia"/>
          <w:b/>
          <w:bCs/>
          <w:sz w:val="32"/>
          <w:szCs w:val="32"/>
        </w:rPr>
        <w:t>2.阶段性目标</w:t>
      </w:r>
    </w:p>
    <w:p>
      <w:pPr>
        <w:spacing w:line="600" w:lineRule="exact"/>
        <w:ind w:firstLine="640"/>
        <w:rPr>
          <w:rFonts w:ascii="仿宋_GB2312" w:hAnsi="Arial" w:cs="宋体"/>
          <w:bCs/>
          <w:color w:val="000000"/>
          <w:sz w:val="32"/>
          <w:szCs w:val="32"/>
        </w:rPr>
      </w:pPr>
      <w:r>
        <w:rPr>
          <w:rFonts w:hint="eastAsia" w:ascii="仿宋_GB2312" w:hAnsi="Arial" w:cs="宋体"/>
          <w:bCs/>
          <w:color w:val="000000"/>
          <w:sz w:val="32"/>
          <w:szCs w:val="32"/>
        </w:rPr>
        <w:t>根据《中华人民共和国预算法》、《中共中央国务院关于全面实施预算绩效管理的意见》（中发〔2018〕34号）、《关于印发&lt;项目支出绩效评价管理办法&gt;的通知》（财预</w:t>
      </w:r>
      <w:r>
        <w:rPr>
          <w:rFonts w:hint="eastAsia" w:ascii="仿宋_GB2312" w:hAnsi="微软雅黑" w:cs="微软雅黑"/>
          <w:bCs/>
          <w:color w:val="000000"/>
          <w:sz w:val="32"/>
          <w:szCs w:val="32"/>
        </w:rPr>
        <w:t>〔</w:t>
      </w:r>
      <w:r>
        <w:rPr>
          <w:rFonts w:hint="eastAsia" w:ascii="仿宋_GB2312" w:hAnsi="Arial" w:cs="宋体"/>
          <w:bCs/>
          <w:color w:val="000000"/>
          <w:sz w:val="32"/>
          <w:szCs w:val="32"/>
        </w:rPr>
        <w:t>2020</w:t>
      </w:r>
      <w:r>
        <w:rPr>
          <w:rFonts w:hint="eastAsia" w:ascii="仿宋_GB2312" w:hAnsi="微软雅黑" w:cs="微软雅黑"/>
          <w:bCs/>
          <w:color w:val="000000"/>
          <w:sz w:val="32"/>
          <w:szCs w:val="32"/>
        </w:rPr>
        <w:t>〕</w:t>
      </w:r>
      <w:r>
        <w:rPr>
          <w:rFonts w:hint="eastAsia" w:ascii="仿宋_GB2312" w:hAnsi="Arial" w:cs="宋体"/>
          <w:bCs/>
          <w:color w:val="000000"/>
          <w:sz w:val="32"/>
          <w:szCs w:val="32"/>
        </w:rPr>
        <w:t>10号）、《塔城地区财政</w:t>
      </w:r>
      <w:r>
        <w:rPr>
          <w:rFonts w:hint="eastAsia" w:ascii="仿宋_GB2312"/>
          <w:sz w:val="32"/>
          <w:szCs w:val="32"/>
        </w:rPr>
        <w:t>支出绩效评价管理暂行办法》（塔地财预〔201</w:t>
      </w:r>
      <w:r>
        <w:rPr>
          <w:rFonts w:ascii="仿宋_GB2312"/>
          <w:sz w:val="32"/>
          <w:szCs w:val="32"/>
        </w:rPr>
        <w:t>8</w:t>
      </w:r>
      <w:r>
        <w:rPr>
          <w:rFonts w:hint="eastAsia" w:ascii="仿宋_GB2312"/>
          <w:sz w:val="32"/>
          <w:szCs w:val="32"/>
        </w:rPr>
        <w:t>〕</w:t>
      </w:r>
      <w:r>
        <w:rPr>
          <w:rFonts w:ascii="仿宋_GB2312"/>
          <w:sz w:val="32"/>
          <w:szCs w:val="32"/>
        </w:rPr>
        <w:t>114</w:t>
      </w:r>
      <w:r>
        <w:rPr>
          <w:rFonts w:hint="eastAsia" w:ascii="仿宋_GB2312"/>
          <w:sz w:val="32"/>
          <w:szCs w:val="32"/>
        </w:rPr>
        <w:t>号）等文件要求，</w:t>
      </w:r>
      <w:r>
        <w:rPr>
          <w:rFonts w:hint="eastAsia" w:ascii="仿宋_GB2312" w:hAnsi="Arial" w:cs="宋体"/>
          <w:bCs/>
          <w:color w:val="000000"/>
          <w:sz w:val="32"/>
          <w:szCs w:val="32"/>
        </w:rPr>
        <w:t>结合本项目实际，对绩效目标进行逐层分解、细化后的具体绩效指标如下：</w:t>
      </w:r>
    </w:p>
    <w:p>
      <w:pPr>
        <w:numPr>
          <w:ilvl w:val="0"/>
          <w:numId w:val="3"/>
        </w:numPr>
        <w:spacing w:line="600" w:lineRule="exact"/>
        <w:ind w:firstLine="640"/>
        <w:rPr>
          <w:sz w:val="32"/>
          <w:szCs w:val="32"/>
        </w:rPr>
      </w:pPr>
      <w:r>
        <w:rPr>
          <w:rFonts w:hint="eastAsia"/>
          <w:sz w:val="32"/>
          <w:szCs w:val="32"/>
        </w:rPr>
        <w:t>项目产出指标</w:t>
      </w:r>
    </w:p>
    <w:p>
      <w:pPr>
        <w:spacing w:line="600" w:lineRule="exact"/>
        <w:ind w:firstLine="640"/>
        <w:rPr>
          <w:sz w:val="32"/>
          <w:szCs w:val="32"/>
        </w:rPr>
      </w:pPr>
      <w:r>
        <w:rPr>
          <w:rFonts w:hint="eastAsia"/>
          <w:sz w:val="32"/>
          <w:szCs w:val="32"/>
        </w:rPr>
        <w:t>①数量指标</w:t>
      </w:r>
    </w:p>
    <w:p>
      <w:pPr>
        <w:spacing w:line="600" w:lineRule="exact"/>
        <w:ind w:firstLine="640"/>
        <w:rPr>
          <w:rFonts w:ascii="仿宋_GB2312" w:hAnsi="Arial" w:cs="宋体"/>
          <w:bCs/>
          <w:color w:val="000000"/>
          <w:sz w:val="32"/>
          <w:szCs w:val="32"/>
        </w:rPr>
      </w:pPr>
      <w:r>
        <w:rPr>
          <w:rFonts w:hint="eastAsia" w:ascii="仿宋_GB2312" w:hAnsi="Arial" w:cs="宋体"/>
          <w:bCs/>
          <w:color w:val="000000"/>
          <w:sz w:val="32"/>
          <w:szCs w:val="32"/>
        </w:rPr>
        <w:t>“两癌筛查数（人）”指标，预期指标值为“大于等于7500人”；“农村计划怀孕夫妇免费孕前优生检查数（对）”指标，预期指标值为“大于等于250对”；“新生儿遗传代谢病筛查数（人）”指标，预期指标值为“大于等于750人”；“新生儿听力筛查数（人）”指标，预期指标值为“大于等于750人”；“</w:t>
      </w:r>
      <w:r>
        <w:rPr>
          <w:rFonts w:hint="eastAsia" w:ascii="仿宋_GB2312" w:hAnsi="Arial" w:cs="宋体"/>
          <w:bCs/>
          <w:color w:val="000000"/>
          <w:sz w:val="32"/>
          <w:szCs w:val="32"/>
          <w:lang w:eastAsia="zh-CN"/>
        </w:rPr>
        <w:t>计划</w:t>
      </w:r>
      <w:r>
        <w:rPr>
          <w:rFonts w:hint="eastAsia" w:ascii="仿宋_GB2312" w:hAnsi="Arial" w:cs="宋体"/>
          <w:bCs/>
          <w:color w:val="000000"/>
          <w:sz w:val="32"/>
          <w:szCs w:val="32"/>
        </w:rPr>
        <w:t>人务数（人）”指标，预期指标值为“大于等于750人”。</w:t>
      </w:r>
    </w:p>
    <w:p>
      <w:pPr>
        <w:spacing w:line="600" w:lineRule="exact"/>
        <w:ind w:left="638" w:leftChars="228" w:firstLine="0" w:firstLineChars="0"/>
        <w:rPr>
          <w:sz w:val="32"/>
          <w:szCs w:val="32"/>
        </w:rPr>
      </w:pPr>
      <w:r>
        <w:rPr>
          <w:rFonts w:hint="eastAsia"/>
          <w:sz w:val="32"/>
          <w:szCs w:val="32"/>
        </w:rPr>
        <w:t>②质量指标</w:t>
      </w:r>
    </w:p>
    <w:p>
      <w:pPr>
        <w:spacing w:line="600" w:lineRule="exact"/>
        <w:ind w:firstLine="640"/>
        <w:rPr>
          <w:rFonts w:ascii="仿宋_GB2312" w:hAnsi="Arial" w:cs="宋体"/>
          <w:bCs/>
          <w:color w:val="000000"/>
          <w:sz w:val="32"/>
          <w:szCs w:val="32"/>
        </w:rPr>
      </w:pPr>
      <w:r>
        <w:rPr>
          <w:rFonts w:hint="eastAsia" w:ascii="仿宋_GB2312" w:hAnsi="Arial" w:cs="宋体"/>
          <w:bCs/>
          <w:color w:val="000000"/>
          <w:sz w:val="32"/>
          <w:szCs w:val="32"/>
        </w:rPr>
        <w:t>“两癌筛查目标人群覆盖率（%）”指标，预期指标值为“等于100%”；“农村计划怀孕夫妇免费孕前优生检查覆盖率（%）”指标，预期指标值为“大于等于90%”；“新生儿遗传代谢病筛查率（%）”指标，预期指标值为“大于等于90%”；“新生儿听力筛查率（%）”指标，预期指标值为“大于等于90%”；“目标人群叶酸服用率（%）”指标，预期指标值为“大于等于90%”；</w:t>
      </w:r>
    </w:p>
    <w:p>
      <w:pPr>
        <w:spacing w:line="600" w:lineRule="exact"/>
        <w:ind w:left="638" w:leftChars="228" w:firstLine="0" w:firstLineChars="0"/>
        <w:rPr>
          <w:sz w:val="32"/>
          <w:szCs w:val="32"/>
        </w:rPr>
      </w:pPr>
      <w:r>
        <w:rPr>
          <w:rFonts w:hint="eastAsia"/>
          <w:sz w:val="32"/>
          <w:szCs w:val="32"/>
        </w:rPr>
        <w:t>③时效指标</w:t>
      </w:r>
    </w:p>
    <w:p>
      <w:pPr>
        <w:spacing w:line="600" w:lineRule="exact"/>
        <w:ind w:firstLine="640"/>
        <w:rPr>
          <w:rFonts w:ascii="仿宋_GB2312" w:hAnsi="Arial" w:cs="宋体"/>
          <w:bCs/>
          <w:color w:val="000000"/>
          <w:sz w:val="32"/>
          <w:szCs w:val="32"/>
        </w:rPr>
      </w:pPr>
      <w:r>
        <w:rPr>
          <w:rFonts w:hint="eastAsia" w:ascii="仿宋_GB2312" w:hAnsi="Arial" w:cs="宋体"/>
          <w:bCs/>
          <w:color w:val="000000"/>
          <w:sz w:val="32"/>
          <w:szCs w:val="32"/>
        </w:rPr>
        <w:t>“完成时限”指标，预期指标值为“2023年12月20日前”。</w:t>
      </w:r>
    </w:p>
    <w:p>
      <w:pPr>
        <w:numPr>
          <w:ilvl w:val="0"/>
          <w:numId w:val="3"/>
        </w:numPr>
        <w:spacing w:line="600" w:lineRule="exact"/>
        <w:ind w:firstLine="640"/>
        <w:rPr>
          <w:sz w:val="32"/>
          <w:szCs w:val="32"/>
        </w:rPr>
      </w:pPr>
      <w:r>
        <w:rPr>
          <w:rFonts w:hint="eastAsia"/>
          <w:sz w:val="32"/>
          <w:szCs w:val="32"/>
        </w:rPr>
        <w:t>项目成本指标</w:t>
      </w:r>
    </w:p>
    <w:p>
      <w:pPr>
        <w:spacing w:line="600" w:lineRule="exact"/>
        <w:ind w:firstLine="640"/>
      </w:pPr>
      <w:r>
        <w:rPr>
          <w:rFonts w:hint="eastAsia"/>
          <w:sz w:val="32"/>
          <w:szCs w:val="32"/>
        </w:rPr>
        <w:t>①经济成本指标</w:t>
      </w:r>
    </w:p>
    <w:p>
      <w:pPr>
        <w:spacing w:line="600" w:lineRule="exact"/>
        <w:ind w:firstLine="640"/>
        <w:rPr>
          <w:rFonts w:ascii="仿宋_GB2312" w:hAnsi="Arial" w:cs="宋体"/>
          <w:bCs/>
          <w:color w:val="000000"/>
          <w:sz w:val="32"/>
          <w:szCs w:val="32"/>
        </w:rPr>
      </w:pPr>
      <w:r>
        <w:rPr>
          <w:rFonts w:hint="eastAsia" w:ascii="仿宋_GB2312" w:hAnsi="Arial" w:cs="宋体"/>
          <w:bCs/>
          <w:color w:val="000000"/>
          <w:sz w:val="32"/>
          <w:szCs w:val="32"/>
        </w:rPr>
        <w:t>“两癌资金（万元）”指标，预期指标值为“小于等于36万元”；</w:t>
      </w:r>
    </w:p>
    <w:p>
      <w:pPr>
        <w:spacing w:line="600" w:lineRule="exact"/>
        <w:ind w:firstLine="640"/>
        <w:rPr>
          <w:rFonts w:ascii="仿宋_GB2312" w:hAnsi="Arial" w:cs="宋体"/>
          <w:bCs/>
          <w:color w:val="000000"/>
          <w:sz w:val="32"/>
          <w:szCs w:val="32"/>
        </w:rPr>
      </w:pPr>
      <w:r>
        <w:rPr>
          <w:rFonts w:hint="eastAsia" w:ascii="仿宋_GB2312" w:hAnsi="Arial" w:cs="宋体"/>
          <w:bCs/>
          <w:color w:val="000000"/>
          <w:sz w:val="32"/>
          <w:szCs w:val="32"/>
        </w:rPr>
        <w:t>“国免孕优资金（万元）”指标，预期指标值为“小于等于7万元”；</w:t>
      </w:r>
    </w:p>
    <w:p>
      <w:pPr>
        <w:spacing w:line="600" w:lineRule="exact"/>
        <w:ind w:firstLine="640"/>
        <w:rPr>
          <w:rFonts w:ascii="仿宋_GB2312" w:hAnsi="Arial" w:cs="宋体"/>
          <w:bCs/>
          <w:color w:val="000000"/>
          <w:sz w:val="32"/>
          <w:szCs w:val="32"/>
        </w:rPr>
      </w:pPr>
      <w:r>
        <w:rPr>
          <w:rFonts w:hint="eastAsia" w:ascii="仿宋_GB2312" w:hAnsi="Arial" w:cs="宋体"/>
          <w:bCs/>
          <w:color w:val="000000"/>
          <w:sz w:val="32"/>
          <w:szCs w:val="32"/>
        </w:rPr>
        <w:t>“新生儿遗传代谢资金（万元）”指标，预期指标值为“小于等于2万元”；</w:t>
      </w:r>
    </w:p>
    <w:p>
      <w:pPr>
        <w:spacing w:line="600" w:lineRule="exact"/>
        <w:ind w:firstLine="640"/>
        <w:rPr>
          <w:rFonts w:ascii="仿宋_GB2312" w:hAnsi="Arial" w:cs="宋体"/>
          <w:bCs/>
          <w:color w:val="000000"/>
          <w:sz w:val="32"/>
          <w:szCs w:val="32"/>
        </w:rPr>
      </w:pPr>
      <w:r>
        <w:rPr>
          <w:rFonts w:hint="eastAsia" w:ascii="仿宋_GB2312" w:hAnsi="Arial" w:cs="宋体"/>
          <w:bCs/>
          <w:color w:val="000000"/>
          <w:sz w:val="32"/>
          <w:szCs w:val="32"/>
        </w:rPr>
        <w:t>“新生儿听力资金（万元）”指标，预期指标值为“小于等于3万元”；“叶酸资金（万元）”指标，预期指标值为“小于等于5万元”。</w:t>
      </w:r>
    </w:p>
    <w:p>
      <w:pPr>
        <w:spacing w:line="600" w:lineRule="exact"/>
        <w:ind w:firstLine="640"/>
        <w:rPr>
          <w:sz w:val="32"/>
          <w:szCs w:val="32"/>
        </w:rPr>
      </w:pPr>
      <w:r>
        <w:rPr>
          <w:rFonts w:hint="eastAsia"/>
          <w:sz w:val="32"/>
          <w:szCs w:val="32"/>
        </w:rPr>
        <w:t>②社会成本指标</w:t>
      </w:r>
    </w:p>
    <w:p>
      <w:pPr>
        <w:spacing w:line="600" w:lineRule="exact"/>
        <w:ind w:firstLine="640"/>
        <w:rPr>
          <w:rFonts w:ascii="仿宋_GB2312" w:hAnsi="Arial" w:cs="宋体"/>
          <w:bCs/>
          <w:color w:val="000000"/>
          <w:sz w:val="32"/>
          <w:szCs w:val="32"/>
        </w:rPr>
      </w:pPr>
      <w:r>
        <w:rPr>
          <w:rFonts w:hint="eastAsia" w:ascii="仿宋_GB2312" w:hAnsi="Arial" w:cs="宋体"/>
          <w:bCs/>
          <w:color w:val="000000"/>
          <w:sz w:val="32"/>
          <w:szCs w:val="32"/>
        </w:rPr>
        <w:t>无此项指标。</w:t>
      </w:r>
    </w:p>
    <w:p>
      <w:pPr>
        <w:spacing w:line="600" w:lineRule="exact"/>
        <w:ind w:firstLine="640"/>
        <w:rPr>
          <w:sz w:val="32"/>
          <w:szCs w:val="32"/>
        </w:rPr>
      </w:pPr>
      <w:r>
        <w:rPr>
          <w:rFonts w:hint="eastAsia"/>
          <w:sz w:val="32"/>
          <w:szCs w:val="32"/>
        </w:rPr>
        <w:t>③生态环境成本指标</w:t>
      </w:r>
    </w:p>
    <w:p>
      <w:pPr>
        <w:spacing w:line="600" w:lineRule="exact"/>
        <w:ind w:firstLine="640"/>
        <w:rPr>
          <w:rFonts w:ascii="仿宋_GB2312" w:hAnsi="Arial" w:cs="宋体"/>
          <w:bCs/>
          <w:color w:val="000000"/>
          <w:sz w:val="32"/>
          <w:szCs w:val="32"/>
        </w:rPr>
      </w:pPr>
      <w:r>
        <w:rPr>
          <w:rFonts w:hint="eastAsia" w:ascii="仿宋_GB2312" w:hAnsi="Arial" w:cs="宋体"/>
          <w:bCs/>
          <w:color w:val="000000"/>
          <w:sz w:val="32"/>
          <w:szCs w:val="32"/>
        </w:rPr>
        <w:t>无此项指标。</w:t>
      </w:r>
    </w:p>
    <w:p>
      <w:pPr>
        <w:spacing w:line="600" w:lineRule="exact"/>
        <w:ind w:firstLine="640"/>
        <w:rPr>
          <w:sz w:val="32"/>
          <w:szCs w:val="32"/>
        </w:rPr>
      </w:pPr>
      <w:r>
        <w:rPr>
          <w:rFonts w:hint="eastAsia"/>
          <w:sz w:val="32"/>
          <w:szCs w:val="32"/>
        </w:rPr>
        <w:t>（3）项目效益指标</w:t>
      </w:r>
    </w:p>
    <w:p>
      <w:pPr>
        <w:spacing w:line="600" w:lineRule="exact"/>
        <w:ind w:firstLine="640"/>
        <w:rPr>
          <w:sz w:val="32"/>
          <w:szCs w:val="32"/>
        </w:rPr>
      </w:pPr>
      <w:r>
        <w:rPr>
          <w:rFonts w:hint="eastAsia"/>
          <w:sz w:val="32"/>
          <w:szCs w:val="32"/>
        </w:rPr>
        <w:t>①经济效益指标</w:t>
      </w:r>
    </w:p>
    <w:p>
      <w:pPr>
        <w:spacing w:line="600" w:lineRule="exact"/>
        <w:ind w:firstLine="640"/>
        <w:rPr>
          <w:rFonts w:ascii="仿宋_GB2312" w:hAnsi="Arial" w:cs="宋体"/>
          <w:bCs/>
          <w:color w:val="000000"/>
          <w:sz w:val="32"/>
          <w:szCs w:val="32"/>
        </w:rPr>
      </w:pPr>
      <w:r>
        <w:rPr>
          <w:rFonts w:hint="eastAsia" w:ascii="仿宋_GB2312" w:hAnsi="Arial" w:cs="宋体"/>
          <w:bCs/>
          <w:color w:val="000000"/>
          <w:sz w:val="32"/>
          <w:szCs w:val="32"/>
        </w:rPr>
        <w:t>无此项指标。</w:t>
      </w:r>
    </w:p>
    <w:p>
      <w:pPr>
        <w:spacing w:line="600" w:lineRule="exact"/>
        <w:ind w:firstLine="640"/>
        <w:rPr>
          <w:sz w:val="32"/>
          <w:szCs w:val="32"/>
        </w:rPr>
      </w:pPr>
      <w:r>
        <w:rPr>
          <w:rFonts w:hint="eastAsia"/>
          <w:sz w:val="32"/>
          <w:szCs w:val="32"/>
        </w:rPr>
        <w:t>②社会效益指标</w:t>
      </w:r>
    </w:p>
    <w:p>
      <w:pPr>
        <w:spacing w:line="600" w:lineRule="exact"/>
        <w:ind w:firstLine="640"/>
        <w:rPr>
          <w:rFonts w:ascii="仿宋_GB2312" w:hAnsi="Arial" w:cs="宋体"/>
          <w:bCs/>
          <w:color w:val="000000"/>
          <w:sz w:val="32"/>
          <w:szCs w:val="32"/>
        </w:rPr>
      </w:pPr>
      <w:r>
        <w:rPr>
          <w:rFonts w:hint="eastAsia" w:ascii="仿宋_GB2312" w:hAnsi="Arial" w:cs="宋体"/>
          <w:bCs/>
          <w:color w:val="000000"/>
          <w:sz w:val="32"/>
          <w:szCs w:val="32"/>
        </w:rPr>
        <w:t>“基本公共卫生服务水平”指标，预期指标值为“不断提高”。</w:t>
      </w:r>
    </w:p>
    <w:p>
      <w:pPr>
        <w:spacing w:line="600" w:lineRule="exact"/>
        <w:ind w:firstLine="640"/>
        <w:rPr>
          <w:sz w:val="32"/>
          <w:szCs w:val="32"/>
        </w:rPr>
      </w:pPr>
      <w:r>
        <w:rPr>
          <w:rFonts w:hint="eastAsia"/>
          <w:sz w:val="32"/>
          <w:szCs w:val="32"/>
        </w:rPr>
        <w:t>③生态效益指标</w:t>
      </w:r>
    </w:p>
    <w:p>
      <w:pPr>
        <w:spacing w:line="600" w:lineRule="exact"/>
        <w:ind w:firstLine="640"/>
        <w:rPr>
          <w:rFonts w:ascii="仿宋_GB2312" w:hAnsi="Arial" w:cs="宋体"/>
          <w:bCs/>
          <w:color w:val="000000"/>
          <w:sz w:val="32"/>
          <w:szCs w:val="32"/>
        </w:rPr>
      </w:pPr>
      <w:r>
        <w:rPr>
          <w:rFonts w:hint="eastAsia" w:ascii="仿宋_GB2312" w:hAnsi="Arial" w:cs="宋体"/>
          <w:bCs/>
          <w:color w:val="000000"/>
          <w:sz w:val="32"/>
          <w:szCs w:val="32"/>
        </w:rPr>
        <w:t>无此项指标。</w:t>
      </w:r>
    </w:p>
    <w:p>
      <w:pPr>
        <w:spacing w:line="600" w:lineRule="exact"/>
        <w:ind w:firstLine="640"/>
        <w:rPr>
          <w:sz w:val="32"/>
          <w:szCs w:val="32"/>
        </w:rPr>
      </w:pPr>
      <w:r>
        <w:rPr>
          <w:rFonts w:hint="eastAsia"/>
          <w:sz w:val="32"/>
          <w:szCs w:val="32"/>
        </w:rPr>
        <w:t>（4）相关满意度目标</w:t>
      </w:r>
    </w:p>
    <w:p>
      <w:pPr>
        <w:spacing w:line="600" w:lineRule="exact"/>
        <w:ind w:firstLine="640"/>
        <w:rPr>
          <w:rFonts w:ascii="仿宋_GB2312" w:hAnsi="Arial" w:cs="宋体"/>
          <w:bCs/>
          <w:color w:val="000000"/>
          <w:sz w:val="32"/>
          <w:szCs w:val="32"/>
        </w:rPr>
      </w:pPr>
      <w:r>
        <w:rPr>
          <w:rFonts w:hint="eastAsia" w:ascii="仿宋_GB2312" w:hAnsi="Arial" w:cs="宋体"/>
          <w:bCs/>
          <w:color w:val="000000"/>
          <w:sz w:val="32"/>
          <w:szCs w:val="32"/>
        </w:rPr>
        <w:t>“基本公共卫生服务对象满意度（%）”指标，预期指标值为“大于等于95%”。</w:t>
      </w:r>
    </w:p>
    <w:p>
      <w:pPr>
        <w:pStyle w:val="3"/>
        <w:spacing w:line="600" w:lineRule="exact"/>
        <w:ind w:firstLine="640"/>
        <w:rPr>
          <w:szCs w:val="32"/>
        </w:rPr>
      </w:pPr>
      <w:r>
        <w:rPr>
          <w:rFonts w:hint="eastAsia"/>
          <w:szCs w:val="32"/>
        </w:rPr>
        <w:t>二、绩效评价工作开展情况</w:t>
      </w:r>
    </w:p>
    <w:p>
      <w:pPr>
        <w:pStyle w:val="4"/>
        <w:numPr>
          <w:ilvl w:val="0"/>
          <w:numId w:val="4"/>
        </w:numPr>
        <w:spacing w:line="600" w:lineRule="exact"/>
        <w:ind w:firstLine="640"/>
        <w:rPr>
          <w:rFonts w:ascii="楷体_GB2312" w:eastAsia="楷体_GB2312"/>
          <w:szCs w:val="32"/>
        </w:rPr>
      </w:pPr>
      <w:bookmarkStart w:id="1" w:name="_Toc5462343"/>
      <w:bookmarkStart w:id="2" w:name="_Toc26632"/>
      <w:bookmarkStart w:id="3" w:name="_Toc21664"/>
      <w:bookmarkStart w:id="4" w:name="_Toc22922"/>
      <w:bookmarkStart w:id="5" w:name="_Toc480473081"/>
      <w:bookmarkStart w:id="6" w:name="_Toc5258"/>
      <w:bookmarkStart w:id="7" w:name="_Toc22169_WPSOffice_Level2"/>
      <w:bookmarkStart w:id="8" w:name="_Toc12868"/>
      <w:r>
        <w:rPr>
          <w:rFonts w:hint="eastAsia" w:ascii="楷体_GB2312" w:eastAsia="楷体_GB2312"/>
          <w:szCs w:val="32"/>
        </w:rPr>
        <w:t>绩效评价的目的</w:t>
      </w:r>
      <w:bookmarkEnd w:id="1"/>
      <w:bookmarkEnd w:id="2"/>
      <w:bookmarkEnd w:id="3"/>
      <w:bookmarkEnd w:id="4"/>
      <w:bookmarkEnd w:id="5"/>
      <w:bookmarkEnd w:id="6"/>
      <w:bookmarkEnd w:id="7"/>
      <w:bookmarkEnd w:id="8"/>
      <w:r>
        <w:rPr>
          <w:rFonts w:hint="eastAsia" w:ascii="楷体_GB2312" w:eastAsia="楷体_GB2312"/>
          <w:szCs w:val="32"/>
        </w:rPr>
        <w:t>、对象和范围</w:t>
      </w:r>
    </w:p>
    <w:p>
      <w:pPr>
        <w:ind w:firstLine="640"/>
        <w:rPr>
          <w:b/>
          <w:bCs/>
          <w:sz w:val="32"/>
          <w:szCs w:val="32"/>
        </w:rPr>
      </w:pPr>
      <w:r>
        <w:rPr>
          <w:rFonts w:hint="eastAsia"/>
          <w:b/>
          <w:bCs/>
          <w:sz w:val="32"/>
          <w:szCs w:val="32"/>
        </w:rPr>
        <w:t>1.绩效评价的目的</w:t>
      </w:r>
    </w:p>
    <w:p>
      <w:pPr>
        <w:spacing w:line="600" w:lineRule="exact"/>
        <w:ind w:firstLine="640"/>
        <w:rPr>
          <w:sz w:val="32"/>
          <w:szCs w:val="32"/>
        </w:rPr>
      </w:pPr>
      <w:r>
        <w:rPr>
          <w:rFonts w:hint="eastAsia" w:ascii="仿宋_GB2312" w:hAnsi="仿宋_GB2312" w:cs="仿宋_GB2312"/>
          <w:sz w:val="32"/>
          <w:szCs w:val="32"/>
        </w:rPr>
        <w:t>本次</w:t>
      </w:r>
      <w:r>
        <w:rPr>
          <w:rFonts w:hint="eastAsia"/>
          <w:sz w:val="32"/>
          <w:szCs w:val="32"/>
        </w:rPr>
        <w:t>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pPr>
        <w:ind w:firstLine="640"/>
        <w:rPr>
          <w:b/>
          <w:bCs/>
          <w:sz w:val="32"/>
          <w:szCs w:val="32"/>
        </w:rPr>
      </w:pPr>
      <w:r>
        <w:rPr>
          <w:rFonts w:hint="eastAsia"/>
          <w:b/>
          <w:bCs/>
          <w:sz w:val="32"/>
          <w:szCs w:val="32"/>
        </w:rPr>
        <w:t>2.绩效评价的对象和范围</w:t>
      </w:r>
    </w:p>
    <w:p>
      <w:pPr>
        <w:spacing w:line="600" w:lineRule="exact"/>
        <w:ind w:firstLine="640"/>
        <w:rPr>
          <w:rFonts w:ascii="仿宋_GB2312"/>
          <w:color w:val="000000" w:themeColor="text1"/>
          <w:sz w:val="32"/>
          <w:szCs w:val="32"/>
        </w:rPr>
      </w:pPr>
      <w:r>
        <w:rPr>
          <w:rFonts w:hint="eastAsia" w:ascii="仿宋_GB2312" w:hAnsi="仿宋_GB2312" w:cs="仿宋_GB2312"/>
          <w:color w:val="000000" w:themeColor="text1"/>
          <w:sz w:val="32"/>
          <w:szCs w:val="32"/>
        </w:rPr>
        <w:t>本次绩效评价遵循财政部</w:t>
      </w:r>
      <w:r>
        <w:rPr>
          <w:rFonts w:hint="eastAsia" w:ascii="仿宋_GB2312" w:hAnsi="Arial" w:cs="宋体"/>
          <w:bCs/>
          <w:color w:val="000000" w:themeColor="text1"/>
          <w:sz w:val="32"/>
          <w:szCs w:val="32"/>
        </w:rPr>
        <w:t>《关于印发&lt;项目支出绩效评价管理办法&gt;的通知》（财预</w:t>
      </w:r>
      <w:r>
        <w:rPr>
          <w:rFonts w:hint="eastAsia" w:ascii="仿宋_GB2312" w:hAnsi="微软雅黑" w:cs="微软雅黑"/>
          <w:bCs/>
          <w:color w:val="000000" w:themeColor="text1"/>
          <w:sz w:val="32"/>
          <w:szCs w:val="32"/>
        </w:rPr>
        <w:t>〔</w:t>
      </w:r>
      <w:r>
        <w:rPr>
          <w:rFonts w:hint="eastAsia" w:ascii="仿宋_GB2312" w:hAnsi="Arial" w:cs="宋体"/>
          <w:bCs/>
          <w:color w:val="000000" w:themeColor="text1"/>
          <w:sz w:val="32"/>
          <w:szCs w:val="32"/>
        </w:rPr>
        <w:t>2020</w:t>
      </w:r>
      <w:r>
        <w:rPr>
          <w:rFonts w:hint="eastAsia" w:ascii="仿宋_GB2312" w:hAnsi="微软雅黑" w:cs="微软雅黑"/>
          <w:bCs/>
          <w:color w:val="000000" w:themeColor="text1"/>
          <w:sz w:val="32"/>
          <w:szCs w:val="32"/>
        </w:rPr>
        <w:t>〕</w:t>
      </w:r>
      <w:r>
        <w:rPr>
          <w:rFonts w:hint="eastAsia" w:ascii="仿宋_GB2312" w:hAnsi="Arial" w:cs="宋体"/>
          <w:bCs/>
          <w:color w:val="000000" w:themeColor="text1"/>
          <w:sz w:val="32"/>
          <w:szCs w:val="32"/>
        </w:rPr>
        <w:t>10号）</w:t>
      </w:r>
      <w:r>
        <w:rPr>
          <w:rFonts w:hint="eastAsia" w:ascii="仿宋_GB2312" w:hAnsi="仿宋_GB2312" w:cs="仿宋_GB2312"/>
          <w:color w:val="000000" w:themeColor="text1"/>
          <w:sz w:val="32"/>
          <w:szCs w:val="32"/>
        </w:rPr>
        <w:t>以及自治区财政厅《自治区财政支出绩效评价管理暂行办法》（新财预〔2018〕189号）等文件规定，</w:t>
      </w:r>
      <w:r>
        <w:rPr>
          <w:rFonts w:hint="eastAsia" w:ascii="仿宋_GB2312"/>
          <w:color w:val="000000" w:themeColor="text1"/>
          <w:sz w:val="32"/>
          <w:szCs w:val="32"/>
        </w:rPr>
        <w:t>对2023年度我单位实施的</w:t>
      </w:r>
      <w:r>
        <w:rPr>
          <w:rFonts w:hint="eastAsia"/>
          <w:color w:val="000000" w:themeColor="text1"/>
          <w:sz w:val="32"/>
          <w:szCs w:val="32"/>
        </w:rPr>
        <w:t>基本公共卫生服务补助资金</w:t>
      </w:r>
      <w:r>
        <w:rPr>
          <w:rFonts w:hint="eastAsia" w:ascii="仿宋_GB2312"/>
          <w:color w:val="000000" w:themeColor="text1"/>
          <w:sz w:val="32"/>
          <w:szCs w:val="32"/>
        </w:rPr>
        <w:t>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pStyle w:val="4"/>
        <w:numPr>
          <w:ilvl w:val="0"/>
          <w:numId w:val="4"/>
        </w:numPr>
        <w:spacing w:line="600" w:lineRule="exact"/>
        <w:ind w:firstLine="640"/>
        <w:rPr>
          <w:rFonts w:ascii="楷体_GB2312" w:eastAsia="楷体_GB2312"/>
          <w:szCs w:val="32"/>
        </w:rPr>
      </w:pPr>
      <w:r>
        <w:rPr>
          <w:rFonts w:hint="eastAsia" w:ascii="楷体_GB2312" w:eastAsia="楷体_GB2312"/>
          <w:szCs w:val="32"/>
        </w:rPr>
        <w:t>评价工作简述</w:t>
      </w:r>
    </w:p>
    <w:p>
      <w:pPr>
        <w:ind w:firstLine="640"/>
        <w:rPr>
          <w:b/>
          <w:bCs/>
          <w:sz w:val="32"/>
          <w:szCs w:val="32"/>
        </w:rPr>
      </w:pPr>
      <w:r>
        <w:rPr>
          <w:rFonts w:hint="eastAsia"/>
          <w:b/>
          <w:bCs/>
          <w:sz w:val="32"/>
          <w:szCs w:val="32"/>
        </w:rPr>
        <w:t>1.绩效评价原则</w:t>
      </w:r>
    </w:p>
    <w:p>
      <w:pPr>
        <w:spacing w:line="600" w:lineRule="exact"/>
        <w:ind w:firstLine="640"/>
        <w:rPr>
          <w:sz w:val="32"/>
          <w:szCs w:val="32"/>
        </w:rPr>
      </w:pPr>
      <w:r>
        <w:rPr>
          <w:rFonts w:hint="eastAsia"/>
          <w:sz w:val="32"/>
          <w:szCs w:val="32"/>
        </w:rPr>
        <w:t>依据</w:t>
      </w:r>
      <w:r>
        <w:rPr>
          <w:rFonts w:hint="eastAsia" w:hAnsi="Arial" w:cs="宋体"/>
          <w:bCs/>
          <w:color w:val="000000"/>
          <w:sz w:val="32"/>
          <w:szCs w:val="32"/>
        </w:rPr>
        <w:t>《中华人民共和国预算法》、</w:t>
      </w:r>
      <w:r>
        <w:rPr>
          <w:rFonts w:hint="eastAsia" w:ascii="仿宋_GB2312" w:hAnsi="Arial" w:cs="宋体"/>
          <w:bCs/>
          <w:color w:val="000000"/>
          <w:sz w:val="32"/>
          <w:szCs w:val="32"/>
        </w:rPr>
        <w:t>《关于印发&lt;项目支出绩效评价管理办法&gt;的通知》（财预</w:t>
      </w:r>
      <w:r>
        <w:rPr>
          <w:rFonts w:hint="eastAsia" w:ascii="仿宋_GB2312" w:hAnsi="微软雅黑" w:cs="微软雅黑"/>
          <w:bCs/>
          <w:color w:val="000000"/>
          <w:sz w:val="32"/>
          <w:szCs w:val="32"/>
        </w:rPr>
        <w:t>〔</w:t>
      </w:r>
      <w:r>
        <w:rPr>
          <w:rFonts w:hint="eastAsia" w:ascii="仿宋_GB2312" w:hAnsi="Arial" w:cs="宋体"/>
          <w:bCs/>
          <w:color w:val="000000"/>
          <w:sz w:val="32"/>
          <w:szCs w:val="32"/>
        </w:rPr>
        <w:t>2020</w:t>
      </w:r>
      <w:r>
        <w:rPr>
          <w:rFonts w:hint="eastAsia" w:ascii="仿宋_GB2312" w:hAnsi="微软雅黑" w:cs="微软雅黑"/>
          <w:bCs/>
          <w:color w:val="000000"/>
          <w:sz w:val="32"/>
          <w:szCs w:val="32"/>
        </w:rPr>
        <w:t>〕</w:t>
      </w:r>
      <w:r>
        <w:rPr>
          <w:rFonts w:hint="eastAsia" w:ascii="仿宋_GB2312" w:hAnsi="Arial" w:cs="宋体"/>
          <w:bCs/>
          <w:color w:val="000000"/>
          <w:sz w:val="32"/>
          <w:szCs w:val="32"/>
        </w:rPr>
        <w:t>10号）</w:t>
      </w:r>
      <w:r>
        <w:rPr>
          <w:rFonts w:hint="eastAsia"/>
          <w:sz w:val="32"/>
          <w:szCs w:val="32"/>
        </w:rPr>
        <w:t>等法规和政策文件要求，本次绩效评价秉承科学规范、公正公开、分级分类、绩效相关等原则，按照从投入、过程到产出效果和影响的绩效逻辑路径，结合基本公共卫生服务补助资金项目实际开展情况，运用定量和定性分析相结合的方法，总结经验做法，反思项目实施和管理中的问题，以切实提升财政资金管理的科学化、规范化和精细化水平。</w:t>
      </w:r>
    </w:p>
    <w:p>
      <w:pPr>
        <w:spacing w:line="600" w:lineRule="exact"/>
        <w:ind w:firstLine="640"/>
        <w:rPr>
          <w:sz w:val="32"/>
          <w:szCs w:val="32"/>
        </w:rPr>
      </w:pPr>
      <w:r>
        <w:rPr>
          <w:rFonts w:hint="eastAsia"/>
          <w:sz w:val="32"/>
          <w:szCs w:val="32"/>
        </w:rPr>
        <w:t>根据以上原则，绩效评价遵循如下具体要求：</w:t>
      </w:r>
    </w:p>
    <w:p>
      <w:pPr>
        <w:spacing w:line="600" w:lineRule="exact"/>
        <w:ind w:firstLine="640"/>
        <w:rPr>
          <w:sz w:val="32"/>
          <w:szCs w:val="32"/>
        </w:rPr>
      </w:pPr>
      <w:r>
        <w:rPr>
          <w:rFonts w:hint="eastAsia" w:ascii="仿宋_GB2312"/>
          <w:sz w:val="32"/>
          <w:szCs w:val="32"/>
        </w:rPr>
        <w:t>（1）</w:t>
      </w:r>
      <w:r>
        <w:rPr>
          <w:rFonts w:hint="eastAsia"/>
          <w:sz w:val="32"/>
          <w:szCs w:val="32"/>
        </w:rPr>
        <w:t>在数据采集时，采取客观数据主管部门审查、社会中介组织复查与问卷调查相结合的形式，以保证各项指标的真实性。</w:t>
      </w:r>
    </w:p>
    <w:p>
      <w:pPr>
        <w:spacing w:line="600" w:lineRule="exact"/>
        <w:ind w:firstLine="640"/>
        <w:rPr>
          <w:rFonts w:ascii="仿宋_GB2312"/>
          <w:sz w:val="32"/>
          <w:szCs w:val="32"/>
        </w:rPr>
      </w:pPr>
      <w:r>
        <w:rPr>
          <w:rFonts w:hint="eastAsia" w:ascii="仿宋_GB2312"/>
          <w:sz w:val="32"/>
          <w:szCs w:val="32"/>
        </w:rPr>
        <w:t>（2）保证评价结果的真实性、公正性，提高评价报告的公信力。</w:t>
      </w:r>
    </w:p>
    <w:p>
      <w:pPr>
        <w:spacing w:line="600" w:lineRule="exact"/>
        <w:ind w:firstLine="640"/>
        <w:rPr>
          <w:sz w:val="32"/>
          <w:szCs w:val="32"/>
        </w:rPr>
      </w:pPr>
      <w:r>
        <w:rPr>
          <w:rFonts w:hint="eastAsia" w:ascii="仿宋_GB2312"/>
          <w:sz w:val="32"/>
          <w:szCs w:val="32"/>
        </w:rPr>
        <w:t>（3）</w:t>
      </w:r>
      <w:r>
        <w:rPr>
          <w:rFonts w:hint="eastAsia"/>
          <w:sz w:val="32"/>
          <w:szCs w:val="32"/>
        </w:rPr>
        <w:t>绩效评价报告简明扼要，除对绩效评价的过程、结果描述外，还总结经验、指出问题，并就共性问题提出可操作性改进建议。</w:t>
      </w:r>
    </w:p>
    <w:p>
      <w:pPr>
        <w:ind w:firstLine="640"/>
        <w:rPr>
          <w:b/>
          <w:bCs/>
          <w:sz w:val="32"/>
          <w:szCs w:val="32"/>
        </w:rPr>
      </w:pPr>
      <w:bookmarkStart w:id="9" w:name="_Toc428278230"/>
      <w:bookmarkStart w:id="10" w:name="_Toc1913"/>
      <w:bookmarkStart w:id="11" w:name="_Toc26131"/>
      <w:bookmarkStart w:id="12" w:name="_Toc419984722"/>
      <w:r>
        <w:rPr>
          <w:rFonts w:hint="eastAsia"/>
          <w:b/>
          <w:bCs/>
          <w:sz w:val="32"/>
          <w:szCs w:val="32"/>
        </w:rPr>
        <w:t>2.绩效评价指标体系及绩效评价</w:t>
      </w:r>
      <w:bookmarkEnd w:id="9"/>
      <w:bookmarkEnd w:id="10"/>
      <w:bookmarkEnd w:id="11"/>
      <w:bookmarkEnd w:id="12"/>
      <w:r>
        <w:rPr>
          <w:rFonts w:hint="eastAsia"/>
          <w:b/>
          <w:bCs/>
          <w:sz w:val="32"/>
          <w:szCs w:val="32"/>
        </w:rPr>
        <w:t>标准</w:t>
      </w:r>
    </w:p>
    <w:p>
      <w:pPr>
        <w:spacing w:line="600" w:lineRule="exact"/>
        <w:ind w:firstLine="640"/>
        <w:rPr>
          <w:rFonts w:ascii="仿宋_GB2312"/>
          <w:color w:val="000000" w:themeColor="text1"/>
          <w:sz w:val="32"/>
          <w:szCs w:val="32"/>
        </w:rPr>
      </w:pPr>
      <w:r>
        <w:rPr>
          <w:rFonts w:hint="eastAsia" w:ascii="仿宋_GB2312"/>
          <w:color w:val="000000" w:themeColor="text1"/>
          <w:sz w:val="32"/>
          <w:szCs w:val="32"/>
        </w:rPr>
        <w:t>绩效评价指标体系根据财政部</w:t>
      </w:r>
      <w:r>
        <w:rPr>
          <w:rFonts w:hint="eastAsia" w:ascii="仿宋_GB2312" w:hAnsi="Arial" w:cs="宋体"/>
          <w:bCs/>
          <w:color w:val="000000" w:themeColor="text1"/>
          <w:sz w:val="32"/>
          <w:szCs w:val="32"/>
        </w:rPr>
        <w:t>《关于印发&lt;项目支出绩效评价管理办法&gt;的通知》（财预</w:t>
      </w:r>
      <w:r>
        <w:rPr>
          <w:rFonts w:hint="eastAsia" w:ascii="仿宋_GB2312" w:hAnsi="微软雅黑" w:cs="微软雅黑"/>
          <w:bCs/>
          <w:color w:val="000000" w:themeColor="text1"/>
          <w:sz w:val="32"/>
          <w:szCs w:val="32"/>
        </w:rPr>
        <w:t>〔</w:t>
      </w:r>
      <w:r>
        <w:rPr>
          <w:rFonts w:hint="eastAsia" w:ascii="仿宋_GB2312" w:hAnsi="Arial" w:cs="宋体"/>
          <w:bCs/>
          <w:color w:val="000000" w:themeColor="text1"/>
          <w:sz w:val="32"/>
          <w:szCs w:val="32"/>
        </w:rPr>
        <w:t>2020</w:t>
      </w:r>
      <w:r>
        <w:rPr>
          <w:rFonts w:hint="eastAsia" w:ascii="仿宋_GB2312" w:hAnsi="微软雅黑" w:cs="微软雅黑"/>
          <w:bCs/>
          <w:color w:val="000000" w:themeColor="text1"/>
          <w:sz w:val="32"/>
          <w:szCs w:val="32"/>
        </w:rPr>
        <w:t>〕</w:t>
      </w:r>
      <w:r>
        <w:rPr>
          <w:rFonts w:hint="eastAsia" w:ascii="仿宋_GB2312" w:hAnsi="Arial" w:cs="宋体"/>
          <w:bCs/>
          <w:color w:val="000000" w:themeColor="text1"/>
          <w:sz w:val="32"/>
          <w:szCs w:val="32"/>
        </w:rPr>
        <w:t>10号）、</w:t>
      </w:r>
      <w:r>
        <w:rPr>
          <w:rFonts w:hint="eastAsia" w:ascii="仿宋_GB2312" w:hAnsi="仿宋_GB2312" w:cs="仿宋_GB2312"/>
          <w:color w:val="000000" w:themeColor="text1"/>
          <w:sz w:val="32"/>
          <w:szCs w:val="32"/>
        </w:rPr>
        <w:t>自治区财政厅《自治区财政支出绩效评价管理暂行办法》（新财预〔2018〕189号）</w:t>
      </w:r>
      <w:r>
        <w:rPr>
          <w:rFonts w:hint="eastAsia" w:ascii="仿宋_GB2312"/>
          <w:color w:val="000000" w:themeColor="text1"/>
          <w:sz w:val="32"/>
          <w:szCs w:val="32"/>
        </w:rPr>
        <w:t>等文件要求，结合本项目特点，在与专家组充分协商的基础上，评价工作组细化了该项目的绩效评价指标体系（详见附表1）：</w:t>
      </w:r>
    </w:p>
    <w:p>
      <w:pPr>
        <w:spacing w:line="600" w:lineRule="exact"/>
        <w:ind w:firstLine="640"/>
        <w:rPr>
          <w:rFonts w:ascii="仿宋_GB2312" w:hAnsi="Arial" w:cs="宋体"/>
          <w:bCs/>
          <w:color w:val="000000" w:themeColor="text1"/>
          <w:sz w:val="32"/>
          <w:szCs w:val="32"/>
        </w:rPr>
      </w:pPr>
      <w:r>
        <w:rPr>
          <w:rFonts w:hint="eastAsia" w:ascii="仿宋_GB2312" w:hAnsi="Arial" w:cs="宋体"/>
          <w:bCs/>
          <w:color w:val="000000" w:themeColor="text1"/>
          <w:sz w:val="32"/>
          <w:szCs w:val="32"/>
        </w:rPr>
        <w:t>一级指标为：项目决策、项目过程、项目产出、项目成本、项目效益。</w:t>
      </w:r>
    </w:p>
    <w:p>
      <w:pPr>
        <w:spacing w:line="600" w:lineRule="exact"/>
        <w:ind w:firstLine="640"/>
        <w:rPr>
          <w:rFonts w:ascii="仿宋_GB2312" w:hAnsi="Arial" w:cs="宋体"/>
          <w:bCs/>
          <w:color w:val="000000" w:themeColor="text1"/>
          <w:sz w:val="32"/>
          <w:szCs w:val="32"/>
        </w:rPr>
      </w:pPr>
      <w:r>
        <w:rPr>
          <w:rFonts w:hint="eastAsia" w:ascii="仿宋_GB2312" w:hAnsi="Arial" w:cs="宋体"/>
          <w:bCs/>
          <w:color w:val="000000" w:themeColor="text1"/>
          <w:sz w:val="32"/>
          <w:szCs w:val="32"/>
        </w:rPr>
        <w:t>二级指标为：项目立项、绩效目标、资金投入、资金管理、组织实施、产出数量、产出质量、产出时效、产出成本、实施效益、满意度。</w:t>
      </w:r>
    </w:p>
    <w:p>
      <w:pPr>
        <w:spacing w:line="600" w:lineRule="exact"/>
        <w:ind w:firstLine="640"/>
        <w:rPr>
          <w:rFonts w:ascii="仿宋_GB2312" w:hAnsi="Arial" w:cs="宋体"/>
          <w:bCs/>
          <w:color w:val="000000" w:themeColor="text1"/>
          <w:sz w:val="32"/>
          <w:szCs w:val="32"/>
        </w:rPr>
      </w:pPr>
      <w:r>
        <w:rPr>
          <w:rFonts w:hint="eastAsia" w:ascii="仿宋_GB2312" w:hAnsi="Arial" w:cs="宋体"/>
          <w:bCs/>
          <w:color w:val="000000" w:themeColor="text1"/>
          <w:sz w:val="32"/>
          <w:szCs w:val="32"/>
        </w:rPr>
        <w:t>三级指标为：立项依据充分性、立项程序规范性、绩效目标合理性、绩效指标明确性、预算编制科学性、资金分配合理性、资金到位率、预算执行率、资金使用合规性、管理制度健全性、制度执行有效性、产出数量指标完成率、质量指标达标率、项目完成及时率、成本控制率、项目实施所产生的效益、服务对象满意度。</w:t>
      </w:r>
    </w:p>
    <w:p>
      <w:pPr>
        <w:ind w:firstLine="640"/>
        <w:rPr>
          <w:b/>
          <w:bCs/>
          <w:sz w:val="32"/>
          <w:szCs w:val="32"/>
        </w:rPr>
      </w:pPr>
      <w:r>
        <w:rPr>
          <w:rFonts w:hint="eastAsia"/>
          <w:b/>
          <w:bCs/>
          <w:sz w:val="32"/>
          <w:szCs w:val="32"/>
        </w:rPr>
        <w:t>3.评价方法</w:t>
      </w:r>
    </w:p>
    <w:p>
      <w:pPr>
        <w:pStyle w:val="22"/>
        <w:tabs>
          <w:tab w:val="left" w:pos="1559"/>
        </w:tabs>
        <w:adjustRightInd w:val="0"/>
        <w:snapToGrid w:val="0"/>
        <w:spacing w:line="600" w:lineRule="exact"/>
        <w:ind w:firstLine="640"/>
        <w:rPr>
          <w:rFonts w:ascii="仿宋_GB2312" w:hAnsi="仿宋_GB2312" w:cs="仿宋_GB2312"/>
          <w:bCs/>
          <w:sz w:val="32"/>
          <w:szCs w:val="32"/>
        </w:rPr>
      </w:pPr>
      <w:r>
        <w:rPr>
          <w:rFonts w:hint="eastAsia" w:ascii="仿宋_GB2312" w:hAnsi="仿宋_GB2312" w:cs="仿宋_GB2312"/>
          <w:bCs/>
          <w:sz w:val="32"/>
          <w:szCs w:val="32"/>
        </w:rPr>
        <w:t>本次评价采取定量与定性评价相结合的方式，采用比较法、公众评判法对</w:t>
      </w:r>
      <w:r>
        <w:rPr>
          <w:rFonts w:hint="eastAsia"/>
          <w:sz w:val="32"/>
          <w:szCs w:val="32"/>
        </w:rPr>
        <w:t>项目实施过程以及预期绩效目标完成情况进行全面、系统的评价，</w:t>
      </w:r>
      <w:r>
        <w:rPr>
          <w:rFonts w:hint="eastAsia" w:ascii="仿宋_GB2312" w:hAnsi="仿宋_GB2312" w:cs="仿宋_GB2312"/>
          <w:bCs/>
          <w:sz w:val="32"/>
          <w:szCs w:val="32"/>
        </w:rPr>
        <w:t>总分由各项指标得分汇总形成。</w:t>
      </w:r>
    </w:p>
    <w:p>
      <w:pPr>
        <w:pStyle w:val="22"/>
        <w:tabs>
          <w:tab w:val="left" w:pos="1559"/>
        </w:tabs>
        <w:adjustRightInd w:val="0"/>
        <w:snapToGrid w:val="0"/>
        <w:spacing w:line="600" w:lineRule="exact"/>
        <w:ind w:firstLine="640"/>
        <w:rPr>
          <w:rFonts w:ascii="仿宋_GB2312" w:hAnsi="仿宋_GB2312" w:cs="仿宋_GB2312"/>
          <w:bCs/>
          <w:sz w:val="32"/>
          <w:szCs w:val="32"/>
        </w:rPr>
      </w:pPr>
      <w:r>
        <w:rPr>
          <w:rFonts w:hint="eastAsia" w:ascii="仿宋_GB2312" w:hAnsi="仿宋_GB2312" w:cs="仿宋_GB2312"/>
          <w:bCs/>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pPr>
        <w:pStyle w:val="22"/>
        <w:tabs>
          <w:tab w:val="left" w:pos="1559"/>
        </w:tabs>
        <w:adjustRightInd w:val="0"/>
        <w:snapToGrid w:val="0"/>
        <w:spacing w:line="600" w:lineRule="exact"/>
        <w:ind w:firstLine="640"/>
        <w:rPr>
          <w:rFonts w:ascii="仿宋_GB2312" w:hAnsi="仿宋_GB2312" w:cs="仿宋_GB2312"/>
          <w:bCs/>
          <w:sz w:val="32"/>
          <w:szCs w:val="32"/>
        </w:rPr>
      </w:pPr>
      <w:r>
        <w:rPr>
          <w:rFonts w:hint="eastAsia" w:ascii="仿宋_GB2312" w:hAnsi="仿宋_GB2312" w:cs="仿宋_GB2312"/>
          <w:bCs/>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pPr>
        <w:ind w:firstLine="640"/>
        <w:rPr>
          <w:b/>
          <w:bCs/>
          <w:sz w:val="32"/>
          <w:szCs w:val="32"/>
        </w:rPr>
      </w:pPr>
      <w:r>
        <w:rPr>
          <w:rFonts w:hint="eastAsia"/>
          <w:b/>
          <w:bCs/>
          <w:sz w:val="32"/>
          <w:szCs w:val="32"/>
        </w:rPr>
        <w:t>4.评价标准</w:t>
      </w:r>
    </w:p>
    <w:p>
      <w:pPr>
        <w:spacing w:line="600" w:lineRule="exact"/>
        <w:ind w:firstLine="640"/>
        <w:rPr>
          <w:color w:val="FF0000"/>
          <w:sz w:val="32"/>
          <w:szCs w:val="32"/>
        </w:rPr>
      </w:pPr>
      <w:r>
        <w:rPr>
          <w:rFonts w:hint="eastAsia" w:ascii="仿宋_GB2312" w:hAnsi="仿宋_GB2312" w:cs="仿宋_GB2312"/>
          <w:bCs/>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pStyle w:val="4"/>
        <w:spacing w:line="600" w:lineRule="exact"/>
        <w:ind w:left="420" w:firstLine="0" w:firstLineChars="0"/>
        <w:rPr>
          <w:szCs w:val="32"/>
        </w:rPr>
      </w:pPr>
      <w:r>
        <w:rPr>
          <w:rFonts w:hint="eastAsia"/>
          <w:szCs w:val="32"/>
        </w:rPr>
        <w:t>（三）绩效评价工作过程</w:t>
      </w:r>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第一阶段：前期准备。</w:t>
      </w:r>
    </w:p>
    <w:p>
      <w:pPr>
        <w:pStyle w:val="21"/>
        <w:spacing w:line="600" w:lineRule="exact"/>
        <w:ind w:firstLine="640"/>
        <w:rPr>
          <w:rFonts w:ascii="仿宋_GB2312" w:hAnsi="仿宋_GB2312" w:cs="仿宋_GB2312"/>
          <w:color w:val="FF0000"/>
          <w:sz w:val="32"/>
          <w:szCs w:val="32"/>
        </w:rPr>
      </w:pPr>
      <w:r>
        <w:rPr>
          <w:rFonts w:hint="eastAsia" w:ascii="仿宋_GB2312" w:hAnsi="仿宋" w:cs="仿宋"/>
          <w:color w:val="000000"/>
          <w:sz w:val="32"/>
          <w:szCs w:val="32"/>
        </w:rPr>
        <w:t>我单位绩效评价人员</w:t>
      </w:r>
      <w:r>
        <w:rPr>
          <w:rFonts w:hint="eastAsia" w:ascii="仿宋_GB2312" w:hAnsi="仿宋" w:cs="仿宋"/>
          <w:color w:val="000000"/>
          <w:spacing w:val="-4"/>
          <w:sz w:val="32"/>
          <w:szCs w:val="32"/>
        </w:rPr>
        <w:t>根据《项目支出绩效评价管理办法》（财预</w:t>
      </w:r>
      <w:r>
        <w:rPr>
          <w:rFonts w:hint="eastAsia" w:ascii="仿宋_GB2312" w:hAnsi="仿宋" w:cs="仿宋"/>
          <w:color w:val="000000"/>
          <w:sz w:val="32"/>
          <w:szCs w:val="32"/>
        </w:rPr>
        <w:t>〔2020〕</w:t>
      </w:r>
      <w:r>
        <w:rPr>
          <w:rFonts w:hint="eastAsia" w:ascii="仿宋_GB2312" w:hAnsi="仿宋" w:cs="仿宋"/>
          <w:color w:val="000000"/>
          <w:spacing w:val="-4"/>
          <w:sz w:val="32"/>
          <w:szCs w:val="32"/>
        </w:rPr>
        <w:t>10号）文件精神</w:t>
      </w:r>
      <w:r>
        <w:rPr>
          <w:rFonts w:hint="eastAsia" w:ascii="仿宋_GB2312" w:hAnsi="仿宋_GB2312" w:cs="仿宋_GB2312"/>
          <w:sz w:val="32"/>
          <w:szCs w:val="32"/>
        </w:rPr>
        <w:t>认真学习相关要求与规定，成立绩效评价工作组，作为绩效评价工作具体实施机构。成员构成如下：</w:t>
      </w:r>
    </w:p>
    <w:p>
      <w:pPr>
        <w:pStyle w:val="21"/>
        <w:spacing w:line="600" w:lineRule="exact"/>
        <w:ind w:firstLine="640"/>
        <w:rPr>
          <w:rFonts w:ascii="仿宋_GB2312" w:hAnsi="仿宋" w:cs="仿宋"/>
          <w:color w:val="000000"/>
          <w:sz w:val="32"/>
          <w:szCs w:val="32"/>
        </w:rPr>
      </w:pPr>
      <w:r>
        <w:rPr>
          <w:rFonts w:hint="eastAsia" w:ascii="仿宋_GB2312" w:hAnsi="仿宋" w:cs="仿宋"/>
          <w:color w:val="000000"/>
          <w:sz w:val="32"/>
          <w:szCs w:val="32"/>
        </w:rPr>
        <w:t>张艳任评价组组长，绩效评价工作职责为检查项目绩效指标完成情况、审定项目支出绩效评价结果及项目支出绩效评价报告。</w:t>
      </w:r>
    </w:p>
    <w:p>
      <w:pPr>
        <w:pStyle w:val="21"/>
        <w:spacing w:line="600" w:lineRule="exact"/>
        <w:ind w:firstLine="640"/>
        <w:rPr>
          <w:rFonts w:ascii="仿宋_GB2312" w:hAnsi="仿宋" w:cs="仿宋"/>
          <w:color w:val="000000"/>
          <w:sz w:val="32"/>
          <w:szCs w:val="32"/>
        </w:rPr>
      </w:pPr>
      <w:r>
        <w:rPr>
          <w:rFonts w:hint="eastAsia" w:ascii="仿宋_GB2312" w:hAnsi="仿宋" w:cs="仿宋"/>
          <w:color w:val="000000"/>
          <w:sz w:val="32"/>
          <w:szCs w:val="32"/>
        </w:rPr>
        <w:t>王炜华任评价组副组长，绩效评价工作职责为组织和协调项目工作人员采取实地调查、资料检查等方式，核实项目绩效指标完成情况；组织受益对象对项目工作进行评价等。</w:t>
      </w:r>
    </w:p>
    <w:p>
      <w:pPr>
        <w:pStyle w:val="21"/>
        <w:spacing w:line="600" w:lineRule="exact"/>
        <w:ind w:firstLine="640"/>
        <w:rPr>
          <w:rFonts w:ascii="仿宋_GB2312" w:hAnsi="仿宋" w:cs="仿宋"/>
          <w:color w:val="000000"/>
          <w:sz w:val="32"/>
          <w:szCs w:val="32"/>
        </w:rPr>
      </w:pPr>
      <w:r>
        <w:rPr>
          <w:rFonts w:hint="eastAsia" w:ascii="仿宋_GB2312" w:hAnsi="仿宋" w:cs="仿宋"/>
          <w:color w:val="000000"/>
          <w:sz w:val="32"/>
          <w:szCs w:val="32"/>
        </w:rPr>
        <w:t>刘梅任评价组成员，绩效评价工作职责为做好项目支出绩效评价工作的沟通协调工作，对项目实施情况进行实地调查，编写项目支出绩效评价报告。</w:t>
      </w:r>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第二阶段：组织实施。</w:t>
      </w:r>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经评价组通过实地调研、查阅资料等方式，采用综合分析法对项目的决策、管理、绩效进行的综合评价分析。</w:t>
      </w:r>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第三阶段：分析评价。</w:t>
      </w:r>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首先按照指标体系进行定量、定性分析。其次开展量化打分、综合评价工作，形成初步评价结论。最后归纳整体项目情况与存在问题，撰写部门绩效评价报告。</w:t>
      </w:r>
    </w:p>
    <w:p>
      <w:pPr>
        <w:pStyle w:val="21"/>
        <w:spacing w:line="600" w:lineRule="exact"/>
        <w:ind w:firstLine="640"/>
        <w:rPr>
          <w:rFonts w:ascii="仿宋_GB2312" w:hAnsi="仿宋_GB2312" w:cs="仿宋_GB2312"/>
          <w:sz w:val="32"/>
          <w:szCs w:val="32"/>
        </w:rPr>
      </w:pPr>
      <w:bookmarkStart w:id="13" w:name="_Toc2618"/>
      <w:r>
        <w:rPr>
          <w:rFonts w:hint="eastAsia" w:ascii="仿宋_GB2312" w:hAnsi="仿宋_GB2312" w:cs="仿宋_GB2312"/>
          <w:sz w:val="32"/>
          <w:szCs w:val="32"/>
        </w:rPr>
        <w:t>第四阶段：撰写与提交评价报告</w:t>
      </w:r>
      <w:bookmarkEnd w:id="13"/>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项目撰写绩效评价报告，按照财政局大平台绩效系统中统一格式和文本框架撰写绩效评价报告。</w:t>
      </w:r>
    </w:p>
    <w:p>
      <w:pPr>
        <w:pStyle w:val="21"/>
        <w:spacing w:line="600" w:lineRule="exact"/>
        <w:ind w:firstLine="640"/>
        <w:rPr>
          <w:rFonts w:ascii="仿宋_GB2312" w:hAnsi="仿宋_GB2312" w:cs="仿宋_GB2312"/>
          <w:sz w:val="32"/>
          <w:szCs w:val="32"/>
        </w:rPr>
      </w:pPr>
      <w:bookmarkStart w:id="14" w:name="_Toc5055"/>
      <w:r>
        <w:rPr>
          <w:rFonts w:hint="eastAsia" w:ascii="仿宋_GB2312" w:hAnsi="仿宋_GB2312" w:cs="仿宋_GB2312"/>
          <w:sz w:val="32"/>
          <w:szCs w:val="32"/>
        </w:rPr>
        <w:t>第五阶段：归集档案</w:t>
      </w:r>
      <w:bookmarkEnd w:id="14"/>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建立和落实档案管理制度，将项目相关资料存档，包括但不限于：评价项目基本情况和相关文件、评价实施方案、项目支付资料等相关档案。</w:t>
      </w:r>
    </w:p>
    <w:p>
      <w:pPr>
        <w:pStyle w:val="3"/>
        <w:numPr>
          <w:ilvl w:val="0"/>
          <w:numId w:val="5"/>
        </w:numPr>
        <w:spacing w:line="600" w:lineRule="exact"/>
        <w:ind w:firstLine="640"/>
        <w:rPr>
          <w:szCs w:val="32"/>
        </w:rPr>
      </w:pPr>
      <w:r>
        <w:rPr>
          <w:rFonts w:hint="eastAsia"/>
          <w:szCs w:val="32"/>
        </w:rPr>
        <w:t>综合评价情况及评价结论</w:t>
      </w:r>
    </w:p>
    <w:p>
      <w:pPr>
        <w:pStyle w:val="23"/>
        <w:spacing w:before="0" w:after="0" w:line="600" w:lineRule="exact"/>
        <w:ind w:left="560"/>
        <w:rPr>
          <w:rFonts w:ascii="仿宋_GB2312" w:hAnsi="仿宋_GB2312" w:cs="仿宋_GB2312"/>
          <w:sz w:val="32"/>
        </w:rPr>
      </w:pPr>
      <w:bookmarkStart w:id="15" w:name="_Toc68364665"/>
      <w:r>
        <w:rPr>
          <w:rFonts w:hint="eastAsia" w:ascii="仿宋_GB2312" w:hAnsi="仿宋_GB2312" w:cs="仿宋_GB2312"/>
          <w:sz w:val="32"/>
        </w:rPr>
        <w:t>（一）综合评价情况</w:t>
      </w:r>
      <w:bookmarkEnd w:id="15"/>
    </w:p>
    <w:p>
      <w:pPr>
        <w:spacing w:line="600" w:lineRule="exact"/>
        <w:ind w:firstLine="640"/>
        <w:rPr>
          <w:rFonts w:ascii="仿宋_GB2312"/>
          <w:sz w:val="32"/>
          <w:szCs w:val="32"/>
        </w:rPr>
      </w:pPr>
      <w:r>
        <w:rPr>
          <w:rFonts w:hint="eastAsia" w:ascii="仿宋_GB2312" w:hAnsi="仿宋_GB2312" w:cs="仿宋_GB2312"/>
          <w:kern w:val="0"/>
          <w:sz w:val="32"/>
          <w:szCs w:val="32"/>
        </w:rPr>
        <w:t>通过基本公共卫生服务补助资金项目的实施，解决了广大人民群众看病难、就医难的问题，实现了初级卫生保健服务，改善人民生活质量，带来良好的社会效益，该项目预算执行率达100.0%，项目预期绩效目标及各项具体指标均已全部达成。</w:t>
      </w:r>
    </w:p>
    <w:p>
      <w:pPr>
        <w:pStyle w:val="23"/>
        <w:spacing w:before="0" w:after="0" w:line="600" w:lineRule="exact"/>
        <w:ind w:left="560"/>
        <w:rPr>
          <w:rFonts w:ascii="仿宋_GB2312" w:hAnsi="仿宋_GB2312" w:cs="仿宋_GB2312"/>
          <w:sz w:val="32"/>
        </w:rPr>
      </w:pPr>
      <w:r>
        <w:rPr>
          <w:rFonts w:hint="eastAsia" w:ascii="仿宋_GB2312" w:hAnsi="仿宋_GB2312" w:cs="仿宋_GB2312"/>
          <w:sz w:val="32"/>
        </w:rPr>
        <w:t>（二）综合评价结论</w:t>
      </w:r>
    </w:p>
    <w:p>
      <w:pPr>
        <w:spacing w:line="600" w:lineRule="exact"/>
        <w:ind w:firstLine="640"/>
        <w:rPr>
          <w:rFonts w:ascii="仿宋_GB2312"/>
          <w:color w:val="FF0000"/>
          <w:sz w:val="32"/>
          <w:szCs w:val="32"/>
        </w:rPr>
      </w:pPr>
      <w:r>
        <w:rPr>
          <w:rFonts w:hint="eastAsia" w:ascii="仿宋_GB2312" w:hAnsi="仿宋_GB2312" w:cs="仿宋_GB2312"/>
          <w:kern w:val="0"/>
          <w:sz w:val="32"/>
          <w:szCs w:val="32"/>
        </w:rPr>
        <w:t>本次评价采取定量与定性评价相结合的方式，对基本公共卫生服务补助资金项目的绩效目标和各项具体绩效</w:t>
      </w:r>
      <w:r>
        <w:rPr>
          <w:rFonts w:hint="eastAsia" w:ascii="仿宋_GB2312"/>
          <w:sz w:val="32"/>
          <w:szCs w:val="32"/>
        </w:rPr>
        <w:t>指标实现情况</w:t>
      </w:r>
      <w:r>
        <w:rPr>
          <w:rFonts w:hint="eastAsia" w:ascii="仿宋_GB2312" w:hAnsi="仿宋_GB2312" w:cs="仿宋_GB2312"/>
          <w:kern w:val="0"/>
          <w:sz w:val="32"/>
          <w:szCs w:val="32"/>
        </w:rPr>
        <w:t>进行了客观评价，最终评分为98.90分。绩效评级为“优”，具体得分情况为：项目决策15.00分、项目过程15.00分、项目产出38.90分、项目效益20.00分、项目满意度10.00分。</w:t>
      </w:r>
    </w:p>
    <w:p>
      <w:pPr>
        <w:pStyle w:val="3"/>
        <w:spacing w:line="600" w:lineRule="exact"/>
        <w:ind w:firstLine="640"/>
        <w:rPr>
          <w:szCs w:val="32"/>
        </w:rPr>
      </w:pPr>
      <w:r>
        <w:rPr>
          <w:rFonts w:hint="eastAsia"/>
          <w:szCs w:val="32"/>
        </w:rPr>
        <w:t>四、绩效评价指标分析</w:t>
      </w:r>
    </w:p>
    <w:p>
      <w:pPr>
        <w:pStyle w:val="4"/>
        <w:spacing w:line="600" w:lineRule="exact"/>
        <w:ind w:firstLine="640"/>
        <w:rPr>
          <w:rFonts w:ascii="楷体_GB2312" w:eastAsia="楷体_GB2312"/>
          <w:szCs w:val="32"/>
        </w:rPr>
      </w:pPr>
      <w:r>
        <w:rPr>
          <w:rFonts w:hint="eastAsia" w:ascii="楷体_GB2312" w:eastAsia="楷体_GB2312"/>
          <w:szCs w:val="32"/>
        </w:rPr>
        <w:t>（一）项目决策情况</w:t>
      </w:r>
    </w:p>
    <w:p>
      <w:pPr>
        <w:spacing w:line="600" w:lineRule="exact"/>
        <w:ind w:firstLine="640"/>
        <w:rPr>
          <w:rFonts w:ascii="仿宋_GB2312" w:hAnsi="仿宋_GB2312" w:cs="仿宋_GB2312"/>
          <w:kern w:val="0"/>
          <w:sz w:val="32"/>
          <w:szCs w:val="32"/>
        </w:rPr>
      </w:pPr>
      <w:r>
        <w:rPr>
          <w:rFonts w:hint="eastAsia" w:ascii="仿宋_GB2312" w:hAnsi="仿宋_GB2312" w:cs="仿宋_GB2312"/>
          <w:kern w:val="0"/>
          <w:sz w:val="32"/>
          <w:szCs w:val="32"/>
        </w:rPr>
        <w:t>项目决策类指标从项目立项、绩效目标和资金投入三个方面评价项目前期准备工作，权重分值为 15 分，本项目实际得分15.00分，得分率为100.0%。具体各项指标得分如下：</w:t>
      </w:r>
    </w:p>
    <w:p>
      <w:pPr>
        <w:pStyle w:val="24"/>
        <w:spacing w:line="600" w:lineRule="exact"/>
        <w:ind w:firstLine="734"/>
        <w:rPr>
          <w:rFonts w:hAnsi="仿宋_GB2312" w:cs="仿宋_GB2312"/>
          <w:color w:val="auto"/>
          <w:spacing w:val="0"/>
          <w:kern w:val="0"/>
        </w:rPr>
      </w:pPr>
      <w:r>
        <w:rPr>
          <w:rFonts w:hint="eastAsia" w:cs="仿宋_GB2312"/>
          <w:b/>
          <w:bCs/>
        </w:rPr>
        <w:t>1.立项依据充分性：</w:t>
      </w:r>
      <w:r>
        <w:rPr>
          <w:rFonts w:hint="eastAsia" w:hAnsi="仿宋_GB2312" w:cs="仿宋_GB2312"/>
          <w:color w:val="auto"/>
          <w:spacing w:val="0"/>
          <w:kern w:val="0"/>
        </w:rPr>
        <w:t>本项目是由沙湾市妇幼保健计划生育服务中心单位提出申报，2023年我单位根据塔城地区财政局《关于拨付2023年中央基本公共卫生服务补助资金（第二批）的通知》（塔地财预〔2023〕25号）以及《关于拨付2023年自治区基本公共卫生服务补助资金（第二批）的通知》（塔地财预〔2023〕17号）文件要求组织实施该项目。项目立项符合国家法律法规、自治区和地区行业发展规划和政策要求，属于本部门履职所需。根据评分标准，该指标2.5分，得2.5分。</w:t>
      </w:r>
    </w:p>
    <w:p>
      <w:pPr>
        <w:pStyle w:val="21"/>
        <w:spacing w:line="560" w:lineRule="exact"/>
        <w:ind w:firstLine="664"/>
        <w:rPr>
          <w:rFonts w:ascii="仿宋_GB2312" w:hAnsi="仿宋" w:cstheme="minorBidi"/>
          <w:kern w:val="2"/>
          <w:sz w:val="32"/>
          <w:szCs w:val="32"/>
        </w:rPr>
      </w:pPr>
      <w:r>
        <w:rPr>
          <w:rFonts w:hint="eastAsia" w:ascii="仿宋_GB2312" w:cs="仿宋_GB2312"/>
          <w:b/>
          <w:bCs/>
          <w:color w:val="000000"/>
          <w:spacing w:val="6"/>
          <w:kern w:val="2"/>
          <w:sz w:val="32"/>
          <w:szCs w:val="32"/>
        </w:rPr>
        <w:t>2.立项程序规范性</w:t>
      </w:r>
      <w:r>
        <w:rPr>
          <w:rFonts w:hint="eastAsia" w:cs="仿宋_GB2312"/>
          <w:b/>
          <w:bCs/>
        </w:rPr>
        <w:t>：</w:t>
      </w:r>
      <w:r>
        <w:rPr>
          <w:rFonts w:hint="eastAsia" w:ascii="仿宋_GB2312" w:hAnsi="仿宋_GB2312" w:cs="仿宋_GB2312"/>
          <w:sz w:val="32"/>
          <w:szCs w:val="32"/>
        </w:rPr>
        <w:t>沙湾市妇幼保健计划生育服务中心依据《沙湾市妇幼保健计划生育服务中</w:t>
      </w:r>
      <w:r>
        <w:rPr>
          <w:rFonts w:hint="eastAsia" w:ascii="仿宋_GB2312" w:hAnsi="仿宋_GB2312" w:cs="仿宋_GB2312"/>
          <w:sz w:val="32"/>
          <w:szCs w:val="32"/>
          <w:lang w:eastAsia="zh-CN"/>
        </w:rPr>
        <w:t>心</w:t>
      </w:r>
      <w:r>
        <w:rPr>
          <w:rFonts w:hint="eastAsia" w:ascii="仿宋_GB2312" w:hAnsi="仿宋_GB2312" w:cs="仿宋_GB2312"/>
          <w:sz w:val="32"/>
          <w:szCs w:val="32"/>
        </w:rPr>
        <w:t>2023年中央转移支付妇幼保健机构能力建设项目实施方案》，成立项目领导小组，项目决策程序合规合法。由项目领导小组严格按照党组会议议事决策规则，通过党组2023年第2次党组领导集体研究决策，并形成议题、成员讨论、决议、成员签字确认的集体议事记录。</w:t>
      </w:r>
    </w:p>
    <w:p>
      <w:pPr>
        <w:pStyle w:val="24"/>
        <w:spacing w:line="600" w:lineRule="exact"/>
        <w:ind w:firstLine="0" w:firstLineChars="0"/>
        <w:rPr>
          <w:rFonts w:hAnsi="仿宋_GB2312" w:cs="仿宋_GB2312"/>
          <w:color w:val="auto"/>
          <w:spacing w:val="0"/>
          <w:kern w:val="0"/>
        </w:rPr>
      </w:pPr>
      <w:r>
        <w:rPr>
          <w:rFonts w:hint="eastAsia" w:hAnsi="仿宋_GB2312" w:cs="仿宋_GB2312"/>
          <w:color w:val="auto"/>
          <w:spacing w:val="0"/>
          <w:kern w:val="0"/>
        </w:rPr>
        <w:t>根据评分标准，该指标2.5分，得2.5分。</w:t>
      </w:r>
    </w:p>
    <w:p>
      <w:pPr>
        <w:spacing w:line="600" w:lineRule="exact"/>
        <w:ind w:firstLine="640"/>
        <w:rPr>
          <w:rFonts w:ascii="仿宋_GB2312" w:hAnsi="仿宋_GB2312" w:cs="仿宋_GB2312"/>
          <w:kern w:val="0"/>
          <w:sz w:val="32"/>
          <w:szCs w:val="32"/>
        </w:rPr>
      </w:pPr>
      <w:r>
        <w:rPr>
          <w:rFonts w:hint="eastAsia" w:ascii="仿宋_GB2312" w:cs="仿宋_GB2312"/>
          <w:b/>
          <w:bCs/>
          <w:sz w:val="32"/>
          <w:szCs w:val="32"/>
        </w:rPr>
        <w:t>3.绩效目标合理性</w:t>
      </w:r>
      <w:r>
        <w:rPr>
          <w:rFonts w:hint="eastAsia" w:ascii="仿宋_GB2312" w:cs="仿宋_GB2312"/>
          <w:sz w:val="32"/>
          <w:szCs w:val="32"/>
        </w:rPr>
        <w:t>：</w:t>
      </w:r>
      <w:r>
        <w:rPr>
          <w:rFonts w:hint="eastAsia" w:ascii="仿宋_GB2312" w:hAnsi="仿宋_GB2312" w:cs="仿宋_GB2312"/>
          <w:kern w:val="0"/>
          <w:sz w:val="32"/>
          <w:szCs w:val="32"/>
        </w:rPr>
        <w:t>本项目制定了项目支出绩效目标，明确了项目总体思路及总目标、并对项目任务进行了详细分解，对目标进行了细化。根据评分标准，该指标3分，得3分。</w:t>
      </w:r>
    </w:p>
    <w:p>
      <w:pPr>
        <w:spacing w:line="600" w:lineRule="exact"/>
        <w:ind w:firstLine="640"/>
        <w:rPr>
          <w:rFonts w:ascii="仿宋_GB2312" w:hAnsi="仿宋_GB2312" w:cs="仿宋_GB2312"/>
          <w:kern w:val="0"/>
          <w:sz w:val="32"/>
          <w:szCs w:val="32"/>
        </w:rPr>
      </w:pPr>
      <w:r>
        <w:rPr>
          <w:rFonts w:hint="eastAsia" w:ascii="仿宋_GB2312" w:cs="仿宋_GB2312"/>
          <w:b/>
          <w:bCs/>
          <w:sz w:val="32"/>
          <w:szCs w:val="32"/>
        </w:rPr>
        <w:t>4.绩效指标明确性：</w:t>
      </w:r>
      <w:r>
        <w:rPr>
          <w:rFonts w:hint="eastAsia" w:ascii="仿宋_GB2312" w:hAnsi="仿宋_GB2312" w:cs="仿宋_GB2312"/>
          <w:kern w:val="0"/>
          <w:sz w:val="32"/>
          <w:szCs w:val="32"/>
        </w:rPr>
        <w:t>本项目已将项目绩效目标细化分解为具体的绩效指标，并通过清晰、可衡量的指标值予以体现，与项目目标任务数或计划数相对应。根据评分标准，该指标2分，得2分。</w:t>
      </w:r>
    </w:p>
    <w:p>
      <w:pPr>
        <w:pStyle w:val="21"/>
        <w:spacing w:line="560" w:lineRule="exact"/>
        <w:ind w:firstLine="640"/>
        <w:rPr>
          <w:rFonts w:ascii="仿宋_GB2312" w:cs="仿宋_GB2312"/>
          <w:color w:val="FF0000"/>
          <w:sz w:val="32"/>
          <w:szCs w:val="32"/>
        </w:rPr>
      </w:pPr>
      <w:r>
        <w:rPr>
          <w:rFonts w:hint="eastAsia" w:ascii="仿宋_GB2312" w:cs="仿宋_GB2312"/>
          <w:b/>
          <w:bCs/>
          <w:sz w:val="32"/>
          <w:szCs w:val="32"/>
        </w:rPr>
        <w:t>5.预算编制科学性：</w:t>
      </w:r>
      <w:r>
        <w:rPr>
          <w:rFonts w:hint="eastAsia" w:ascii="仿宋_GB2312" w:hAnsi="仿宋_GB2312" w:cs="仿宋_GB2312"/>
          <w:sz w:val="32"/>
          <w:szCs w:val="32"/>
        </w:rPr>
        <w:t>单位通过编制项目实施方案等管理手段，实现了“事前有预算”，编制了有依据及原则的项目投资预算，使项目预算有据可依。根据评分标准，该指标3分，得3分。</w:t>
      </w:r>
    </w:p>
    <w:p>
      <w:pPr>
        <w:spacing w:line="600" w:lineRule="exact"/>
        <w:ind w:firstLine="640"/>
        <w:rPr>
          <w:rFonts w:ascii="仿宋_GB2312" w:hAnsi="仿宋_GB2312" w:cs="仿宋_GB2312"/>
          <w:kern w:val="0"/>
          <w:sz w:val="32"/>
          <w:szCs w:val="32"/>
        </w:rPr>
      </w:pPr>
      <w:r>
        <w:rPr>
          <w:rFonts w:hint="eastAsia" w:ascii="仿宋_GB2312" w:cs="仿宋_GB2312"/>
          <w:b/>
          <w:bCs/>
          <w:sz w:val="32"/>
          <w:szCs w:val="32"/>
        </w:rPr>
        <w:t>6.资金分配合理性：</w:t>
      </w:r>
      <w:r>
        <w:rPr>
          <w:rFonts w:hint="eastAsia" w:ascii="仿宋_GB2312" w:hAnsi="仿宋_GB2312" w:cs="仿宋_GB2312"/>
          <w:kern w:val="0"/>
          <w:sz w:val="32"/>
          <w:szCs w:val="32"/>
        </w:rPr>
        <w:t>本项目资金分配依据充分，资金分配额度合理，与项目地方实际相适应。根据评分标准，该指标2分，得2分。</w:t>
      </w:r>
    </w:p>
    <w:p>
      <w:pPr>
        <w:pStyle w:val="4"/>
        <w:spacing w:line="600" w:lineRule="exact"/>
        <w:ind w:firstLine="640"/>
        <w:rPr>
          <w:rFonts w:ascii="楷体_GB2312" w:eastAsia="楷体_GB2312"/>
          <w:szCs w:val="32"/>
        </w:rPr>
      </w:pPr>
      <w:r>
        <w:rPr>
          <w:rFonts w:hint="eastAsia" w:ascii="楷体_GB2312" w:eastAsia="楷体_GB2312"/>
          <w:szCs w:val="32"/>
        </w:rPr>
        <w:t>（二）项目过程情况</w:t>
      </w:r>
    </w:p>
    <w:p>
      <w:pPr>
        <w:overflowPunct w:val="0"/>
        <w:spacing w:line="600" w:lineRule="exact"/>
        <w:ind w:firstLine="640"/>
        <w:contextualSpacing/>
        <w:rPr>
          <w:rFonts w:ascii="仿宋_GB2312" w:hAnsi="仿宋_GB2312" w:cs="仿宋_GB2312"/>
          <w:sz w:val="32"/>
          <w:szCs w:val="32"/>
        </w:rPr>
      </w:pPr>
      <w:r>
        <w:rPr>
          <w:rFonts w:hint="eastAsia" w:ascii="仿宋_GB2312" w:hAnsi="仿宋_GB2312" w:cs="仿宋_GB2312"/>
          <w:kern w:val="0"/>
          <w:sz w:val="32"/>
          <w:szCs w:val="32"/>
        </w:rPr>
        <w:t>项目过程类指标包括资金管理和组织实施两方面的内容，由 5个三级指标构成，权重分值为 15 分，本项目实际得分15.00分，得分率为100.0%。具体各项指标得分如下：</w:t>
      </w:r>
    </w:p>
    <w:p>
      <w:pPr>
        <w:spacing w:line="600" w:lineRule="exact"/>
        <w:ind w:firstLine="640"/>
        <w:rPr>
          <w:rFonts w:ascii="仿宋_GB2312" w:cs="仿宋_GB2312"/>
          <w:color w:val="FF0000"/>
          <w:sz w:val="32"/>
          <w:szCs w:val="32"/>
        </w:rPr>
      </w:pPr>
      <w:r>
        <w:rPr>
          <w:rFonts w:hint="eastAsia" w:ascii="仿宋_GB2312" w:cs="仿宋_GB2312"/>
          <w:b/>
          <w:bCs/>
          <w:sz w:val="32"/>
          <w:szCs w:val="32"/>
        </w:rPr>
        <w:t>1.资金到位率：</w:t>
      </w:r>
      <w:r>
        <w:rPr>
          <w:rFonts w:hint="eastAsia" w:ascii="仿宋_GB2312" w:hAnsi="仿宋_GB2312" w:cs="仿宋_GB2312"/>
          <w:kern w:val="0"/>
          <w:sz w:val="32"/>
          <w:szCs w:val="32"/>
        </w:rPr>
        <w:t xml:space="preserve">该项目所需财政资金能够足额拨付到位，牵头单位能够及时足额按照合同约定将专项资金拨付给单位，根据评分标准，该指标2分，得2分。  </w:t>
      </w:r>
    </w:p>
    <w:p>
      <w:pPr>
        <w:spacing w:line="600" w:lineRule="exact"/>
        <w:ind w:firstLine="640"/>
        <w:rPr>
          <w:rFonts w:ascii="仿宋_GB2312" w:hAnsi="仿宋_GB2312" w:cs="仿宋_GB2312"/>
          <w:kern w:val="0"/>
          <w:sz w:val="32"/>
          <w:szCs w:val="32"/>
        </w:rPr>
      </w:pPr>
      <w:r>
        <w:rPr>
          <w:rFonts w:hint="eastAsia" w:ascii="仿宋_GB2312" w:cs="仿宋_GB2312"/>
          <w:b/>
          <w:bCs/>
          <w:sz w:val="32"/>
          <w:szCs w:val="32"/>
        </w:rPr>
        <w:t>2.预算执行率：</w:t>
      </w:r>
      <w:r>
        <w:rPr>
          <w:rFonts w:hint="eastAsia" w:ascii="仿宋_GB2312" w:hAnsi="仿宋_GB2312" w:cs="仿宋_GB2312"/>
          <w:kern w:val="0"/>
          <w:sz w:val="32"/>
          <w:szCs w:val="32"/>
        </w:rPr>
        <w:t>本项目预算编制较为详细，预算资金200.00万元，实际执行200.00万元，预算执行率为100.0%，项目资金支出总体能够按照预算执行，根据评分标准，该指标2分，得2分。</w:t>
      </w:r>
    </w:p>
    <w:p>
      <w:pPr>
        <w:spacing w:line="600" w:lineRule="exact"/>
        <w:ind w:firstLine="640"/>
        <w:rPr>
          <w:rFonts w:ascii="仿宋_GB2312" w:hAnsi="仿宋_GB2312" w:cs="仿宋_GB2312"/>
          <w:kern w:val="0"/>
          <w:sz w:val="32"/>
          <w:szCs w:val="32"/>
        </w:rPr>
      </w:pPr>
      <w:r>
        <w:rPr>
          <w:rFonts w:hint="eastAsia" w:ascii="仿宋_GB2312" w:cs="仿宋_GB2312"/>
          <w:b/>
          <w:bCs/>
          <w:sz w:val="32"/>
          <w:szCs w:val="32"/>
        </w:rPr>
        <w:t>3.资金使用合规性：</w:t>
      </w:r>
      <w:r>
        <w:rPr>
          <w:rFonts w:hint="eastAsia" w:ascii="仿宋_GB2312" w:hAnsi="仿宋_GB2312" w:cs="仿宋_GB2312"/>
          <w:kern w:val="0"/>
          <w:sz w:val="32"/>
          <w:szCs w:val="32"/>
        </w:rPr>
        <w:t>项目任务下达后，我单位制定了《沙湾市妇幼保健计划生育服务中</w:t>
      </w:r>
      <w:r>
        <w:rPr>
          <w:rFonts w:hint="eastAsia" w:ascii="仿宋_GB2312" w:hAnsi="仿宋_GB2312" w:cs="仿宋_GB2312"/>
          <w:kern w:val="0"/>
          <w:sz w:val="32"/>
          <w:szCs w:val="32"/>
          <w:lang w:eastAsia="zh-CN"/>
        </w:rPr>
        <w:t>心</w:t>
      </w:r>
      <w:r>
        <w:rPr>
          <w:rFonts w:hint="eastAsia" w:ascii="仿宋_GB2312" w:hAnsi="仿宋_GB2312" w:cs="仿宋_GB2312"/>
          <w:kern w:val="0"/>
          <w:sz w:val="32"/>
          <w:szCs w:val="32"/>
        </w:rPr>
        <w:t>2023年中央转移支付妇幼保健机构能力建设项目实施方案》制度和管理规定对经费使用进行规范管理，财务制度健全、执行严格；根据评分标准，该指标3分，得3分。</w:t>
      </w:r>
    </w:p>
    <w:p>
      <w:pPr>
        <w:spacing w:line="600" w:lineRule="exact"/>
        <w:ind w:firstLine="640"/>
        <w:rPr>
          <w:rFonts w:ascii="仿宋_GB2312" w:hAnsi="仿宋_GB2312" w:cs="仿宋_GB2312"/>
          <w:kern w:val="0"/>
          <w:sz w:val="32"/>
          <w:szCs w:val="32"/>
        </w:rPr>
      </w:pPr>
      <w:r>
        <w:rPr>
          <w:rFonts w:hint="eastAsia" w:ascii="仿宋_GB2312" w:cs="仿宋_GB2312"/>
          <w:b/>
          <w:bCs/>
          <w:sz w:val="32"/>
          <w:szCs w:val="32"/>
        </w:rPr>
        <w:t>4.管理制度健全性：</w:t>
      </w:r>
      <w:r>
        <w:rPr>
          <w:rFonts w:hint="eastAsia" w:ascii="仿宋_GB2312" w:hAnsi="仿宋_GB2312" w:cs="仿宋_GB2312"/>
          <w:kern w:val="0"/>
          <w:sz w:val="32"/>
          <w:szCs w:val="32"/>
        </w:rPr>
        <w:t>我单位制定了《沙湾市妇幼保健计划生育服务中</w:t>
      </w:r>
      <w:r>
        <w:rPr>
          <w:rFonts w:hint="eastAsia" w:ascii="仿宋_GB2312" w:hAnsi="仿宋_GB2312" w:cs="仿宋_GB2312"/>
          <w:kern w:val="0"/>
          <w:sz w:val="32"/>
          <w:szCs w:val="32"/>
          <w:lang w:eastAsia="zh-CN"/>
        </w:rPr>
        <w:t>心</w:t>
      </w:r>
      <w:r>
        <w:rPr>
          <w:rFonts w:hint="eastAsia" w:ascii="仿宋_GB2312" w:hAnsi="仿宋_GB2312" w:cs="仿宋_GB2312"/>
          <w:kern w:val="0"/>
          <w:sz w:val="32"/>
          <w:szCs w:val="32"/>
        </w:rPr>
        <w:t>基本公共卫生项目实施方案》等相关项目实施方案，同时对财政专项资金进行严格管理，基本做到了专款专用，根据评分标准，该指标4分，得4分。</w:t>
      </w:r>
    </w:p>
    <w:p>
      <w:pPr>
        <w:spacing w:line="600" w:lineRule="exact"/>
        <w:ind w:firstLine="640"/>
        <w:rPr>
          <w:rFonts w:ascii="仿宋_GB2312" w:hAnsi="仿宋_GB2312" w:cs="仿宋_GB2312"/>
          <w:kern w:val="0"/>
          <w:sz w:val="32"/>
          <w:szCs w:val="32"/>
        </w:rPr>
      </w:pPr>
      <w:r>
        <w:rPr>
          <w:rFonts w:hint="eastAsia" w:ascii="仿宋_GB2312" w:cs="仿宋_GB2312"/>
          <w:b/>
          <w:bCs/>
          <w:sz w:val="32"/>
          <w:szCs w:val="32"/>
        </w:rPr>
        <w:t>5.制度执行有效性</w:t>
      </w:r>
      <w:r>
        <w:rPr>
          <w:rFonts w:hint="eastAsia" w:ascii="仿宋_GB2312" w:cs="仿宋_GB2312"/>
          <w:sz w:val="32"/>
          <w:szCs w:val="32"/>
        </w:rPr>
        <w:t>：</w:t>
      </w:r>
      <w:r>
        <w:rPr>
          <w:rFonts w:hint="eastAsia" w:ascii="仿宋_GB2312" w:hAnsi="仿宋_GB2312" w:cs="仿宋_GB2312"/>
          <w:kern w:val="0"/>
          <w:sz w:val="32"/>
          <w:szCs w:val="32"/>
        </w:rPr>
        <w:t>由各科室提出经费预算支出可行性方案，经过与院领导沟通后，院委会会议研究执行，财务对资金的使用合法合规性进行监督，年底对资金使用效果进行自评，根据评分标准，该指标4分，得4分。</w:t>
      </w:r>
    </w:p>
    <w:p>
      <w:pPr>
        <w:pStyle w:val="4"/>
        <w:spacing w:line="600" w:lineRule="exact"/>
        <w:ind w:firstLine="640"/>
        <w:rPr>
          <w:rFonts w:ascii="楷体_GB2312" w:eastAsia="楷体_GB2312"/>
          <w:szCs w:val="32"/>
        </w:rPr>
      </w:pPr>
      <w:r>
        <w:rPr>
          <w:rFonts w:hint="eastAsia" w:ascii="楷体_GB2312" w:eastAsia="楷体_GB2312"/>
          <w:szCs w:val="32"/>
        </w:rPr>
        <w:t>（三）项目产出情况</w:t>
      </w:r>
    </w:p>
    <w:p>
      <w:pPr>
        <w:overflowPunct w:val="0"/>
        <w:spacing w:line="600" w:lineRule="exact"/>
        <w:ind w:firstLine="640"/>
        <w:contextualSpacing/>
        <w:rPr>
          <w:rFonts w:ascii="仿宋_GB2312" w:hAnsi="仿宋_GB2312" w:cs="仿宋_GB2312"/>
          <w:sz w:val="32"/>
          <w:szCs w:val="32"/>
        </w:rPr>
      </w:pPr>
      <w:r>
        <w:rPr>
          <w:rFonts w:hint="eastAsia" w:ascii="仿宋_GB2312" w:hAnsi="仿宋_GB2312" w:cs="仿宋_GB2312"/>
          <w:kern w:val="0"/>
          <w:sz w:val="32"/>
          <w:szCs w:val="32"/>
        </w:rPr>
        <w:t>项目产出类指标包括产出数量、产出质量、产出时效、产出成本共四方面的内容，由4个三级指标构成，权重分为40分，本项目实际得分40.00分，得分率为100.0%。具体各项指标得分如下：</w:t>
      </w:r>
    </w:p>
    <w:p>
      <w:pPr>
        <w:spacing w:line="600" w:lineRule="exact"/>
        <w:ind w:firstLineChars="0"/>
        <w:rPr>
          <w:rFonts w:ascii="仿宋_GB2312" w:hAnsi="仿宋_GB2312" w:cs="仿宋_GB2312"/>
          <w:b/>
          <w:bCs/>
          <w:sz w:val="32"/>
          <w:szCs w:val="32"/>
        </w:rPr>
      </w:pPr>
      <w:r>
        <w:rPr>
          <w:rFonts w:hint="eastAsia" w:ascii="仿宋_GB2312" w:hAnsi="仿宋_GB2312" w:cs="仿宋_GB2312"/>
          <w:b/>
          <w:bCs/>
          <w:sz w:val="32"/>
          <w:szCs w:val="32"/>
        </w:rPr>
        <w:t>1. 产出数量</w:t>
      </w:r>
    </w:p>
    <w:p>
      <w:pPr>
        <w:overflowPunct w:val="0"/>
        <w:spacing w:line="600" w:lineRule="exact"/>
        <w:ind w:firstLine="640"/>
        <w:contextualSpacing/>
        <w:rPr>
          <w:rFonts w:ascii="仿宋_GB2312" w:hAnsi="仿宋_GB2312" w:cs="仿宋_GB2312"/>
          <w:kern w:val="0"/>
          <w:sz w:val="32"/>
          <w:szCs w:val="32"/>
        </w:rPr>
      </w:pPr>
      <w:r>
        <w:rPr>
          <w:rFonts w:hint="eastAsia" w:ascii="仿宋_GB2312" w:hAnsi="仿宋_GB2312" w:cs="仿宋_GB2312"/>
          <w:kern w:val="0"/>
          <w:sz w:val="32"/>
          <w:szCs w:val="32"/>
        </w:rPr>
        <w:t>“两癌筛查数（人）”指标，预期指标值为“大于等于7500人”，根据两癌筛查年度报表可知，实际完成两癌筛查数7500人，与预期目标一致，根据评分标准，该指标2.00分，得2.00分。</w:t>
      </w:r>
    </w:p>
    <w:p>
      <w:pPr>
        <w:overflowPunct w:val="0"/>
        <w:spacing w:line="600" w:lineRule="exact"/>
        <w:ind w:firstLine="640"/>
        <w:contextualSpacing/>
        <w:rPr>
          <w:rFonts w:ascii="仿宋_GB2312" w:hAnsi="仿宋_GB2312" w:cs="仿宋_GB2312"/>
          <w:kern w:val="0"/>
          <w:sz w:val="32"/>
          <w:szCs w:val="32"/>
        </w:rPr>
      </w:pPr>
      <w:r>
        <w:rPr>
          <w:rFonts w:hint="eastAsia" w:ascii="仿宋_GB2312" w:hAnsi="仿宋_GB2312" w:cs="仿宋_GB2312"/>
          <w:kern w:val="0"/>
          <w:sz w:val="32"/>
          <w:szCs w:val="32"/>
        </w:rPr>
        <w:t>“农村计划怀孕夫妇免费孕前优生检查数（对）”指标，预期指标值为“大于等于250对”，根据免费孕前优生年度报表可知，实际完成农村计划怀孕夫妇免费孕前优生检查数250对，与预期目标一致，根据评分标准，该指标2.00分，得2.00分。</w:t>
      </w:r>
    </w:p>
    <w:p>
      <w:pPr>
        <w:overflowPunct w:val="0"/>
        <w:spacing w:line="600" w:lineRule="exact"/>
        <w:ind w:firstLine="640"/>
        <w:contextualSpacing/>
        <w:rPr>
          <w:rFonts w:ascii="仿宋_GB2312" w:hAnsi="仿宋_GB2312" w:cs="仿宋_GB2312"/>
          <w:kern w:val="0"/>
          <w:sz w:val="32"/>
          <w:szCs w:val="32"/>
        </w:rPr>
      </w:pPr>
      <w:r>
        <w:rPr>
          <w:rFonts w:hint="eastAsia" w:ascii="仿宋_GB2312" w:hAnsi="仿宋_GB2312" w:cs="仿宋_GB2312"/>
          <w:kern w:val="0"/>
          <w:sz w:val="32"/>
          <w:szCs w:val="32"/>
        </w:rPr>
        <w:t>“新生儿遗传代谢病筛查数（人）”指标，预期指标值为“大于等于750人”，根据新生儿遗传代谢病年度报表可知，实际完成新生儿遗传代谢病筛查数659人，指标完成率87.87%，偏差率12.13%，造成偏差的原因为：“上级下达任务为750人，但今年出生人数只有666人，做筛查人数为659人”。根据评分标准，该指标扣0.24分，得1.76分。</w:t>
      </w:r>
    </w:p>
    <w:p>
      <w:pPr>
        <w:overflowPunct w:val="0"/>
        <w:spacing w:line="600" w:lineRule="exact"/>
        <w:ind w:firstLine="640"/>
        <w:contextualSpacing/>
        <w:rPr>
          <w:rFonts w:ascii="仿宋_GB2312" w:hAnsi="仿宋_GB2312" w:cs="仿宋_GB2312"/>
          <w:kern w:val="0"/>
          <w:sz w:val="32"/>
          <w:szCs w:val="32"/>
        </w:rPr>
      </w:pPr>
      <w:r>
        <w:rPr>
          <w:rFonts w:hint="eastAsia" w:ascii="仿宋_GB2312" w:hAnsi="仿宋_GB2312" w:cs="仿宋_GB2312"/>
          <w:kern w:val="0"/>
          <w:sz w:val="32"/>
          <w:szCs w:val="32"/>
        </w:rPr>
        <w:t>“新生儿听力筛查数（人）”指标，预期指标值为“大于等于750人，根据新生儿听力年度报表可知，实际完成新生儿听力筛查数659人，指标完成率87.87%，偏差率12.13%，造成偏差的原因为：“上级下达任务为750人，但今年出生人数只有666人，做筛查人数为659人”。根据评分标准，该指标扣0.24分，得1.76分。</w:t>
      </w:r>
    </w:p>
    <w:p>
      <w:pPr>
        <w:overflowPunct w:val="0"/>
        <w:spacing w:line="600" w:lineRule="exact"/>
        <w:ind w:firstLine="640"/>
        <w:contextualSpacing/>
        <w:rPr>
          <w:rFonts w:ascii="仿宋_GB2312" w:hAnsi="仿宋_GB2312" w:cs="仿宋_GB2312"/>
          <w:kern w:val="0"/>
          <w:sz w:val="32"/>
          <w:szCs w:val="32"/>
        </w:rPr>
      </w:pPr>
      <w:r>
        <w:rPr>
          <w:rFonts w:hint="eastAsia" w:ascii="仿宋_GB2312" w:hAnsi="仿宋_GB2312" w:cs="仿宋_GB2312"/>
          <w:kern w:val="0"/>
          <w:sz w:val="32"/>
          <w:szCs w:val="32"/>
        </w:rPr>
        <w:t>“</w:t>
      </w:r>
      <w:r>
        <w:rPr>
          <w:rFonts w:hint="eastAsia" w:ascii="仿宋_GB2312" w:hAnsi="仿宋_GB2312" w:cs="仿宋_GB2312"/>
          <w:kern w:val="0"/>
          <w:sz w:val="32"/>
          <w:szCs w:val="32"/>
          <w:lang w:eastAsia="zh-CN"/>
        </w:rPr>
        <w:t>计划</w:t>
      </w:r>
      <w:r>
        <w:rPr>
          <w:rFonts w:hint="eastAsia" w:ascii="仿宋_GB2312" w:hAnsi="仿宋_GB2312" w:cs="仿宋_GB2312"/>
          <w:kern w:val="0"/>
          <w:sz w:val="32"/>
          <w:szCs w:val="32"/>
        </w:rPr>
        <w:t>人务数（人）”指标，预期指标值为“大于等于750人”。根据叶酸服用年度报表可知，实际完成叶酸任务数884人，指标完成率117.87%，偏差率-17.87%，造成偏差的原因为：“上级下达任务为750人，但今年准备生育的群众增加”。，根据评分标准，该指标2.00分，得2.00分。</w:t>
      </w:r>
    </w:p>
    <w:p>
      <w:pPr>
        <w:spacing w:line="600" w:lineRule="exact"/>
        <w:ind w:firstLine="640"/>
        <w:rPr>
          <w:rFonts w:ascii="仿宋_GB2312"/>
          <w:b/>
          <w:bCs/>
          <w:sz w:val="32"/>
        </w:rPr>
      </w:pPr>
      <w:r>
        <w:rPr>
          <w:rFonts w:hint="eastAsia" w:ascii="仿宋_GB2312"/>
          <w:b/>
          <w:bCs/>
          <w:sz w:val="32"/>
        </w:rPr>
        <w:t>2.产出质量</w:t>
      </w:r>
    </w:p>
    <w:p>
      <w:pPr>
        <w:overflowPunct w:val="0"/>
        <w:spacing w:line="600" w:lineRule="exact"/>
        <w:ind w:firstLine="640"/>
        <w:contextualSpacing/>
        <w:rPr>
          <w:rFonts w:ascii="仿宋_GB2312" w:hAnsi="仿宋_GB2312" w:cs="仿宋_GB2312"/>
          <w:kern w:val="0"/>
          <w:sz w:val="32"/>
          <w:szCs w:val="32"/>
        </w:rPr>
      </w:pPr>
      <w:r>
        <w:rPr>
          <w:rFonts w:hint="eastAsia" w:ascii="仿宋_GB2312" w:hAnsi="仿宋_GB2312" w:cs="仿宋_GB2312"/>
          <w:kern w:val="0"/>
          <w:sz w:val="32"/>
          <w:szCs w:val="32"/>
        </w:rPr>
        <w:t>“两癌筛查目标人群覆盖率（%）”指标，预期指标值为“等于100%”；根据两癌筛查登记表以及年度报表，两癌筛查目标人群覆盖率达到100%，与预期目标一致，根据评分标准，该指标2.00分，得2.00分。</w:t>
      </w:r>
    </w:p>
    <w:p>
      <w:pPr>
        <w:overflowPunct w:val="0"/>
        <w:spacing w:line="600" w:lineRule="exact"/>
        <w:ind w:firstLine="640"/>
        <w:contextualSpacing/>
        <w:rPr>
          <w:rFonts w:ascii="仿宋_GB2312" w:hAnsi="仿宋_GB2312" w:cs="仿宋_GB2312"/>
          <w:kern w:val="0"/>
          <w:sz w:val="32"/>
          <w:szCs w:val="32"/>
        </w:rPr>
      </w:pPr>
      <w:r>
        <w:rPr>
          <w:rFonts w:hint="eastAsia" w:ascii="仿宋_GB2312" w:hAnsi="仿宋_GB2312" w:cs="仿宋_GB2312"/>
          <w:kern w:val="0"/>
          <w:sz w:val="32"/>
          <w:szCs w:val="32"/>
        </w:rPr>
        <w:t>“农村计划怀孕夫妇免费孕前优生检查覆盖率（%）”指标，预期指标值为“大于等于90%”；根据免费孕前优生登记表以及年度报表，农村计划怀孕夫妇免费孕前优生检查覆盖率达到100%，与预期目标一致，根据评分标准，该指标2.00分，得2.00分。</w:t>
      </w:r>
    </w:p>
    <w:p>
      <w:pPr>
        <w:overflowPunct w:val="0"/>
        <w:spacing w:line="600" w:lineRule="exact"/>
        <w:ind w:firstLine="640"/>
        <w:contextualSpacing/>
        <w:rPr>
          <w:rFonts w:ascii="仿宋_GB2312" w:hAnsi="仿宋_GB2312" w:cs="仿宋_GB2312"/>
          <w:kern w:val="0"/>
          <w:sz w:val="32"/>
          <w:szCs w:val="32"/>
        </w:rPr>
      </w:pPr>
      <w:r>
        <w:rPr>
          <w:rFonts w:hint="eastAsia" w:ascii="仿宋_GB2312" w:hAnsi="仿宋_GB2312" w:cs="仿宋_GB2312"/>
          <w:kern w:val="0"/>
          <w:sz w:val="32"/>
          <w:szCs w:val="32"/>
        </w:rPr>
        <w:t>“新生儿遗传代谢病筛查率（%）”指标，预期指标值为“大于等于90%”；根据新生儿遗传代谢病筛查登记表及年度报表，新生儿遗传代谢病筛查率达98.95%，指标完成率109.94%，偏差率-9.94%，造成偏差的原因为：“根据报表人数今年出生人数只有666人，做筛查人数为659人”。根据评分标准，该指标该指标2.00分，得2.00分。</w:t>
      </w:r>
    </w:p>
    <w:p>
      <w:pPr>
        <w:overflowPunct w:val="0"/>
        <w:spacing w:line="600" w:lineRule="exact"/>
        <w:ind w:firstLine="640"/>
        <w:contextualSpacing/>
        <w:rPr>
          <w:rFonts w:ascii="仿宋_GB2312" w:hAnsi="仿宋_GB2312" w:cs="仿宋_GB2312"/>
          <w:kern w:val="0"/>
          <w:sz w:val="32"/>
          <w:szCs w:val="32"/>
        </w:rPr>
      </w:pPr>
    </w:p>
    <w:p>
      <w:pPr>
        <w:overflowPunct w:val="0"/>
        <w:spacing w:line="600" w:lineRule="exact"/>
        <w:ind w:firstLine="640"/>
        <w:contextualSpacing/>
        <w:rPr>
          <w:rFonts w:ascii="仿宋_GB2312" w:hAnsi="仿宋_GB2312" w:cs="仿宋_GB2312"/>
          <w:kern w:val="0"/>
          <w:sz w:val="32"/>
          <w:szCs w:val="32"/>
        </w:rPr>
      </w:pPr>
      <w:r>
        <w:rPr>
          <w:rFonts w:hint="eastAsia" w:ascii="仿宋_GB2312" w:hAnsi="仿宋_GB2312" w:cs="仿宋_GB2312"/>
          <w:kern w:val="0"/>
          <w:sz w:val="32"/>
          <w:szCs w:val="32"/>
        </w:rPr>
        <w:t>“新生儿听力筛查率（%）”指标，预期指标值为“大于等于90%”；根据新生儿听力筛查登记表及年度报表，新生儿听力筛查率达98.95%，指标完成率109.94%，偏差率2.13%，造成偏差的原因为：“根据报表人数今年出生人数只有666人，做筛查人数为659人”。根据评分标准，该指标2.00分，得2.00分。</w:t>
      </w:r>
    </w:p>
    <w:p>
      <w:pPr>
        <w:overflowPunct w:val="0"/>
        <w:spacing w:line="600" w:lineRule="exact"/>
        <w:ind w:firstLine="640"/>
        <w:contextualSpacing/>
        <w:rPr>
          <w:rFonts w:ascii="仿宋_GB2312" w:hAnsi="仿宋_GB2312" w:cs="仿宋_GB2312"/>
          <w:kern w:val="0"/>
          <w:sz w:val="32"/>
          <w:szCs w:val="32"/>
        </w:rPr>
      </w:pPr>
      <w:r>
        <w:rPr>
          <w:rFonts w:hint="eastAsia" w:ascii="仿宋_GB2312" w:hAnsi="仿宋_GB2312" w:cs="仿宋_GB2312"/>
          <w:kern w:val="0"/>
          <w:sz w:val="32"/>
          <w:szCs w:val="32"/>
        </w:rPr>
        <w:t>“目标人群叶酸服用率（%）”指标，预期指标值为“大于等于90%”；根据叶酸服用年度报表，目标人群叶酸服用率达117.87%，指标完成率130.97%，偏差率-30.97%，造成偏差的原因为：“上级下达任务为750人，但今年准备生育的群众增加”，根据评分标准，该指标扣0.62分，得1.38分。</w:t>
      </w:r>
    </w:p>
    <w:p>
      <w:pPr>
        <w:pStyle w:val="6"/>
        <w:spacing w:before="0" w:after="0" w:line="600" w:lineRule="exact"/>
        <w:ind w:left="643" w:firstLine="0" w:firstLineChars="0"/>
        <w:jc w:val="both"/>
        <w:rPr>
          <w:rFonts w:ascii="仿宋_GB2312" w:cs="仿宋_GB2312"/>
          <w:bCs/>
          <w:sz w:val="32"/>
          <w:szCs w:val="32"/>
        </w:rPr>
      </w:pPr>
      <w:r>
        <w:rPr>
          <w:rFonts w:hint="eastAsia" w:ascii="仿宋_GB2312" w:cs="仿宋_GB2312"/>
          <w:bCs/>
          <w:sz w:val="32"/>
          <w:szCs w:val="32"/>
        </w:rPr>
        <w:t>3.产出时效</w:t>
      </w:r>
    </w:p>
    <w:p>
      <w:pPr>
        <w:overflowPunct w:val="0"/>
        <w:spacing w:line="600" w:lineRule="exact"/>
        <w:ind w:firstLine="640"/>
        <w:contextualSpacing/>
        <w:rPr>
          <w:rFonts w:ascii="仿宋_GB2312" w:hAnsi="仿宋_GB2312" w:cs="仿宋_GB2312"/>
          <w:kern w:val="0"/>
          <w:sz w:val="32"/>
          <w:szCs w:val="32"/>
        </w:rPr>
      </w:pPr>
      <w:r>
        <w:rPr>
          <w:rFonts w:hint="eastAsia" w:ascii="仿宋_GB2312" w:hAnsi="仿宋_GB2312" w:cs="仿宋_GB2312"/>
          <w:kern w:val="0"/>
          <w:sz w:val="32"/>
          <w:szCs w:val="32"/>
        </w:rPr>
        <w:t>“完成时限”指标，预期指标值为“2023年12月20日前”；根据支付凭证，该项目于2023年12月完成验收，资金已于2023年12月全部支付完毕，与预期目标指标一致，根据评分标准，该指标10.00分，得10.00分。</w:t>
      </w:r>
    </w:p>
    <w:p>
      <w:pPr>
        <w:pStyle w:val="6"/>
        <w:spacing w:before="0" w:after="0" w:line="600" w:lineRule="exact"/>
        <w:ind w:left="643" w:firstLine="0" w:firstLineChars="0"/>
        <w:jc w:val="both"/>
        <w:rPr>
          <w:rFonts w:ascii="仿宋_GB2312" w:cs="仿宋_GB2312"/>
          <w:bCs/>
          <w:sz w:val="32"/>
          <w:szCs w:val="32"/>
        </w:rPr>
      </w:pPr>
      <w:r>
        <w:rPr>
          <w:rFonts w:hint="eastAsia" w:ascii="仿宋_GB2312" w:cs="仿宋_GB2312"/>
          <w:bCs/>
          <w:sz w:val="32"/>
          <w:szCs w:val="32"/>
        </w:rPr>
        <w:t>4.产出成本</w:t>
      </w:r>
    </w:p>
    <w:p>
      <w:pPr>
        <w:overflowPunct w:val="0"/>
        <w:spacing w:line="600" w:lineRule="exact"/>
        <w:ind w:firstLine="640"/>
        <w:contextualSpacing/>
        <w:rPr>
          <w:rFonts w:ascii="仿宋_GB2312" w:hAnsi="仿宋_GB2312" w:cs="仿宋_GB2312"/>
          <w:kern w:val="0"/>
          <w:sz w:val="32"/>
          <w:szCs w:val="32"/>
        </w:rPr>
      </w:pPr>
      <w:r>
        <w:rPr>
          <w:rFonts w:hint="eastAsia" w:ascii="仿宋_GB2312" w:hAnsi="仿宋_GB2312" w:cs="仿宋_GB2312"/>
          <w:kern w:val="0"/>
          <w:sz w:val="32"/>
          <w:szCs w:val="32"/>
        </w:rPr>
        <w:t>经济成本“两癌资金（万元）”指标，预期指标值为“小于等于36万元”，根据资金支付凭证显示，本项目202</w:t>
      </w:r>
      <w:r>
        <w:rPr>
          <w:rFonts w:ascii="仿宋_GB2312" w:hAnsi="仿宋_GB2312" w:cs="仿宋_GB2312"/>
          <w:kern w:val="0"/>
          <w:sz w:val="32"/>
          <w:szCs w:val="32"/>
        </w:rPr>
        <w:t>3</w:t>
      </w:r>
      <w:r>
        <w:rPr>
          <w:rFonts w:hint="eastAsia" w:ascii="仿宋_GB2312" w:hAnsi="仿宋_GB2312" w:cs="仿宋_GB2312"/>
          <w:kern w:val="0"/>
          <w:sz w:val="32"/>
          <w:szCs w:val="32"/>
        </w:rPr>
        <w:t>年共计支付两癌资金36.00万元，经费支出能够控制在年度计划成本范围内，根据评分标准，该指标2.00分，得2.00分。</w:t>
      </w:r>
    </w:p>
    <w:p>
      <w:pPr>
        <w:overflowPunct w:val="0"/>
        <w:spacing w:line="600" w:lineRule="exact"/>
        <w:ind w:firstLine="640"/>
        <w:contextualSpacing/>
        <w:rPr>
          <w:rFonts w:ascii="仿宋_GB2312" w:hAnsi="仿宋_GB2312" w:cs="仿宋_GB2312"/>
          <w:kern w:val="0"/>
          <w:sz w:val="32"/>
          <w:szCs w:val="32"/>
        </w:rPr>
      </w:pPr>
      <w:r>
        <w:rPr>
          <w:rFonts w:hint="eastAsia" w:ascii="仿宋_GB2312" w:hAnsi="仿宋_GB2312" w:cs="仿宋_GB2312"/>
          <w:kern w:val="0"/>
          <w:sz w:val="32"/>
          <w:szCs w:val="32"/>
        </w:rPr>
        <w:t>经济成本“国免孕优资金（万元）”指标，预期指标值为“小于等于7万元”，根据资金支付凭证显示，本项目202</w:t>
      </w:r>
      <w:r>
        <w:rPr>
          <w:rFonts w:ascii="仿宋_GB2312" w:hAnsi="仿宋_GB2312" w:cs="仿宋_GB2312"/>
          <w:kern w:val="0"/>
          <w:sz w:val="32"/>
          <w:szCs w:val="32"/>
        </w:rPr>
        <w:t>3</w:t>
      </w:r>
      <w:r>
        <w:rPr>
          <w:rFonts w:hint="eastAsia" w:ascii="仿宋_GB2312" w:hAnsi="仿宋_GB2312" w:cs="仿宋_GB2312"/>
          <w:kern w:val="0"/>
          <w:sz w:val="32"/>
          <w:szCs w:val="32"/>
        </w:rPr>
        <w:t>年共计支付国免孕优资金7.00万元，经费支出能够控制在年度计划成本范围内，根据评分标准，该指标2.00分，得2.00分。</w:t>
      </w:r>
    </w:p>
    <w:p>
      <w:pPr>
        <w:overflowPunct w:val="0"/>
        <w:spacing w:line="600" w:lineRule="exact"/>
        <w:ind w:firstLine="640"/>
        <w:contextualSpacing/>
        <w:rPr>
          <w:rFonts w:ascii="仿宋_GB2312" w:hAnsi="仿宋_GB2312" w:cs="仿宋_GB2312"/>
          <w:kern w:val="0"/>
          <w:sz w:val="32"/>
          <w:szCs w:val="32"/>
        </w:rPr>
      </w:pPr>
      <w:r>
        <w:rPr>
          <w:rFonts w:hint="eastAsia" w:ascii="仿宋_GB2312" w:hAnsi="仿宋_GB2312" w:cs="仿宋_GB2312"/>
          <w:kern w:val="0"/>
          <w:sz w:val="32"/>
          <w:szCs w:val="32"/>
        </w:rPr>
        <w:t>经济成本“新生儿遗传代谢资金（万元）”指标，预期指标值为“小于等于2万元”，根据资金支付凭证显示，本项目202</w:t>
      </w:r>
      <w:r>
        <w:rPr>
          <w:rFonts w:ascii="仿宋_GB2312" w:hAnsi="仿宋_GB2312" w:cs="仿宋_GB2312"/>
          <w:kern w:val="0"/>
          <w:sz w:val="32"/>
          <w:szCs w:val="32"/>
        </w:rPr>
        <w:t>3</w:t>
      </w:r>
      <w:r>
        <w:rPr>
          <w:rFonts w:hint="eastAsia" w:ascii="仿宋_GB2312" w:hAnsi="仿宋_GB2312" w:cs="仿宋_GB2312"/>
          <w:kern w:val="0"/>
          <w:sz w:val="32"/>
          <w:szCs w:val="32"/>
        </w:rPr>
        <w:t>年共计支付新生儿遗传代谢资金2.00万元，经费支出能够控制在年度计划成本范围内，根据评分标准，该指标2.00分，得2.00分。</w:t>
      </w:r>
    </w:p>
    <w:p>
      <w:pPr>
        <w:overflowPunct w:val="0"/>
        <w:spacing w:line="600" w:lineRule="exact"/>
        <w:ind w:firstLine="640"/>
        <w:contextualSpacing/>
        <w:rPr>
          <w:rFonts w:ascii="仿宋_GB2312" w:hAnsi="仿宋_GB2312" w:cs="仿宋_GB2312"/>
          <w:kern w:val="0"/>
          <w:sz w:val="32"/>
          <w:szCs w:val="32"/>
        </w:rPr>
      </w:pPr>
      <w:r>
        <w:rPr>
          <w:rFonts w:hint="eastAsia" w:ascii="仿宋_GB2312" w:hAnsi="仿宋_GB2312" w:cs="仿宋_GB2312"/>
          <w:kern w:val="0"/>
          <w:sz w:val="32"/>
          <w:szCs w:val="32"/>
        </w:rPr>
        <w:t>经济成本“新生儿听力资金（万元）”指标，预期指标值为“小于等于3万元”，根据资金支付凭证显示，本项目202</w:t>
      </w:r>
      <w:r>
        <w:rPr>
          <w:rFonts w:ascii="仿宋_GB2312" w:hAnsi="仿宋_GB2312" w:cs="仿宋_GB2312"/>
          <w:kern w:val="0"/>
          <w:sz w:val="32"/>
          <w:szCs w:val="32"/>
        </w:rPr>
        <w:t>3</w:t>
      </w:r>
      <w:r>
        <w:rPr>
          <w:rFonts w:hint="eastAsia" w:ascii="仿宋_GB2312" w:hAnsi="仿宋_GB2312" w:cs="仿宋_GB2312"/>
          <w:kern w:val="0"/>
          <w:sz w:val="32"/>
          <w:szCs w:val="32"/>
        </w:rPr>
        <w:t>年共计支付新生儿听力资金3.00万元，经费支出能够控制在年度计划成本范围内，根据评分标准，该指标2.00分，得2.00分。</w:t>
      </w:r>
    </w:p>
    <w:p>
      <w:pPr>
        <w:overflowPunct w:val="0"/>
        <w:spacing w:line="600" w:lineRule="exact"/>
        <w:ind w:firstLine="640"/>
        <w:contextualSpacing/>
        <w:rPr>
          <w:rFonts w:ascii="仿宋_GB2312" w:hAnsi="仿宋_GB2312" w:cs="仿宋_GB2312"/>
          <w:kern w:val="0"/>
          <w:sz w:val="32"/>
          <w:szCs w:val="32"/>
        </w:rPr>
      </w:pPr>
      <w:r>
        <w:rPr>
          <w:rFonts w:hint="eastAsia" w:ascii="仿宋_GB2312" w:hAnsi="仿宋_GB2312" w:cs="仿宋_GB2312"/>
          <w:kern w:val="0"/>
          <w:sz w:val="32"/>
          <w:szCs w:val="32"/>
        </w:rPr>
        <w:t>经济成本“</w:t>
      </w:r>
      <w:r>
        <w:rPr>
          <w:rFonts w:hint="eastAsia" w:ascii="仿宋_GB2312" w:hAnsi="仿宋_GB2312" w:cs="仿宋_GB2312"/>
          <w:kern w:val="0"/>
          <w:sz w:val="32"/>
          <w:szCs w:val="32"/>
          <w:lang w:eastAsia="zh-CN"/>
        </w:rPr>
        <w:t>预算</w:t>
      </w:r>
      <w:r>
        <w:rPr>
          <w:rFonts w:hint="eastAsia" w:ascii="仿宋_GB2312" w:hAnsi="仿宋_GB2312" w:cs="仿宋_GB2312"/>
          <w:kern w:val="0"/>
          <w:sz w:val="32"/>
          <w:szCs w:val="32"/>
        </w:rPr>
        <w:t>资金（万元）”指标，预期指标值为“小于等于5万元”，根据资金支付凭证显示，本项目202</w:t>
      </w:r>
      <w:r>
        <w:rPr>
          <w:rFonts w:ascii="仿宋_GB2312" w:hAnsi="仿宋_GB2312" w:cs="仿宋_GB2312"/>
          <w:kern w:val="0"/>
          <w:sz w:val="32"/>
          <w:szCs w:val="32"/>
        </w:rPr>
        <w:t>3</w:t>
      </w:r>
      <w:r>
        <w:rPr>
          <w:rFonts w:hint="eastAsia" w:ascii="仿宋_GB2312" w:hAnsi="仿宋_GB2312" w:cs="仿宋_GB2312"/>
          <w:kern w:val="0"/>
          <w:sz w:val="32"/>
          <w:szCs w:val="32"/>
        </w:rPr>
        <w:t>年共计支付</w:t>
      </w:r>
      <w:r>
        <w:rPr>
          <w:rFonts w:hint="eastAsia" w:ascii="仿宋_GB2312" w:hAnsi="仿宋_GB2312" w:cs="仿宋_GB2312"/>
          <w:kern w:val="0"/>
          <w:sz w:val="32"/>
          <w:szCs w:val="32"/>
          <w:lang w:eastAsia="zh-CN"/>
        </w:rPr>
        <w:t>预算</w:t>
      </w:r>
      <w:r>
        <w:rPr>
          <w:rFonts w:hint="eastAsia" w:ascii="仿宋_GB2312" w:hAnsi="仿宋_GB2312" w:cs="仿宋_GB2312"/>
          <w:kern w:val="0"/>
          <w:sz w:val="32"/>
          <w:szCs w:val="32"/>
        </w:rPr>
        <w:t>资金5.00万元，经费支出能够控制在年度计划成本范围内，根据评分标准，该指标2.00分，得2.00分。</w:t>
      </w:r>
    </w:p>
    <w:p>
      <w:pPr>
        <w:overflowPunct w:val="0"/>
        <w:spacing w:line="600" w:lineRule="exact"/>
        <w:ind w:firstLine="640"/>
        <w:contextualSpacing/>
        <w:rPr>
          <w:rFonts w:ascii="仿宋_GB2312" w:hAnsi="仿宋_GB2312" w:cs="仿宋_GB2312"/>
          <w:kern w:val="0"/>
          <w:sz w:val="32"/>
          <w:szCs w:val="32"/>
        </w:rPr>
      </w:pPr>
      <w:r>
        <w:rPr>
          <w:rFonts w:hint="eastAsia" w:ascii="仿宋_GB2312" w:hAnsi="仿宋_GB2312" w:cs="仿宋_GB2312"/>
          <w:kern w:val="0"/>
          <w:sz w:val="32"/>
          <w:szCs w:val="32"/>
        </w:rPr>
        <w:t>社会成本：本项目无该项指标。</w:t>
      </w:r>
    </w:p>
    <w:p>
      <w:pPr>
        <w:overflowPunct w:val="0"/>
        <w:spacing w:line="600" w:lineRule="exact"/>
        <w:ind w:firstLine="640"/>
        <w:contextualSpacing/>
        <w:rPr>
          <w:rFonts w:ascii="仿宋_GB2312" w:hAnsi="仿宋_GB2312" w:cs="仿宋_GB2312"/>
          <w:kern w:val="0"/>
          <w:sz w:val="32"/>
          <w:szCs w:val="32"/>
        </w:rPr>
      </w:pPr>
      <w:r>
        <w:rPr>
          <w:rFonts w:hint="eastAsia" w:ascii="仿宋_GB2312" w:hAnsi="仿宋_GB2312" w:cs="仿宋_GB2312"/>
          <w:kern w:val="0"/>
          <w:sz w:val="32"/>
          <w:szCs w:val="32"/>
        </w:rPr>
        <w:t>生态环境成本：本项目无该项指标。</w:t>
      </w:r>
    </w:p>
    <w:p>
      <w:pPr>
        <w:pStyle w:val="4"/>
        <w:spacing w:line="600" w:lineRule="exact"/>
        <w:ind w:left="560" w:leftChars="200" w:firstLine="0" w:firstLineChars="0"/>
        <w:rPr>
          <w:rFonts w:ascii="楷体_GB2312" w:eastAsia="楷体_GB2312"/>
          <w:szCs w:val="32"/>
        </w:rPr>
      </w:pPr>
      <w:r>
        <w:rPr>
          <w:rFonts w:hint="eastAsia" w:ascii="楷体_GB2312" w:eastAsia="楷体_GB2312"/>
          <w:szCs w:val="32"/>
        </w:rPr>
        <w:t>（四）项目效益情况</w:t>
      </w:r>
    </w:p>
    <w:p>
      <w:pPr>
        <w:overflowPunct w:val="0"/>
        <w:spacing w:line="600" w:lineRule="exact"/>
        <w:ind w:firstLine="640"/>
        <w:contextualSpacing/>
        <w:rPr>
          <w:rFonts w:ascii="仿宋_GB2312" w:hAnsi="仿宋_GB2312" w:cs="仿宋_GB2312"/>
          <w:kern w:val="0"/>
          <w:sz w:val="32"/>
          <w:szCs w:val="32"/>
        </w:rPr>
      </w:pPr>
      <w:r>
        <w:rPr>
          <w:rFonts w:hint="eastAsia" w:ascii="仿宋_GB2312" w:hAnsi="仿宋_GB2312" w:cs="仿宋_GB2312"/>
          <w:kern w:val="0"/>
          <w:sz w:val="32"/>
          <w:szCs w:val="32"/>
          <w:lang w:val="zh-TW" w:eastAsia="zh-TW"/>
        </w:rPr>
        <w:t>项目</w:t>
      </w:r>
      <w:r>
        <w:rPr>
          <w:rFonts w:hint="eastAsia" w:ascii="仿宋_GB2312" w:hAnsi="仿宋_GB2312" w:cs="仿宋_GB2312"/>
          <w:kern w:val="0"/>
          <w:sz w:val="32"/>
          <w:szCs w:val="32"/>
        </w:rPr>
        <w:t>效益</w:t>
      </w:r>
      <w:r>
        <w:rPr>
          <w:rFonts w:hint="eastAsia" w:ascii="仿宋_GB2312" w:hAnsi="仿宋_GB2312" w:cs="仿宋_GB2312"/>
          <w:kern w:val="0"/>
          <w:sz w:val="32"/>
          <w:szCs w:val="32"/>
          <w:lang w:val="zh-TW" w:eastAsia="zh-TW"/>
        </w:rPr>
        <w:t>类指标由</w:t>
      </w:r>
      <w:r>
        <w:rPr>
          <w:rFonts w:hint="eastAsia" w:ascii="仿宋_GB2312" w:hAnsi="仿宋_GB2312" w:cs="仿宋_GB2312"/>
          <w:kern w:val="0"/>
          <w:sz w:val="32"/>
          <w:szCs w:val="32"/>
        </w:rPr>
        <w:t>社会效益1</w:t>
      </w:r>
      <w:r>
        <w:rPr>
          <w:rFonts w:hint="eastAsia" w:ascii="仿宋_GB2312" w:hAnsi="仿宋_GB2312" w:cs="仿宋_GB2312"/>
          <w:kern w:val="0"/>
          <w:sz w:val="32"/>
          <w:szCs w:val="32"/>
          <w:lang w:val="zh-TW" w:eastAsia="zh-TW"/>
        </w:rPr>
        <w:t>个</w:t>
      </w:r>
      <w:r>
        <w:rPr>
          <w:rFonts w:hint="eastAsia" w:ascii="仿宋_GB2312" w:hAnsi="仿宋_GB2312" w:cs="仿宋_GB2312"/>
          <w:kern w:val="0"/>
          <w:sz w:val="32"/>
          <w:szCs w:val="32"/>
          <w:lang w:val="zh-TW"/>
        </w:rPr>
        <w:t>二</w:t>
      </w:r>
      <w:r>
        <w:rPr>
          <w:rFonts w:hint="eastAsia" w:ascii="仿宋_GB2312" w:hAnsi="仿宋_GB2312" w:cs="仿宋_GB2312"/>
          <w:kern w:val="0"/>
          <w:sz w:val="32"/>
          <w:szCs w:val="32"/>
          <w:lang w:val="zh-TW" w:eastAsia="zh-TW"/>
        </w:rPr>
        <w:t>级指标和</w:t>
      </w:r>
      <w:r>
        <w:rPr>
          <w:rFonts w:hint="eastAsia" w:ascii="仿宋_GB2312" w:hAnsi="仿宋_GB2312" w:cs="仿宋_GB2312"/>
          <w:kern w:val="0"/>
          <w:sz w:val="32"/>
          <w:szCs w:val="32"/>
        </w:rPr>
        <w:t>1</w:t>
      </w:r>
      <w:r>
        <w:rPr>
          <w:rFonts w:hint="eastAsia" w:ascii="仿宋_GB2312" w:hAnsi="仿宋_GB2312" w:cs="仿宋_GB2312"/>
          <w:kern w:val="0"/>
          <w:sz w:val="32"/>
          <w:szCs w:val="32"/>
          <w:lang w:val="zh-TW" w:eastAsia="zh-TW"/>
        </w:rPr>
        <w:t>个</w:t>
      </w:r>
      <w:r>
        <w:rPr>
          <w:rFonts w:hint="eastAsia" w:ascii="仿宋_GB2312" w:hAnsi="仿宋_GB2312" w:cs="仿宋_GB2312"/>
          <w:kern w:val="0"/>
          <w:sz w:val="32"/>
          <w:szCs w:val="32"/>
        </w:rPr>
        <w:t>三</w:t>
      </w:r>
      <w:r>
        <w:rPr>
          <w:rFonts w:hint="eastAsia" w:ascii="仿宋_GB2312" w:hAnsi="仿宋_GB2312" w:cs="仿宋_GB2312"/>
          <w:kern w:val="0"/>
          <w:sz w:val="32"/>
          <w:szCs w:val="32"/>
          <w:lang w:val="zh-TW" w:eastAsia="zh-TW"/>
        </w:rPr>
        <w:t>级指标构成，</w:t>
      </w:r>
      <w:r>
        <w:rPr>
          <w:rFonts w:hint="eastAsia" w:ascii="仿宋_GB2312" w:hAnsi="仿宋_GB2312" w:cs="仿宋_GB2312"/>
          <w:kern w:val="0"/>
          <w:sz w:val="32"/>
          <w:szCs w:val="32"/>
        </w:rPr>
        <w:t>权重分为20分，本项目实际得分20分，得分率为100.0%。具体各项指标得分如下：</w:t>
      </w:r>
    </w:p>
    <w:p>
      <w:pPr>
        <w:spacing w:line="600" w:lineRule="exact"/>
        <w:ind w:firstLine="640"/>
        <w:rPr>
          <w:rFonts w:ascii="仿宋_GB2312"/>
          <w:b/>
          <w:bCs/>
          <w:sz w:val="32"/>
          <w:szCs w:val="32"/>
        </w:rPr>
      </w:pPr>
      <w:r>
        <w:rPr>
          <w:rFonts w:hint="eastAsia" w:ascii="仿宋_GB2312" w:hAnsi="仿宋_GB2312" w:cs="仿宋_GB2312"/>
          <w:b/>
          <w:bCs/>
          <w:sz w:val="32"/>
        </w:rPr>
        <w:t>1.</w:t>
      </w:r>
      <w:r>
        <w:rPr>
          <w:rFonts w:hint="eastAsia" w:ascii="仿宋_GB2312"/>
          <w:b/>
          <w:bCs/>
          <w:sz w:val="32"/>
          <w:szCs w:val="32"/>
        </w:rPr>
        <w:t>社会效益指标</w:t>
      </w:r>
    </w:p>
    <w:p>
      <w:pPr>
        <w:overflowPunct w:val="0"/>
        <w:spacing w:line="600" w:lineRule="exact"/>
        <w:ind w:firstLine="640"/>
        <w:contextualSpacing/>
        <w:rPr>
          <w:rFonts w:ascii="仿宋_GB2312" w:hAnsi="仿宋_GB2312" w:cs="仿宋_GB2312"/>
          <w:kern w:val="0"/>
          <w:sz w:val="32"/>
          <w:szCs w:val="32"/>
          <w:lang w:val="zh-TW" w:eastAsia="zh-TW"/>
        </w:rPr>
      </w:pPr>
      <w:r>
        <w:rPr>
          <w:rFonts w:hint="eastAsia" w:ascii="仿宋_GB2312" w:hAnsi="仿宋_GB2312" w:cs="仿宋_GB2312"/>
          <w:kern w:val="0"/>
          <w:sz w:val="32"/>
          <w:szCs w:val="32"/>
          <w:lang w:val="zh-TW"/>
        </w:rPr>
        <w:t>“</w:t>
      </w:r>
      <w:r>
        <w:rPr>
          <w:rFonts w:hint="eastAsia" w:ascii="仿宋_GB2312" w:hAnsi="仿宋_GB2312" w:cs="仿宋_GB2312"/>
          <w:kern w:val="0"/>
          <w:sz w:val="32"/>
          <w:szCs w:val="32"/>
          <w:lang w:val="zh-TW" w:eastAsia="zh-TW"/>
        </w:rPr>
        <w:t>基本公共卫生服务水平</w:t>
      </w:r>
      <w:r>
        <w:rPr>
          <w:rFonts w:hint="eastAsia" w:ascii="仿宋_GB2312" w:hAnsi="仿宋_GB2312" w:cs="仿宋_GB2312"/>
          <w:kern w:val="0"/>
          <w:sz w:val="32"/>
          <w:szCs w:val="32"/>
          <w:lang w:val="zh-TW"/>
        </w:rPr>
        <w:t>”指标，预期指标值为“不断提高”，</w:t>
      </w:r>
      <w:r>
        <w:rPr>
          <w:rFonts w:hint="eastAsia" w:ascii="仿宋_GB2312" w:hAnsi="仿宋_GB2312" w:cs="仿宋_GB2312"/>
          <w:kern w:val="0"/>
          <w:sz w:val="32"/>
          <w:szCs w:val="32"/>
          <w:lang w:val="zh-TW" w:eastAsia="zh-TW"/>
        </w:rPr>
        <w:t>根据</w:t>
      </w:r>
      <w:r>
        <w:rPr>
          <w:rFonts w:hint="eastAsia" w:ascii="仿宋_GB2312" w:hAnsi="仿宋_GB2312" w:cs="仿宋_GB2312"/>
          <w:kern w:val="0"/>
          <w:sz w:val="32"/>
          <w:szCs w:val="32"/>
          <w:lang w:val="zh-TW"/>
        </w:rPr>
        <w:t>本单位年度工作总结</w:t>
      </w:r>
      <w:r>
        <w:rPr>
          <w:rFonts w:hint="eastAsia" w:ascii="仿宋_GB2312" w:hAnsi="仿宋_GB2312" w:cs="仿宋_GB2312"/>
          <w:kern w:val="0"/>
          <w:sz w:val="32"/>
          <w:szCs w:val="32"/>
          <w:lang w:val="zh-TW" w:eastAsia="zh-TW"/>
        </w:rPr>
        <w:t>，实际完成值为</w:t>
      </w:r>
      <w:r>
        <w:rPr>
          <w:rFonts w:hint="eastAsia" w:ascii="仿宋_GB2312" w:hAnsi="仿宋_GB2312" w:cs="仿宋_GB2312"/>
          <w:kern w:val="0"/>
          <w:sz w:val="32"/>
          <w:szCs w:val="32"/>
          <w:lang w:val="zh-TW"/>
        </w:rPr>
        <w:t>“</w:t>
      </w:r>
      <w:r>
        <w:rPr>
          <w:rFonts w:hint="eastAsia" w:ascii="仿宋_GB2312" w:hAnsi="仿宋_GB2312" w:cs="仿宋_GB2312"/>
          <w:kern w:val="0"/>
          <w:sz w:val="32"/>
          <w:szCs w:val="32"/>
        </w:rPr>
        <w:t>等于预期指标值</w:t>
      </w:r>
      <w:r>
        <w:rPr>
          <w:rFonts w:hint="eastAsia" w:ascii="仿宋_GB2312" w:hAnsi="仿宋_GB2312" w:cs="仿宋_GB2312"/>
          <w:kern w:val="0"/>
          <w:sz w:val="32"/>
          <w:szCs w:val="32"/>
          <w:lang w:val="zh-TW"/>
        </w:rPr>
        <w:t>”</w:t>
      </w:r>
      <w:r>
        <w:rPr>
          <w:rFonts w:hint="eastAsia" w:ascii="仿宋_GB2312" w:hAnsi="仿宋_GB2312" w:cs="仿宋_GB2312"/>
          <w:kern w:val="0"/>
          <w:sz w:val="32"/>
          <w:szCs w:val="32"/>
          <w:lang w:val="zh-TW" w:eastAsia="zh-TW"/>
        </w:rPr>
        <w:t>根据评分标准，该指标</w:t>
      </w:r>
      <w:r>
        <w:rPr>
          <w:rFonts w:hint="eastAsia" w:ascii="仿宋_GB2312" w:hAnsi="仿宋_GB2312" w:cs="仿宋_GB2312"/>
          <w:kern w:val="0"/>
          <w:sz w:val="32"/>
          <w:szCs w:val="32"/>
        </w:rPr>
        <w:t>20.00</w:t>
      </w:r>
      <w:r>
        <w:rPr>
          <w:rFonts w:hint="eastAsia" w:ascii="仿宋_GB2312" w:hAnsi="仿宋_GB2312" w:cs="仿宋_GB2312"/>
          <w:kern w:val="0"/>
          <w:sz w:val="32"/>
          <w:szCs w:val="32"/>
          <w:lang w:val="zh-TW" w:eastAsia="zh-TW"/>
        </w:rPr>
        <w:t>分，得</w:t>
      </w:r>
      <w:r>
        <w:rPr>
          <w:rFonts w:hint="eastAsia" w:ascii="仿宋_GB2312" w:hAnsi="仿宋_GB2312" w:cs="仿宋_GB2312"/>
          <w:kern w:val="0"/>
          <w:sz w:val="32"/>
          <w:szCs w:val="32"/>
        </w:rPr>
        <w:t>20.00</w:t>
      </w:r>
      <w:r>
        <w:rPr>
          <w:rFonts w:hint="eastAsia" w:ascii="仿宋_GB2312" w:hAnsi="仿宋_GB2312" w:cs="仿宋_GB2312"/>
          <w:kern w:val="0"/>
          <w:sz w:val="32"/>
          <w:szCs w:val="32"/>
          <w:lang w:val="zh-TW" w:eastAsia="zh-TW"/>
        </w:rPr>
        <w:t>分。</w:t>
      </w:r>
    </w:p>
    <w:p>
      <w:pPr>
        <w:spacing w:line="600" w:lineRule="exact"/>
        <w:ind w:firstLine="640"/>
        <w:rPr>
          <w:rFonts w:ascii="仿宋_GB2312"/>
          <w:b/>
          <w:bCs/>
          <w:sz w:val="32"/>
          <w:szCs w:val="32"/>
        </w:rPr>
      </w:pPr>
      <w:r>
        <w:rPr>
          <w:rFonts w:hint="eastAsia" w:ascii="仿宋_GB2312" w:hAnsi="仿宋_GB2312" w:cs="仿宋_GB2312"/>
          <w:b/>
          <w:bCs/>
          <w:sz w:val="32"/>
        </w:rPr>
        <w:t>2.</w:t>
      </w:r>
      <w:r>
        <w:rPr>
          <w:rFonts w:hint="eastAsia" w:ascii="仿宋_GB2312"/>
          <w:b/>
          <w:bCs/>
          <w:sz w:val="32"/>
          <w:szCs w:val="32"/>
        </w:rPr>
        <w:t>经济效益指标</w:t>
      </w:r>
    </w:p>
    <w:p>
      <w:pPr>
        <w:spacing w:line="600" w:lineRule="exact"/>
        <w:ind w:firstLine="640"/>
        <w:rPr>
          <w:rFonts w:ascii="仿宋_GB2312"/>
          <w:b/>
          <w:color w:val="FF0000"/>
          <w:sz w:val="32"/>
          <w:szCs w:val="32"/>
        </w:rPr>
      </w:pPr>
      <w:r>
        <w:rPr>
          <w:rFonts w:hint="eastAsia" w:ascii="仿宋_GB2312"/>
          <w:sz w:val="32"/>
          <w:szCs w:val="32"/>
        </w:rPr>
        <w:t>本项目无该项指标。</w:t>
      </w:r>
    </w:p>
    <w:p>
      <w:pPr>
        <w:spacing w:line="600" w:lineRule="exact"/>
        <w:ind w:firstLine="640"/>
        <w:rPr>
          <w:rFonts w:ascii="仿宋_GB2312"/>
          <w:b/>
          <w:bCs/>
          <w:sz w:val="32"/>
          <w:szCs w:val="32"/>
        </w:rPr>
      </w:pPr>
      <w:r>
        <w:rPr>
          <w:rFonts w:hint="eastAsia" w:ascii="仿宋_GB2312" w:hAnsi="仿宋_GB2312" w:cs="仿宋_GB2312"/>
          <w:b/>
          <w:bCs/>
          <w:sz w:val="32"/>
        </w:rPr>
        <w:t>3.</w:t>
      </w:r>
      <w:r>
        <w:rPr>
          <w:rFonts w:hint="eastAsia" w:ascii="仿宋_GB2312"/>
          <w:b/>
          <w:bCs/>
          <w:sz w:val="32"/>
          <w:szCs w:val="32"/>
        </w:rPr>
        <w:t>生态效益指标</w:t>
      </w:r>
    </w:p>
    <w:p>
      <w:pPr>
        <w:spacing w:line="600" w:lineRule="exact"/>
        <w:ind w:firstLine="640"/>
        <w:rPr>
          <w:rFonts w:ascii="仿宋_GB2312"/>
          <w:b/>
          <w:color w:val="FF0000"/>
          <w:sz w:val="32"/>
          <w:szCs w:val="32"/>
        </w:rPr>
      </w:pPr>
      <w:r>
        <w:rPr>
          <w:rFonts w:hint="eastAsia" w:ascii="仿宋_GB2312"/>
          <w:sz w:val="32"/>
          <w:szCs w:val="32"/>
        </w:rPr>
        <w:t>本项目无该项指标。</w:t>
      </w:r>
    </w:p>
    <w:p>
      <w:pPr>
        <w:pStyle w:val="4"/>
        <w:spacing w:line="600" w:lineRule="exact"/>
        <w:ind w:left="560" w:leftChars="200" w:firstLine="0" w:firstLineChars="0"/>
        <w:rPr>
          <w:rFonts w:ascii="楷体_GB2312" w:eastAsia="楷体_GB2312"/>
          <w:szCs w:val="32"/>
        </w:rPr>
      </w:pPr>
      <w:r>
        <w:rPr>
          <w:rFonts w:hint="eastAsia" w:ascii="楷体_GB2312" w:eastAsia="楷体_GB2312"/>
          <w:szCs w:val="32"/>
        </w:rPr>
        <w:t>（五）满意度指标完成情况分析</w:t>
      </w:r>
    </w:p>
    <w:p>
      <w:pPr>
        <w:overflowPunct w:val="0"/>
        <w:spacing w:line="600" w:lineRule="exact"/>
        <w:ind w:firstLine="640"/>
        <w:contextualSpacing/>
        <w:rPr>
          <w:rFonts w:ascii="仿宋_GB2312" w:hAnsi="仿宋_GB2312" w:cs="仿宋_GB2312"/>
          <w:kern w:val="0"/>
          <w:sz w:val="32"/>
          <w:szCs w:val="32"/>
        </w:rPr>
      </w:pPr>
      <w:bookmarkStart w:id="16" w:name="_Toc28290"/>
      <w:bookmarkStart w:id="17" w:name="_Toc1921"/>
      <w:r>
        <w:rPr>
          <w:rFonts w:hint="eastAsia" w:ascii="仿宋_GB2312" w:hAnsi="仿宋_GB2312" w:cs="仿宋_GB2312"/>
          <w:kern w:val="0"/>
          <w:sz w:val="32"/>
          <w:szCs w:val="32"/>
        </w:rPr>
        <w:t>“基本公共卫生服务对象满意度（%）”指标，预期指标值为“大于等于95%”，根据对就医群众进行了满意度问卷调查的结果可知，基本公共卫生服务对象满意度达到95%，根据评分标准，该指标10分,得10分。</w:t>
      </w:r>
    </w:p>
    <w:p>
      <w:pPr>
        <w:pStyle w:val="3"/>
        <w:spacing w:line="600" w:lineRule="exact"/>
        <w:ind w:firstLine="640"/>
        <w:rPr>
          <w:szCs w:val="32"/>
        </w:rPr>
      </w:pPr>
      <w:r>
        <w:rPr>
          <w:rFonts w:hint="eastAsia"/>
          <w:szCs w:val="32"/>
        </w:rPr>
        <w:t>五、预算执行进度与绩效指标偏差情况</w:t>
      </w:r>
    </w:p>
    <w:p>
      <w:pPr>
        <w:pStyle w:val="4"/>
        <w:numPr>
          <w:ilvl w:val="0"/>
          <w:numId w:val="6"/>
        </w:numPr>
        <w:spacing w:line="600" w:lineRule="exact"/>
        <w:ind w:firstLine="640"/>
        <w:rPr>
          <w:rFonts w:ascii="楷体_GB2312" w:eastAsia="楷体_GB2312"/>
          <w:szCs w:val="32"/>
        </w:rPr>
      </w:pPr>
      <w:r>
        <w:rPr>
          <w:rFonts w:hint="eastAsia" w:ascii="楷体_GB2312" w:eastAsia="楷体_GB2312"/>
          <w:szCs w:val="32"/>
        </w:rPr>
        <w:t>预算执行进度</w:t>
      </w:r>
    </w:p>
    <w:p>
      <w:pPr>
        <w:overflowPunct w:val="0"/>
        <w:spacing w:line="600" w:lineRule="exact"/>
        <w:ind w:firstLine="640"/>
        <w:contextualSpacing/>
        <w:rPr>
          <w:rFonts w:ascii="仿宋_GB2312" w:hAnsi="仿宋_GB2312" w:cs="仿宋_GB2312"/>
          <w:kern w:val="0"/>
          <w:sz w:val="32"/>
          <w:szCs w:val="32"/>
        </w:rPr>
      </w:pPr>
      <w:r>
        <w:rPr>
          <w:rFonts w:hint="eastAsia" w:ascii="仿宋_GB2312" w:hAnsi="仿宋_GB2312" w:cs="仿宋_GB2312"/>
          <w:kern w:val="0"/>
          <w:sz w:val="32"/>
          <w:szCs w:val="32"/>
        </w:rPr>
        <w:t>基本公共卫生服务补助资金项目预算金额53.00万元，实际到位53.00万元，全年项目实际支出53.00万元，预算执行率为100%。</w:t>
      </w:r>
    </w:p>
    <w:p>
      <w:pPr>
        <w:pStyle w:val="4"/>
        <w:numPr>
          <w:ilvl w:val="0"/>
          <w:numId w:val="6"/>
        </w:numPr>
        <w:spacing w:line="600" w:lineRule="exact"/>
        <w:ind w:firstLine="640"/>
        <w:rPr>
          <w:rFonts w:ascii="楷体_GB2312" w:eastAsia="楷体_GB2312"/>
          <w:szCs w:val="32"/>
        </w:rPr>
      </w:pPr>
      <w:r>
        <w:rPr>
          <w:rFonts w:hint="eastAsia" w:ascii="楷体_GB2312" w:eastAsia="楷体_GB2312"/>
          <w:szCs w:val="32"/>
        </w:rPr>
        <w:t>绩效指标偏差情况</w:t>
      </w:r>
    </w:p>
    <w:p>
      <w:pPr>
        <w:overflowPunct w:val="0"/>
        <w:spacing w:line="600" w:lineRule="exact"/>
        <w:ind w:firstLine="640"/>
        <w:contextualSpacing/>
        <w:rPr>
          <w:rFonts w:ascii="仿宋_GB2312" w:hAnsi="仿宋_GB2312" w:cs="仿宋_GB2312"/>
          <w:kern w:val="0"/>
          <w:sz w:val="32"/>
          <w:szCs w:val="32"/>
        </w:rPr>
      </w:pPr>
      <w:r>
        <w:rPr>
          <w:rFonts w:hint="eastAsia" w:ascii="仿宋_GB2312" w:hAnsi="仿宋_GB2312" w:cs="仿宋_GB2312"/>
          <w:kern w:val="0"/>
          <w:sz w:val="32"/>
          <w:szCs w:val="32"/>
        </w:rPr>
        <w:t>2023年本单位负责实施的基本公共卫生服务补助资金项目的绩指标中新生儿遗传代谢病筛查数（人）指标、新生儿听力筛查数（人）指标的实际完成情况未达到预算指标值；叶酸任务数（人）指标、新生儿遗传代谢病筛查率（%）指标、新生儿听力筛查率（%）指标和目标人群叶酸服用率（%）指标的实际完成情况超过预期目标值，存在偏差的原因：</w:t>
      </w:r>
    </w:p>
    <w:p>
      <w:pPr>
        <w:overflowPunct w:val="0"/>
        <w:spacing w:line="600" w:lineRule="exact"/>
        <w:ind w:firstLine="640"/>
        <w:contextualSpacing/>
        <w:rPr>
          <w:rFonts w:ascii="仿宋_GB2312" w:hAnsi="仿宋_GB2312" w:cs="仿宋_GB2312"/>
          <w:kern w:val="0"/>
          <w:sz w:val="32"/>
          <w:szCs w:val="32"/>
        </w:rPr>
      </w:pPr>
      <w:r>
        <w:rPr>
          <w:rFonts w:hint="eastAsia" w:ascii="仿宋_GB2312" w:hAnsi="仿宋_GB2312" w:cs="仿宋_GB2312"/>
          <w:kern w:val="0"/>
          <w:sz w:val="32"/>
          <w:szCs w:val="32"/>
        </w:rPr>
        <w:t>1.“新生儿遗传代谢病筛查数（人）”预期指标为“大于等于750人”，实际完成值为“659人”，存在偏差的原因是上级下达任务为750人，但今年出生人数只有666人，做筛查人数为659人。</w:t>
      </w:r>
    </w:p>
    <w:p>
      <w:pPr>
        <w:overflowPunct w:val="0"/>
        <w:spacing w:line="600" w:lineRule="exact"/>
        <w:ind w:firstLine="640"/>
        <w:contextualSpacing/>
        <w:rPr>
          <w:rFonts w:ascii="仿宋_GB2312" w:hAnsi="仿宋_GB2312" w:cs="仿宋_GB2312"/>
          <w:kern w:val="0"/>
          <w:sz w:val="32"/>
          <w:szCs w:val="32"/>
        </w:rPr>
      </w:pPr>
      <w:r>
        <w:rPr>
          <w:rFonts w:hint="eastAsia" w:ascii="仿宋_GB2312" w:hAnsi="仿宋_GB2312" w:cs="仿宋_GB2312"/>
          <w:kern w:val="0"/>
          <w:sz w:val="32"/>
          <w:szCs w:val="32"/>
        </w:rPr>
        <w:t>2.“新生儿听力筛查数（人）”预期指标为“大于等于750人”，实际完成值为“659人”，存在偏差的原因是上级下达任务为750人，但今年出生人数只有666人，做筛查人数为659人。</w:t>
      </w:r>
    </w:p>
    <w:p>
      <w:pPr>
        <w:overflowPunct w:val="0"/>
        <w:spacing w:line="600" w:lineRule="exact"/>
        <w:ind w:firstLine="640"/>
        <w:contextualSpacing/>
        <w:rPr>
          <w:rFonts w:ascii="仿宋_GB2312" w:hAnsi="仿宋_GB2312" w:cs="仿宋_GB2312"/>
          <w:kern w:val="0"/>
          <w:sz w:val="32"/>
          <w:szCs w:val="32"/>
        </w:rPr>
      </w:pPr>
      <w:r>
        <w:rPr>
          <w:rFonts w:hint="eastAsia" w:ascii="仿宋_GB2312" w:hAnsi="仿宋_GB2312" w:cs="仿宋_GB2312"/>
          <w:kern w:val="0"/>
          <w:sz w:val="32"/>
          <w:szCs w:val="32"/>
        </w:rPr>
        <w:t>3.“计划任务数（人）”预期指标为“大于等于750人”，实际完成值为“884人”，存在偏差的原因是上级下达任务为750人，但今年准备生育的群众增加。</w:t>
      </w:r>
    </w:p>
    <w:p>
      <w:pPr>
        <w:overflowPunct w:val="0"/>
        <w:spacing w:line="600" w:lineRule="exact"/>
        <w:ind w:firstLine="640"/>
        <w:contextualSpacing/>
        <w:rPr>
          <w:rFonts w:ascii="仿宋_GB2312" w:hAnsi="仿宋_GB2312" w:cs="仿宋_GB2312"/>
          <w:kern w:val="0"/>
          <w:sz w:val="32"/>
          <w:szCs w:val="32"/>
        </w:rPr>
      </w:pPr>
      <w:r>
        <w:rPr>
          <w:rFonts w:hint="eastAsia" w:ascii="仿宋_GB2312" w:hAnsi="仿宋_GB2312" w:cs="仿宋_GB2312"/>
          <w:kern w:val="0"/>
          <w:sz w:val="32"/>
          <w:szCs w:val="32"/>
        </w:rPr>
        <w:t>4.“新生儿遗传代谢病筛查率（%）”预期指标为“大于等于90%”，实际完成值为“98.95%人”，存在偏差的原因是根据报表人数今年出生人数只有666人，做筛查人数为659人。</w:t>
      </w:r>
    </w:p>
    <w:p>
      <w:pPr>
        <w:overflowPunct w:val="0"/>
        <w:spacing w:line="600" w:lineRule="exact"/>
        <w:ind w:firstLine="640"/>
        <w:contextualSpacing/>
        <w:rPr>
          <w:rFonts w:ascii="仿宋_GB2312" w:hAnsi="仿宋_GB2312" w:cs="仿宋_GB2312"/>
          <w:kern w:val="0"/>
          <w:sz w:val="32"/>
          <w:szCs w:val="32"/>
        </w:rPr>
      </w:pPr>
      <w:r>
        <w:rPr>
          <w:rFonts w:hint="eastAsia" w:ascii="仿宋_GB2312" w:hAnsi="仿宋_GB2312" w:cs="仿宋_GB2312"/>
          <w:kern w:val="0"/>
          <w:sz w:val="32"/>
          <w:szCs w:val="32"/>
        </w:rPr>
        <w:t>5.“新生儿听力筛查率（%）”预期指标为“大于等于90%”，实际完成值为“98.95%人”，存在偏差的原因是根据报表人数今年出生人数只有666人，做筛查人数为659人。</w:t>
      </w:r>
    </w:p>
    <w:p>
      <w:pPr>
        <w:overflowPunct w:val="0"/>
        <w:spacing w:line="600" w:lineRule="exact"/>
        <w:ind w:firstLine="640"/>
        <w:contextualSpacing/>
        <w:rPr>
          <w:rFonts w:ascii="仿宋_GB2312" w:hAnsi="仿宋_GB2312" w:cs="仿宋_GB2312"/>
          <w:kern w:val="0"/>
          <w:sz w:val="32"/>
          <w:szCs w:val="32"/>
        </w:rPr>
      </w:pPr>
      <w:r>
        <w:rPr>
          <w:rFonts w:hint="eastAsia" w:ascii="仿宋_GB2312" w:hAnsi="仿宋_GB2312" w:cs="仿宋_GB2312"/>
          <w:kern w:val="0"/>
          <w:sz w:val="32"/>
          <w:szCs w:val="32"/>
        </w:rPr>
        <w:t>6.“目标人群叶酸服用率（%）”预期指标为“大于等于90%”，实际完成值为“117.87%人”，存在偏差的原因是上级下达任务为750人，但今年准备生育的群众增加。</w:t>
      </w:r>
    </w:p>
    <w:bookmarkEnd w:id="16"/>
    <w:bookmarkEnd w:id="17"/>
    <w:p>
      <w:pPr>
        <w:pStyle w:val="3"/>
        <w:spacing w:line="600" w:lineRule="exact"/>
        <w:ind w:firstLine="640"/>
        <w:rPr>
          <w:szCs w:val="32"/>
        </w:rPr>
      </w:pPr>
      <w:r>
        <w:rPr>
          <w:rFonts w:hint="eastAsia"/>
          <w:szCs w:val="32"/>
        </w:rPr>
        <w:t>六、主要经验及做法</w:t>
      </w:r>
      <w:r>
        <w:rPr>
          <w:szCs w:val="32"/>
        </w:rPr>
        <w:t>、</w:t>
      </w:r>
      <w:r>
        <w:rPr>
          <w:rFonts w:hint="eastAsia"/>
          <w:szCs w:val="32"/>
        </w:rPr>
        <w:t>存在的问题及原因分析</w:t>
      </w:r>
    </w:p>
    <w:p>
      <w:pPr>
        <w:pStyle w:val="23"/>
        <w:spacing w:before="0" w:after="0" w:line="600" w:lineRule="exact"/>
        <w:ind w:left="560"/>
        <w:rPr>
          <w:rFonts w:ascii="仿宋_GB2312" w:hAnsi="仿宋_GB2312" w:cs="仿宋_GB2312"/>
          <w:sz w:val="32"/>
        </w:rPr>
      </w:pPr>
      <w:r>
        <w:rPr>
          <w:rFonts w:hint="eastAsia" w:ascii="仿宋_GB2312" w:hAnsi="仿宋_GB2312" w:cs="仿宋_GB2312"/>
          <w:sz w:val="32"/>
        </w:rPr>
        <w:t>（一）主要经验及做法</w:t>
      </w:r>
    </w:p>
    <w:p>
      <w:pPr>
        <w:overflowPunct w:val="0"/>
        <w:spacing w:line="600" w:lineRule="exact"/>
        <w:ind w:firstLine="640"/>
        <w:contextualSpacing/>
        <w:rPr>
          <w:rFonts w:ascii="仿宋_GB2312" w:hAnsi="仿宋_GB2312" w:cs="仿宋_GB2312"/>
          <w:kern w:val="0"/>
          <w:sz w:val="32"/>
          <w:szCs w:val="32"/>
        </w:rPr>
      </w:pPr>
      <w:r>
        <w:rPr>
          <w:rFonts w:hint="eastAsia" w:ascii="仿宋_GB2312" w:hAnsi="仿宋_GB2312" w:cs="仿宋_GB2312"/>
          <w:kern w:val="0"/>
          <w:sz w:val="32"/>
          <w:szCs w:val="32"/>
        </w:rPr>
        <w:t>1.聚焦重点任务，推动项目工作落地落实</w:t>
      </w:r>
    </w:p>
    <w:p>
      <w:pPr>
        <w:overflowPunct w:val="0"/>
        <w:spacing w:line="600" w:lineRule="exact"/>
        <w:ind w:firstLine="640"/>
        <w:contextualSpacing/>
        <w:rPr>
          <w:rFonts w:ascii="仿宋_GB2312" w:hAnsi="仿宋_GB2312" w:cs="仿宋_GB2312"/>
          <w:kern w:val="0"/>
          <w:sz w:val="32"/>
          <w:szCs w:val="32"/>
        </w:rPr>
      </w:pPr>
      <w:r>
        <w:rPr>
          <w:rFonts w:hint="eastAsia" w:ascii="仿宋_GB2312" w:hAnsi="仿宋_GB2312" w:cs="仿宋_GB2312"/>
          <w:kern w:val="0"/>
          <w:sz w:val="32"/>
          <w:szCs w:val="32"/>
        </w:rPr>
        <w:t>建立科学化、规范化、制度化的项目建设管理制度，确保工程质量、降低工程成本、缩短工程建设周期、提高投资效益。成立专门的领导机构，建立工作机制，落实工作责任。全面负责本项目的建设领导工作，负责对项目建设的重大技术、管理、业务规范和单位关系协调等进行最终决策。具体负责项目建设过程和运行管理的组织协调工作，其主要职责是：调整和确定建设目标；拟定建设资金筹措方案；落实建设任务和实施计划；协调各单位间的关系，决定有关建设管理中的重大问题。通过建立单位联席会议制度等方式，加强协调，充分沟通，及时解决疑难问题，形成合力。</w:t>
      </w:r>
    </w:p>
    <w:p>
      <w:pPr>
        <w:pStyle w:val="21"/>
        <w:spacing w:line="600" w:lineRule="exact"/>
        <w:ind w:firstLine="640"/>
        <w:rPr>
          <w:rFonts w:ascii="仿宋_GB2312" w:hAnsi="仿宋_GB2312" w:cs="仿宋_GB2312"/>
          <w:color w:val="000000" w:themeColor="text1"/>
          <w:sz w:val="32"/>
          <w:szCs w:val="32"/>
        </w:rPr>
      </w:pPr>
      <w:r>
        <w:rPr>
          <w:rFonts w:hint="eastAsia" w:ascii="仿宋_GB2312" w:hAnsi="仿宋_GB2312" w:cs="仿宋_GB2312"/>
          <w:b/>
          <w:bCs/>
          <w:color w:val="000000" w:themeColor="text1"/>
          <w:sz w:val="32"/>
          <w:szCs w:val="32"/>
        </w:rPr>
        <w:t>2.加强质量管理，提高使用效果</w:t>
      </w:r>
    </w:p>
    <w:p>
      <w:pPr>
        <w:overflowPunct w:val="0"/>
        <w:spacing w:line="600" w:lineRule="exact"/>
        <w:ind w:firstLine="640"/>
        <w:contextualSpacing/>
        <w:rPr>
          <w:rFonts w:ascii="仿宋_GB2312" w:hAnsi="仿宋_GB2312" w:cs="仿宋_GB2312"/>
          <w:kern w:val="0"/>
          <w:sz w:val="32"/>
          <w:szCs w:val="32"/>
        </w:rPr>
      </w:pPr>
      <w:bookmarkStart w:id="18" w:name="_Toc68364674"/>
      <w:r>
        <w:rPr>
          <w:rFonts w:hint="eastAsia" w:ascii="仿宋_GB2312" w:hAnsi="仿宋_GB2312" w:cs="仿宋_GB2312"/>
          <w:kern w:val="0"/>
          <w:sz w:val="32"/>
          <w:szCs w:val="32"/>
        </w:rPr>
        <w:t>以创新为动力，以需求为导向，以整合为手段，统一技术标准、统一运行环境、统一数据中心、统一应用平台、统一安全保障。在实用的前提下，系统采用主流技术，引进和开发先进、成熟且性能稳定的软硬件平台，顺应信息化发展趋势，采用互联网+的应用理念，充分利用大数据、物联网、移动互联、新媒体、微服务等先进技术，构筑起良好的体系结构、处理方法、运行机制，高起点的规划项目，使项目成果具有先进性和较长的生命周期。同时，应高度重视信息安全，采取确实有效的安全防范措施，保障稳定、正常、高效的运行。加强信息化建设项目的规范化管理，建立信息化建设运营管理长效机制，将信息化运行维护提升到和信息化建设的同等地位，强化日常管理，构建统一运维平台，保障信息系统建成后能够长期正常使用。</w:t>
      </w:r>
    </w:p>
    <w:p>
      <w:pPr>
        <w:pStyle w:val="21"/>
        <w:spacing w:line="600" w:lineRule="exact"/>
        <w:ind w:firstLine="640"/>
        <w:rPr>
          <w:rFonts w:ascii="仿宋_GB2312" w:hAnsi="仿宋_GB2312" w:cs="仿宋_GB2312"/>
          <w:b/>
          <w:bCs/>
          <w:color w:val="000000" w:themeColor="text1"/>
          <w:sz w:val="32"/>
          <w:szCs w:val="32"/>
        </w:rPr>
      </w:pPr>
      <w:r>
        <w:rPr>
          <w:rFonts w:ascii="仿宋_GB2312" w:hAnsi="仿宋_GB2312" w:cs="仿宋_GB2312"/>
          <w:b/>
          <w:bCs/>
          <w:color w:val="000000" w:themeColor="text1"/>
          <w:sz w:val="32"/>
          <w:szCs w:val="32"/>
        </w:rPr>
        <w:t>3</w:t>
      </w:r>
      <w:r>
        <w:rPr>
          <w:rFonts w:hint="eastAsia" w:ascii="仿宋_GB2312" w:hAnsi="仿宋_GB2312" w:cs="仿宋_GB2312"/>
          <w:b/>
          <w:bCs/>
          <w:color w:val="000000" w:themeColor="text1"/>
          <w:sz w:val="32"/>
          <w:szCs w:val="32"/>
        </w:rPr>
        <w:t>.加强协调管理，及时对项目进行跟踪问效</w:t>
      </w:r>
    </w:p>
    <w:p>
      <w:pPr>
        <w:overflowPunct w:val="0"/>
        <w:spacing w:line="600" w:lineRule="exact"/>
        <w:ind w:firstLine="640"/>
        <w:contextualSpacing/>
        <w:rPr>
          <w:rFonts w:ascii="仿宋_GB2312" w:hAnsi="仿宋_GB2312" w:cs="仿宋_GB2312"/>
          <w:kern w:val="0"/>
          <w:sz w:val="32"/>
          <w:szCs w:val="32"/>
        </w:rPr>
      </w:pPr>
      <w:r>
        <w:rPr>
          <w:rFonts w:hint="eastAsia" w:ascii="仿宋_GB2312" w:hAnsi="仿宋_GB2312" w:cs="仿宋_GB2312"/>
          <w:kern w:val="0"/>
          <w:sz w:val="32"/>
          <w:szCs w:val="32"/>
        </w:rPr>
        <w:t>在组织保障和制度建设方面，成立项目领导小组，明确分工，落实责任，健全内控制度，保障项目的顺利实施；在预算管理上，执行事前预算编制，事后进行结算评审，保证预算支出的有效性；严格按照通知文件实施项目；所有流程都做到有规有据、有章有程。</w:t>
      </w:r>
    </w:p>
    <w:p>
      <w:pPr>
        <w:pStyle w:val="23"/>
        <w:spacing w:before="0" w:after="0" w:line="600" w:lineRule="exact"/>
        <w:ind w:left="560"/>
        <w:rPr>
          <w:rFonts w:ascii="仿宋_GB2312" w:hAnsi="仿宋_GB2312" w:cs="仿宋_GB2312"/>
          <w:sz w:val="32"/>
        </w:rPr>
      </w:pPr>
      <w:r>
        <w:rPr>
          <w:rFonts w:hint="eastAsia" w:ascii="仿宋_GB2312" w:hAnsi="仿宋_GB2312" w:cs="仿宋_GB2312"/>
          <w:sz w:val="32"/>
        </w:rPr>
        <w:t>（二）存在问题及原因分析</w:t>
      </w:r>
      <w:bookmarkEnd w:id="18"/>
    </w:p>
    <w:p>
      <w:pPr>
        <w:pStyle w:val="21"/>
        <w:spacing w:line="600" w:lineRule="exact"/>
        <w:ind w:firstLine="640"/>
        <w:rPr>
          <w:rFonts w:ascii="仿宋_GB2312" w:hAnsi="仿宋_GB2312" w:cs="仿宋_GB2312"/>
          <w:b/>
          <w:bCs/>
          <w:color w:val="000000" w:themeColor="text1"/>
          <w:sz w:val="32"/>
          <w:szCs w:val="32"/>
        </w:rPr>
      </w:pPr>
      <w:r>
        <w:rPr>
          <w:rFonts w:hint="eastAsia" w:ascii="仿宋_GB2312" w:hAnsi="仿宋_GB2312" w:cs="仿宋_GB2312"/>
          <w:b/>
          <w:bCs/>
          <w:color w:val="000000" w:themeColor="text1"/>
          <w:sz w:val="32"/>
          <w:szCs w:val="32"/>
        </w:rPr>
        <w:t>1.项目支出绩效评价存在局限，客观性有待加强</w:t>
      </w:r>
    </w:p>
    <w:p>
      <w:pPr>
        <w:pStyle w:val="22"/>
        <w:spacing w:line="600" w:lineRule="exact"/>
        <w:ind w:firstLine="640"/>
        <w:rPr>
          <w:rFonts w:ascii="仿宋_GB2312" w:hAnsi="仿宋_GB2312" w:cs="仿宋_GB2312"/>
          <w:kern w:val="0"/>
          <w:sz w:val="32"/>
          <w:szCs w:val="32"/>
        </w:rPr>
      </w:pPr>
      <w:r>
        <w:rPr>
          <w:rFonts w:hint="eastAsia" w:ascii="仿宋_GB2312" w:hAnsi="仿宋_GB2312" w:cs="仿宋_GB2312"/>
          <w:kern w:val="0"/>
          <w:sz w:val="32"/>
          <w:szCs w:val="32"/>
        </w:rP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pPr>
        <w:pStyle w:val="22"/>
        <w:numPr>
          <w:ilvl w:val="0"/>
          <w:numId w:val="7"/>
        </w:numPr>
        <w:spacing w:line="600" w:lineRule="exact"/>
        <w:ind w:firstLine="640" w:firstLineChars="0"/>
        <w:rPr>
          <w:rFonts w:ascii="仿宋_GB2312" w:hAnsi="仿宋_GB2312" w:cs="仿宋_GB2312"/>
          <w:b/>
          <w:bCs/>
          <w:color w:val="000000" w:themeColor="text1"/>
          <w:kern w:val="0"/>
          <w:sz w:val="32"/>
          <w:szCs w:val="32"/>
        </w:rPr>
      </w:pPr>
      <w:r>
        <w:rPr>
          <w:rFonts w:hint="eastAsia" w:ascii="仿宋_GB2312" w:hAnsi="仿宋_GB2312" w:cs="仿宋_GB2312"/>
          <w:b/>
          <w:bCs/>
          <w:color w:val="000000" w:themeColor="text1"/>
          <w:kern w:val="0"/>
          <w:sz w:val="32"/>
          <w:szCs w:val="32"/>
        </w:rPr>
        <w:t>绩效档案归档工作有待提高</w:t>
      </w:r>
    </w:p>
    <w:p>
      <w:pPr>
        <w:pStyle w:val="22"/>
        <w:spacing w:line="600" w:lineRule="exact"/>
        <w:ind w:firstLine="640"/>
        <w:rPr>
          <w:rFonts w:ascii="仿宋_GB2312" w:hAnsi="仿宋_GB2312" w:cs="仿宋_GB2312"/>
          <w:kern w:val="0"/>
          <w:sz w:val="32"/>
          <w:szCs w:val="32"/>
        </w:rPr>
      </w:pPr>
      <w:r>
        <w:rPr>
          <w:rFonts w:hint="eastAsia" w:ascii="仿宋_GB2312" w:hAnsi="仿宋_GB2312" w:cs="仿宋_GB2312"/>
          <w:kern w:val="0"/>
          <w:sz w:val="32"/>
          <w:szCs w:val="32"/>
        </w:rPr>
        <w:t>不注意档案的整理归档工作，材料不收集，不整理，没有专人负责，造成档案资料不全。</w:t>
      </w:r>
    </w:p>
    <w:p>
      <w:pPr>
        <w:pStyle w:val="22"/>
        <w:spacing w:line="600" w:lineRule="exact"/>
        <w:ind w:firstLine="640"/>
        <w:rPr>
          <w:rFonts w:ascii="仿宋_GB2312" w:hAnsi="仿宋_GB2312" w:cs="仿宋_GB2312"/>
          <w:b/>
          <w:bCs/>
          <w:color w:val="000000" w:themeColor="text1"/>
          <w:kern w:val="0"/>
          <w:sz w:val="32"/>
          <w:szCs w:val="32"/>
        </w:rPr>
      </w:pPr>
      <w:r>
        <w:rPr>
          <w:rFonts w:hint="eastAsia" w:ascii="仿宋_GB2312" w:hAnsi="仿宋_GB2312" w:cs="仿宋_GB2312"/>
          <w:b/>
          <w:bCs/>
          <w:color w:val="000000" w:themeColor="text1"/>
          <w:kern w:val="0"/>
          <w:sz w:val="32"/>
          <w:szCs w:val="32"/>
        </w:rPr>
        <w:t>3、预算编制能力有待提高</w:t>
      </w:r>
    </w:p>
    <w:p>
      <w:pPr>
        <w:pStyle w:val="22"/>
        <w:spacing w:line="600" w:lineRule="exact"/>
        <w:ind w:firstLine="640"/>
        <w:rPr>
          <w:rFonts w:ascii="仿宋_GB2312" w:hAnsi="仿宋_GB2312" w:cs="仿宋_GB2312"/>
          <w:kern w:val="0"/>
          <w:sz w:val="32"/>
          <w:szCs w:val="32"/>
        </w:rPr>
      </w:pPr>
      <w:r>
        <w:rPr>
          <w:rFonts w:hint="eastAsia" w:ascii="仿宋_GB2312" w:hAnsi="仿宋_GB2312" w:cs="仿宋_GB2312"/>
          <w:kern w:val="0"/>
          <w:sz w:val="32"/>
          <w:szCs w:val="32"/>
        </w:rPr>
        <w:t>预算编制前根据年度内单位可预见的工作任务，确定了单位年度预算目标，细化了预算指标，但是在实际支付过程中，个别时候未严格按照预算指标执行。</w:t>
      </w:r>
    </w:p>
    <w:p>
      <w:pPr>
        <w:pStyle w:val="3"/>
        <w:spacing w:line="600" w:lineRule="exact"/>
        <w:ind w:firstLine="640"/>
        <w:rPr>
          <w:szCs w:val="32"/>
        </w:rPr>
      </w:pPr>
      <w:r>
        <w:rPr>
          <w:rFonts w:hint="eastAsia"/>
          <w:szCs w:val="32"/>
        </w:rPr>
        <w:t>七、有关建议</w:t>
      </w:r>
    </w:p>
    <w:p>
      <w:pPr>
        <w:pStyle w:val="27"/>
        <w:spacing w:line="560" w:lineRule="exact"/>
        <w:ind w:firstLine="480"/>
        <w:outlineLvl w:val="1"/>
        <w:rPr>
          <w:rFonts w:ascii="楷体_GB2312" w:hAnsi="楷体_GB2312" w:eastAsia="楷体_GB2312" w:cs="楷体_GB2312"/>
          <w:sz w:val="32"/>
          <w:szCs w:val="32"/>
        </w:rPr>
      </w:pPr>
      <w:bookmarkStart w:id="19" w:name="_Toc22704"/>
      <w:r>
        <w:rPr>
          <w:rFonts w:hint="eastAsia" w:ascii="楷体_GB2312" w:hAnsi="楷体_GB2312" w:eastAsia="楷体_GB2312" w:cs="楷体_GB2312"/>
          <w:sz w:val="32"/>
          <w:szCs w:val="32"/>
        </w:rPr>
        <w:t>（一）建立健全管理制度及管控措施</w:t>
      </w:r>
      <w:bookmarkEnd w:id="19"/>
    </w:p>
    <w:p>
      <w:pPr>
        <w:pStyle w:val="22"/>
        <w:spacing w:line="600" w:lineRule="exact"/>
        <w:ind w:firstLine="640"/>
        <w:rPr>
          <w:rFonts w:ascii="仿宋_GB2312" w:hAnsi="仿宋_GB2312" w:cs="仿宋_GB2312"/>
          <w:kern w:val="0"/>
          <w:sz w:val="32"/>
          <w:szCs w:val="32"/>
        </w:rPr>
      </w:pPr>
      <w:r>
        <w:rPr>
          <w:rFonts w:hint="eastAsia" w:ascii="仿宋_GB2312" w:hAnsi="仿宋_GB2312" w:cs="仿宋_GB2312"/>
          <w:kern w:val="0"/>
          <w:sz w:val="32"/>
          <w:szCs w:val="32"/>
        </w:rPr>
        <w:t>建立健全并严格执行项目管理制度、财务管理制度及资金审批管理制度，确保项目实施遵守相关法律法规和相关管理规定、项目调整及支出调整手续完备、项目合同书、验收报告、技术鉴定等资料齐全并及时归档、项目实施的人员条件、场地设备、信息支撑等是否落实到位，项目预算资金按照计划执行、项目资金使用符合相关的财务管理制度规定，以保证资金运行规范。</w:t>
      </w:r>
    </w:p>
    <w:p>
      <w:pPr>
        <w:pStyle w:val="27"/>
        <w:spacing w:line="560" w:lineRule="exact"/>
        <w:ind w:firstLine="480"/>
        <w:outlineLvl w:val="1"/>
        <w:rPr>
          <w:rFonts w:ascii="楷体_GB2312" w:hAnsi="楷体_GB2312" w:eastAsia="楷体_GB2312" w:cs="楷体_GB2312"/>
          <w:sz w:val="32"/>
          <w:szCs w:val="32"/>
        </w:rPr>
      </w:pPr>
      <w:bookmarkStart w:id="20" w:name="_Toc28215"/>
      <w:r>
        <w:rPr>
          <w:rFonts w:hint="eastAsia" w:ascii="楷体_GB2312" w:hAnsi="楷体_GB2312" w:eastAsia="楷体_GB2312" w:cs="楷体_GB2312"/>
          <w:sz w:val="32"/>
          <w:szCs w:val="32"/>
        </w:rPr>
        <w:t>（二）建立</w:t>
      </w:r>
      <w:r>
        <w:rPr>
          <w:rFonts w:ascii="楷体_GB2312" w:hAnsi="楷体_GB2312" w:eastAsia="楷体_GB2312" w:cs="楷体_GB2312"/>
          <w:sz w:val="32"/>
          <w:szCs w:val="32"/>
        </w:rPr>
        <w:t>运行维护管理制度</w:t>
      </w:r>
      <w:bookmarkEnd w:id="20"/>
    </w:p>
    <w:p>
      <w:pPr>
        <w:pStyle w:val="22"/>
        <w:spacing w:line="600" w:lineRule="exact"/>
        <w:ind w:firstLine="640"/>
        <w:rPr>
          <w:rFonts w:ascii="仿宋_GB2312" w:hAnsi="仿宋_GB2312" w:cs="仿宋_GB2312"/>
          <w:kern w:val="0"/>
          <w:sz w:val="32"/>
          <w:szCs w:val="32"/>
        </w:rPr>
      </w:pPr>
      <w:r>
        <w:rPr>
          <w:rFonts w:hint="eastAsia" w:ascii="仿宋_GB2312" w:hAnsi="仿宋_GB2312" w:cs="仿宋_GB2312"/>
          <w:kern w:val="0"/>
          <w:sz w:val="32"/>
          <w:szCs w:val="32"/>
        </w:rPr>
        <w:t>建立健全系统运行、维护、管理的各项规章制度。建立规章制度，为管理工作提供依据，并对原有的规章制度予以修改完善，以适应新设备的需求。各级运行管理部门在制定管理办法及规章制度时，应包括机房管理制度、运行管理制度、运行日志制度、岗位责任制、设备管理制度、安全管理制度、技术培训制度、档案管理制度等。同时，按照运行维护管理标准，对故障原因、问题原因进行分析、沉淀，通过月总结、年度总结，持续修正改进，逐步建立并完善运行维护管理制度。</w:t>
      </w:r>
    </w:p>
    <w:p>
      <w:pPr>
        <w:pStyle w:val="27"/>
        <w:spacing w:line="560" w:lineRule="exact"/>
        <w:ind w:firstLine="480"/>
        <w:outlineLvl w:val="1"/>
        <w:rPr>
          <w:rFonts w:ascii="楷体_GB2312" w:hAnsi="楷体_GB2312" w:eastAsia="楷体_GB2312" w:cs="楷体_GB2312"/>
          <w:sz w:val="32"/>
          <w:szCs w:val="32"/>
        </w:rPr>
      </w:pPr>
      <w:bookmarkStart w:id="21" w:name="_Toc24211"/>
      <w:r>
        <w:rPr>
          <w:rFonts w:hint="eastAsia" w:ascii="楷体_GB2312" w:hAnsi="楷体_GB2312" w:eastAsia="楷体_GB2312" w:cs="楷体_GB2312"/>
          <w:sz w:val="32"/>
          <w:szCs w:val="32"/>
        </w:rPr>
        <w:t>（三）注重架构先进性兼顾安全实用及兼容性原则</w:t>
      </w:r>
      <w:bookmarkEnd w:id="21"/>
    </w:p>
    <w:p>
      <w:pPr>
        <w:pStyle w:val="22"/>
        <w:spacing w:line="600" w:lineRule="exact"/>
        <w:ind w:firstLine="640"/>
        <w:rPr>
          <w:rFonts w:ascii="仿宋_GB2312" w:hAnsi="仿宋_GB2312" w:cs="仿宋_GB2312"/>
          <w:kern w:val="0"/>
          <w:sz w:val="32"/>
          <w:szCs w:val="32"/>
        </w:rPr>
      </w:pPr>
      <w:r>
        <w:rPr>
          <w:rFonts w:hint="eastAsia" w:ascii="仿宋_GB2312" w:hAnsi="仿宋_GB2312" w:cs="仿宋_GB2312"/>
          <w:kern w:val="0"/>
          <w:sz w:val="32"/>
          <w:szCs w:val="32"/>
        </w:rPr>
        <w:t>在组织保障和制度建设方面，成立项目领导小组，明确分工，落实责任，健全内控制度，保障项目的顺利实施；在预算管理上，执行事前预算编制，事后进行结算评审，保证预算支出的有效性；严格按照通知文件实施项目；所有流程都做到有规有据、有章有程。</w:t>
      </w:r>
    </w:p>
    <w:p>
      <w:pPr>
        <w:pStyle w:val="27"/>
        <w:spacing w:line="560" w:lineRule="exact"/>
        <w:ind w:firstLine="480"/>
        <w:outlineLvl w:val="1"/>
        <w:rPr>
          <w:rFonts w:ascii="楷体_GB2312" w:hAnsi="楷体_GB2312" w:eastAsia="楷体_GB2312" w:cs="楷体_GB2312"/>
          <w:sz w:val="32"/>
          <w:szCs w:val="32"/>
        </w:rPr>
      </w:pPr>
      <w:bookmarkStart w:id="22" w:name="_Toc6360"/>
      <w:r>
        <w:rPr>
          <w:rFonts w:hint="eastAsia" w:ascii="楷体_GB2312" w:hAnsi="楷体_GB2312" w:eastAsia="楷体_GB2312" w:cs="楷体_GB2312"/>
          <w:sz w:val="32"/>
          <w:szCs w:val="32"/>
        </w:rPr>
        <w:t>（四）风险识别与风险分析</w:t>
      </w:r>
      <w:bookmarkEnd w:id="22"/>
    </w:p>
    <w:p>
      <w:pPr>
        <w:pStyle w:val="22"/>
        <w:spacing w:line="600" w:lineRule="exact"/>
        <w:ind w:firstLine="640"/>
        <w:rPr>
          <w:rFonts w:ascii="仿宋_GB2312" w:hAnsi="仿宋_GB2312" w:cs="仿宋_GB2312"/>
          <w:kern w:val="0"/>
          <w:sz w:val="32"/>
          <w:szCs w:val="32"/>
        </w:rPr>
      </w:pPr>
      <w:r>
        <w:rPr>
          <w:rFonts w:hint="eastAsia" w:ascii="仿宋_GB2312" w:hAnsi="仿宋_GB2312" w:cs="仿宋_GB2312"/>
          <w:kern w:val="0"/>
          <w:sz w:val="32"/>
          <w:szCs w:val="32"/>
        </w:rPr>
        <w:t>在信息化建设过程中，存在包括信息安全类风险、政策类风险、规划和资金类风险、技术类风险及</w:t>
      </w:r>
      <w:bookmarkStart w:id="23" w:name="_Toc82782753"/>
      <w:bookmarkStart w:id="24" w:name="_Toc496169762"/>
      <w:r>
        <w:rPr>
          <w:rFonts w:hint="eastAsia" w:ascii="仿宋_GB2312" w:hAnsi="仿宋_GB2312" w:cs="仿宋_GB2312"/>
          <w:kern w:val="0"/>
          <w:sz w:val="32"/>
          <w:szCs w:val="32"/>
        </w:rPr>
        <w:t>管理类风险</w:t>
      </w:r>
      <w:bookmarkEnd w:id="23"/>
      <w:bookmarkEnd w:id="24"/>
      <w:r>
        <w:rPr>
          <w:rFonts w:hint="eastAsia" w:ascii="仿宋_GB2312" w:hAnsi="仿宋_GB2312" w:cs="仿宋_GB2312"/>
          <w:kern w:val="0"/>
          <w:sz w:val="32"/>
          <w:szCs w:val="32"/>
        </w:rPr>
        <w:t>。在对风险有效识别技术和详细分析结果的基础上，对项目建设过程中的风险制订行之有效的应对策略和管理方法，应从组织、规划、实施控制和应对方式、方法等方面着手，针对分析结果有步骤、有计划的应对风险。</w:t>
      </w:r>
    </w:p>
    <w:p>
      <w:pPr>
        <w:pStyle w:val="3"/>
        <w:spacing w:line="600" w:lineRule="exact"/>
        <w:ind w:firstLine="640"/>
        <w:rPr>
          <w:szCs w:val="32"/>
        </w:rPr>
      </w:pPr>
      <w:r>
        <w:rPr>
          <w:rFonts w:hint="eastAsia"/>
          <w:szCs w:val="32"/>
        </w:rPr>
        <w:t>八、其他需要说明的问题</w:t>
      </w:r>
    </w:p>
    <w:p>
      <w:pPr>
        <w:pStyle w:val="22"/>
        <w:spacing w:line="600" w:lineRule="exact"/>
        <w:ind w:firstLine="640"/>
        <w:rPr>
          <w:rFonts w:ascii="仿宋_GB2312" w:hAnsi="仿宋_GB2312" w:cs="仿宋_GB2312"/>
          <w:kern w:val="0"/>
          <w:sz w:val="32"/>
          <w:szCs w:val="32"/>
        </w:rPr>
      </w:pPr>
      <w:r>
        <w:rPr>
          <w:rFonts w:hint="eastAsia" w:ascii="仿宋_GB2312" w:hAnsi="仿宋_GB2312" w:cs="仿宋_GB2312"/>
          <w:kern w:val="0"/>
          <w:sz w:val="32"/>
          <w:szCs w:val="32"/>
        </w:rPr>
        <w:t>无其他说明内容。</w:t>
      </w:r>
    </w:p>
    <w:sectPr>
      <w:headerReference r:id="rId5" w:type="first"/>
      <w:footerReference r:id="rId8" w:type="first"/>
      <w:headerReference r:id="rId3" w:type="default"/>
      <w:footerReference r:id="rId6" w:type="default"/>
      <w:headerReference r:id="rId4" w:type="even"/>
      <w:footerReference r:id="rId7" w:type="even"/>
      <w:pgSz w:w="11906" w:h="16838"/>
      <w:pgMar w:top="1985" w:right="1531" w:bottom="1701" w:left="1531" w:header="737" w:footer="851" w:gutter="0"/>
      <w:pgNumType w:start="1"/>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方正小标宋简体">
    <w:panose1 w:val="02010601030101010101"/>
    <w:charset w:val="86"/>
    <w:family w:val="script"/>
    <w:pitch w:val="default"/>
    <w:sig w:usb0="00000001" w:usb1="080E0000" w:usb2="00000000" w:usb3="00000000" w:csb0="00040000" w:csb1="00000000"/>
  </w:font>
  <w:font w:name="方正小标宋_GBK">
    <w:altName w:val="微软雅黑"/>
    <w:panose1 w:val="02000000000000000000"/>
    <w:charset w:val="86"/>
    <w:family w:val="script"/>
    <w:pitch w:val="default"/>
    <w:sig w:usb0="00000000" w:usb1="00000000" w:usb2="00082016" w:usb3="00000000" w:csb0="00040001"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center" w:pos="4602"/>
        <w:tab w:val="clear" w:pos="4153"/>
        <w:tab w:val="clear" w:pos="8306"/>
      </w:tabs>
      <w:ind w:firstLine="360"/>
    </w:pPr>
    <w:r>
      <w:pict>
        <v:shape id="_x0000_s1026" o:spid="_x0000_s1026" o:spt="202" type="#_x0000_t202" style="position:absolute;left:0pt;margin-top:0pt;height:28pt;width:43.55pt;mso-position-horizontal:center;mso-position-horizontal-relative:margin;z-index:251659264;mso-width-relative:page;mso-height-relative:page;" filled="f" stroked="f" coordsize="21600,21600" o:gfxdata="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IrUlM/TAAAAAwEAAA8AAAAAAAAAAQAgAAAAIgAAAGRycy9k&#10;b3ducmV2LnhtbFBLAQIUABQAAAAIAIdO4kAYvcymzgEAAJQDAAAOAAAAAAAAAAEAIAAAACIBAABk&#10;cnMvZTJvRG9jLnhtbFBLBQYAAAAABgAGAFkBAABiBQAAAAA=&#10;">
          <v:path/>
          <v:fill on="f" focussize="0,0"/>
          <v:stroke on="f" weight="0.5pt" joinstyle="miter"/>
          <v:imagedata o:title=""/>
          <o:lock v:ext="edit"/>
          <v:textbox inset="0mm,0mm,0mm,0mm" style="mso-fit-shape-to-text:t;">
            <w:txbxContent>
              <w:p>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25</w:t>
                </w:r>
                <w:r>
                  <w:rPr>
                    <w:rFonts w:hint="eastAsia"/>
                    <w:sz w:val="24"/>
                  </w:rPr>
                  <w:fldChar w:fldCharType="end"/>
                </w:r>
              </w:p>
            </w:txbxContent>
          </v:textbox>
        </v:shape>
      </w:pict>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6C92B9"/>
    <w:multiLevelType w:val="singleLevel"/>
    <w:tmpl w:val="826C92B9"/>
    <w:lvl w:ilvl="0" w:tentative="0">
      <w:start w:val="2"/>
      <w:numFmt w:val="chineseCounting"/>
      <w:suff w:val="nothing"/>
      <w:lvlText w:val="（%1）"/>
      <w:lvlJc w:val="left"/>
      <w:pPr>
        <w:ind w:left="-83"/>
      </w:pPr>
      <w:rPr>
        <w:rFonts w:hint="eastAsia"/>
      </w:rPr>
    </w:lvl>
  </w:abstractNum>
  <w:abstractNum w:abstractNumId="1">
    <w:nsid w:val="A02AEF92"/>
    <w:multiLevelType w:val="singleLevel"/>
    <w:tmpl w:val="A02AEF92"/>
    <w:lvl w:ilvl="0" w:tentative="0">
      <w:start w:val="1"/>
      <w:numFmt w:val="decimal"/>
      <w:suff w:val="nothing"/>
      <w:lvlText w:val="（%1）"/>
      <w:lvlJc w:val="left"/>
    </w:lvl>
  </w:abstractNum>
  <w:abstractNum w:abstractNumId="2">
    <w:nsid w:val="F8E64B2D"/>
    <w:multiLevelType w:val="singleLevel"/>
    <w:tmpl w:val="F8E64B2D"/>
    <w:lvl w:ilvl="0" w:tentative="0">
      <w:start w:val="3"/>
      <w:numFmt w:val="chineseCounting"/>
      <w:suff w:val="nothing"/>
      <w:lvlText w:val="%1、"/>
      <w:lvlJc w:val="left"/>
      <w:rPr>
        <w:rFonts w:hint="eastAsia"/>
      </w:rPr>
    </w:lvl>
  </w:abstractNum>
  <w:abstractNum w:abstractNumId="3">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4">
    <w:nsid w:val="3A7260C0"/>
    <w:multiLevelType w:val="multilevel"/>
    <w:tmpl w:val="3A7260C0"/>
    <w:lvl w:ilvl="0" w:tentative="0">
      <w:start w:val="1"/>
      <w:numFmt w:val="chineseCountingThousand"/>
      <w:pStyle w:val="19"/>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D615963"/>
    <w:multiLevelType w:val="singleLevel"/>
    <w:tmpl w:val="3D615963"/>
    <w:lvl w:ilvl="0" w:tentative="0">
      <w:start w:val="2"/>
      <w:numFmt w:val="decimal"/>
      <w:suff w:val="nothing"/>
      <w:lvlText w:val="%1、"/>
      <w:lvlJc w:val="left"/>
      <w:pPr>
        <w:ind w:left="-80"/>
      </w:pPr>
    </w:lvl>
  </w:abstractNum>
  <w:abstractNum w:abstractNumId="6">
    <w:nsid w:val="4166511E"/>
    <w:multiLevelType w:val="singleLevel"/>
    <w:tmpl w:val="4166511E"/>
    <w:lvl w:ilvl="0" w:tentative="0">
      <w:start w:val="1"/>
      <w:numFmt w:val="chineseCounting"/>
      <w:suff w:val="nothing"/>
      <w:lvlText w:val="（%1）"/>
      <w:lvlJc w:val="left"/>
      <w:rPr>
        <w:rFonts w:hint="eastAsia"/>
      </w:rPr>
    </w:lvl>
  </w:abstractNum>
  <w:num w:numId="1">
    <w:abstractNumId w:val="4"/>
  </w:num>
  <w:num w:numId="2">
    <w:abstractNumId w:val="0"/>
  </w:num>
  <w:num w:numId="3">
    <w:abstractNumId w:val="1"/>
  </w:num>
  <w:num w:numId="4">
    <w:abstractNumId w:val="3"/>
  </w:num>
  <w:num w:numId="5">
    <w:abstractNumId w:val="2"/>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HorizontalSpacing w:val="140"/>
  <w:drawingGridVerticalSpacing w:val="204"/>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WUyY2ViZjYwY2EzYTdjNzJmYTUxODg3ZWJjYmQ5NDIifQ=="/>
  </w:docVars>
  <w:rsids>
    <w:rsidRoot w:val="68291A1A"/>
    <w:rsid w:val="00004DD3"/>
    <w:rsid w:val="000235A3"/>
    <w:rsid w:val="000545A8"/>
    <w:rsid w:val="001472A5"/>
    <w:rsid w:val="0015505A"/>
    <w:rsid w:val="001623FF"/>
    <w:rsid w:val="00166E74"/>
    <w:rsid w:val="00175A91"/>
    <w:rsid w:val="00192D10"/>
    <w:rsid w:val="001A4AC3"/>
    <w:rsid w:val="001B5602"/>
    <w:rsid w:val="001E2EBD"/>
    <w:rsid w:val="00210D91"/>
    <w:rsid w:val="0021146D"/>
    <w:rsid w:val="00223032"/>
    <w:rsid w:val="002A0995"/>
    <w:rsid w:val="002C7B03"/>
    <w:rsid w:val="002C7DD3"/>
    <w:rsid w:val="00317926"/>
    <w:rsid w:val="003E4703"/>
    <w:rsid w:val="003F37F5"/>
    <w:rsid w:val="004171F4"/>
    <w:rsid w:val="0043100D"/>
    <w:rsid w:val="0044675F"/>
    <w:rsid w:val="004601B7"/>
    <w:rsid w:val="004A2B0D"/>
    <w:rsid w:val="004B4870"/>
    <w:rsid w:val="005214C9"/>
    <w:rsid w:val="00527AEB"/>
    <w:rsid w:val="00534E53"/>
    <w:rsid w:val="005A0D91"/>
    <w:rsid w:val="005A5739"/>
    <w:rsid w:val="00616C10"/>
    <w:rsid w:val="006270E6"/>
    <w:rsid w:val="00665084"/>
    <w:rsid w:val="00672706"/>
    <w:rsid w:val="006B1BC0"/>
    <w:rsid w:val="00776F73"/>
    <w:rsid w:val="00780DC1"/>
    <w:rsid w:val="007A4070"/>
    <w:rsid w:val="007E058B"/>
    <w:rsid w:val="007E7875"/>
    <w:rsid w:val="007F45BB"/>
    <w:rsid w:val="00884D37"/>
    <w:rsid w:val="008C044E"/>
    <w:rsid w:val="00931BEF"/>
    <w:rsid w:val="0094358A"/>
    <w:rsid w:val="0094745E"/>
    <w:rsid w:val="009762A0"/>
    <w:rsid w:val="009B1503"/>
    <w:rsid w:val="009B3A45"/>
    <w:rsid w:val="00A12D83"/>
    <w:rsid w:val="00A51CD9"/>
    <w:rsid w:val="00AB718B"/>
    <w:rsid w:val="00AC6871"/>
    <w:rsid w:val="00B2498B"/>
    <w:rsid w:val="00BB45C5"/>
    <w:rsid w:val="00BE687E"/>
    <w:rsid w:val="00C34ECE"/>
    <w:rsid w:val="00C706DD"/>
    <w:rsid w:val="00C76B71"/>
    <w:rsid w:val="00C84E4A"/>
    <w:rsid w:val="00CC305E"/>
    <w:rsid w:val="00D20437"/>
    <w:rsid w:val="00D300D4"/>
    <w:rsid w:val="00D35F4A"/>
    <w:rsid w:val="00D375F4"/>
    <w:rsid w:val="00D85D47"/>
    <w:rsid w:val="00DA077A"/>
    <w:rsid w:val="00DF59B3"/>
    <w:rsid w:val="00E1703B"/>
    <w:rsid w:val="00E333EB"/>
    <w:rsid w:val="00E56F32"/>
    <w:rsid w:val="00E752D2"/>
    <w:rsid w:val="00E944DF"/>
    <w:rsid w:val="00EF3DA4"/>
    <w:rsid w:val="00F010D3"/>
    <w:rsid w:val="00F25858"/>
    <w:rsid w:val="00F26424"/>
    <w:rsid w:val="00FA49B8"/>
    <w:rsid w:val="00FB24DF"/>
    <w:rsid w:val="00FC5DC5"/>
    <w:rsid w:val="00FE7339"/>
    <w:rsid w:val="01103475"/>
    <w:rsid w:val="013E2BCF"/>
    <w:rsid w:val="01E870E8"/>
    <w:rsid w:val="01F123AA"/>
    <w:rsid w:val="023F484E"/>
    <w:rsid w:val="02B53D73"/>
    <w:rsid w:val="04AF4777"/>
    <w:rsid w:val="0611086F"/>
    <w:rsid w:val="06AF3684"/>
    <w:rsid w:val="06DE29E2"/>
    <w:rsid w:val="07855C66"/>
    <w:rsid w:val="08645EBC"/>
    <w:rsid w:val="088B6904"/>
    <w:rsid w:val="0AB86A22"/>
    <w:rsid w:val="0B992F03"/>
    <w:rsid w:val="0D4F3A66"/>
    <w:rsid w:val="109E6C67"/>
    <w:rsid w:val="118D14FC"/>
    <w:rsid w:val="12861041"/>
    <w:rsid w:val="12F1313F"/>
    <w:rsid w:val="16A11F1E"/>
    <w:rsid w:val="18671568"/>
    <w:rsid w:val="1B83731A"/>
    <w:rsid w:val="1D472967"/>
    <w:rsid w:val="1E7268E0"/>
    <w:rsid w:val="1EA14120"/>
    <w:rsid w:val="1F34308F"/>
    <w:rsid w:val="20355EA5"/>
    <w:rsid w:val="205E527D"/>
    <w:rsid w:val="22B278FB"/>
    <w:rsid w:val="23B22CDA"/>
    <w:rsid w:val="245E1E24"/>
    <w:rsid w:val="26CB6084"/>
    <w:rsid w:val="279F1FF4"/>
    <w:rsid w:val="284E1261"/>
    <w:rsid w:val="28813C00"/>
    <w:rsid w:val="298E421D"/>
    <w:rsid w:val="2A6601A2"/>
    <w:rsid w:val="2BDB1E95"/>
    <w:rsid w:val="2D43738F"/>
    <w:rsid w:val="2DB100BE"/>
    <w:rsid w:val="2E483E7E"/>
    <w:rsid w:val="2E5D54CA"/>
    <w:rsid w:val="2EF6780A"/>
    <w:rsid w:val="2F0909D2"/>
    <w:rsid w:val="2F5C2DE4"/>
    <w:rsid w:val="2F780EAB"/>
    <w:rsid w:val="2FDC7469"/>
    <w:rsid w:val="2FF22A22"/>
    <w:rsid w:val="31BF532C"/>
    <w:rsid w:val="33944516"/>
    <w:rsid w:val="352D04CC"/>
    <w:rsid w:val="352D22F4"/>
    <w:rsid w:val="381B6DBE"/>
    <w:rsid w:val="3981054E"/>
    <w:rsid w:val="39C0095A"/>
    <w:rsid w:val="3BF86496"/>
    <w:rsid w:val="3C384076"/>
    <w:rsid w:val="3C582F73"/>
    <w:rsid w:val="3DBF59D9"/>
    <w:rsid w:val="3E2D1506"/>
    <w:rsid w:val="3EFC4FD1"/>
    <w:rsid w:val="410C3509"/>
    <w:rsid w:val="44626787"/>
    <w:rsid w:val="460912BA"/>
    <w:rsid w:val="462D72F1"/>
    <w:rsid w:val="470C691E"/>
    <w:rsid w:val="487B00BE"/>
    <w:rsid w:val="49A75425"/>
    <w:rsid w:val="4ADA5EA8"/>
    <w:rsid w:val="4BDF2A7A"/>
    <w:rsid w:val="4E2751AE"/>
    <w:rsid w:val="4F3441F8"/>
    <w:rsid w:val="503F4B8A"/>
    <w:rsid w:val="505E4022"/>
    <w:rsid w:val="510164F4"/>
    <w:rsid w:val="52DC127D"/>
    <w:rsid w:val="53896AE0"/>
    <w:rsid w:val="538F6395"/>
    <w:rsid w:val="53916D90"/>
    <w:rsid w:val="54CB5C85"/>
    <w:rsid w:val="577D4B9A"/>
    <w:rsid w:val="57E26DA5"/>
    <w:rsid w:val="58DB6CB2"/>
    <w:rsid w:val="5B314D0B"/>
    <w:rsid w:val="5B45172A"/>
    <w:rsid w:val="5D7317A1"/>
    <w:rsid w:val="5ECB33D2"/>
    <w:rsid w:val="5EDF9208"/>
    <w:rsid w:val="5FAFB075"/>
    <w:rsid w:val="601A6DD4"/>
    <w:rsid w:val="60450254"/>
    <w:rsid w:val="655C21A0"/>
    <w:rsid w:val="66BF556F"/>
    <w:rsid w:val="67F911A5"/>
    <w:rsid w:val="68291A1A"/>
    <w:rsid w:val="691B1594"/>
    <w:rsid w:val="6B2F1DE3"/>
    <w:rsid w:val="6B83323E"/>
    <w:rsid w:val="6C8836AC"/>
    <w:rsid w:val="6EC16511"/>
    <w:rsid w:val="6EEA37CD"/>
    <w:rsid w:val="6F0D6C22"/>
    <w:rsid w:val="6FD35114"/>
    <w:rsid w:val="6FE70C15"/>
    <w:rsid w:val="6FF38B9B"/>
    <w:rsid w:val="70482B21"/>
    <w:rsid w:val="709110D5"/>
    <w:rsid w:val="727D22A2"/>
    <w:rsid w:val="72DC3F99"/>
    <w:rsid w:val="73711DF2"/>
    <w:rsid w:val="73D9A77D"/>
    <w:rsid w:val="73F90A54"/>
    <w:rsid w:val="75492334"/>
    <w:rsid w:val="7657F55C"/>
    <w:rsid w:val="76D2301A"/>
    <w:rsid w:val="77861774"/>
    <w:rsid w:val="77978BBA"/>
    <w:rsid w:val="77FD56A3"/>
    <w:rsid w:val="78236AB5"/>
    <w:rsid w:val="786D3A99"/>
    <w:rsid w:val="79300B45"/>
    <w:rsid w:val="7A3110DE"/>
    <w:rsid w:val="7AFFA044"/>
    <w:rsid w:val="7C55A6FE"/>
    <w:rsid w:val="7C7F22A6"/>
    <w:rsid w:val="7EF7BC1E"/>
    <w:rsid w:val="7F5E3CA5"/>
    <w:rsid w:val="7F7FAA4B"/>
    <w:rsid w:val="7FF8576C"/>
    <w:rsid w:val="99E2BDDB"/>
    <w:rsid w:val="9CFE6730"/>
    <w:rsid w:val="9FEFD858"/>
    <w:rsid w:val="B7DFDCB0"/>
    <w:rsid w:val="BBBA5E38"/>
    <w:rsid w:val="BD2FC01C"/>
    <w:rsid w:val="BFFBD8A3"/>
    <w:rsid w:val="BFFEA67A"/>
    <w:rsid w:val="CF5D4152"/>
    <w:rsid w:val="CFBD88C7"/>
    <w:rsid w:val="D7F7BC66"/>
    <w:rsid w:val="D9B644F7"/>
    <w:rsid w:val="DBD07F55"/>
    <w:rsid w:val="DCD2D7F0"/>
    <w:rsid w:val="DDE73451"/>
    <w:rsid w:val="E17F179A"/>
    <w:rsid w:val="EBEBD66D"/>
    <w:rsid w:val="EDFD17C9"/>
    <w:rsid w:val="EEEE2F2F"/>
    <w:rsid w:val="EF3FADD2"/>
    <w:rsid w:val="F5FFE4C7"/>
    <w:rsid w:val="F77F4205"/>
    <w:rsid w:val="F7F23E8A"/>
    <w:rsid w:val="F9DFA8FE"/>
    <w:rsid w:val="FBE767FE"/>
    <w:rsid w:val="FCE7F3D6"/>
    <w:rsid w:val="FCF30D5A"/>
    <w:rsid w:val="FDF30927"/>
    <w:rsid w:val="FF3E8149"/>
    <w:rsid w:val="FF5E0A3B"/>
    <w:rsid w:val="FFEB190C"/>
    <w:rsid w:val="FFFDCE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eastAsia="黑体"/>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2">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unhideWhenUsed/>
    <w:qFormat/>
    <w:uiPriority w:val="0"/>
    <w:pPr>
      <w:spacing w:before="240" w:after="240" w:line="360" w:lineRule="auto"/>
      <w:jc w:val="center"/>
    </w:pPr>
    <w:rPr>
      <w:b/>
      <w:sz w:val="44"/>
    </w:rPr>
  </w:style>
  <w:style w:type="paragraph" w:styleId="7">
    <w:name w:val="Balloon Text"/>
    <w:basedOn w:val="1"/>
    <w:link w:val="17"/>
    <w:qFormat/>
    <w:uiPriority w:val="0"/>
    <w:pPr>
      <w:spacing w:line="240" w:lineRule="auto"/>
    </w:pPr>
    <w:rPr>
      <w:sz w:val="18"/>
      <w:szCs w:val="18"/>
    </w:rPr>
  </w:style>
  <w:style w:type="paragraph" w:styleId="8">
    <w:name w:val="footer"/>
    <w:basedOn w:val="1"/>
    <w:link w:val="20"/>
    <w:qFormat/>
    <w:uiPriority w:val="99"/>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0">
    <w:name w:val="Normal (Web)"/>
    <w:basedOn w:val="1"/>
    <w:semiHidden/>
    <w:unhideWhenUsed/>
    <w:qFormat/>
    <w:uiPriority w:val="0"/>
    <w:pPr>
      <w:spacing w:beforeAutospacing="1" w:afterAutospacing="1"/>
      <w:jc w:val="left"/>
    </w:pPr>
    <w:rPr>
      <w:kern w:val="0"/>
      <w:sz w:val="24"/>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14">
    <w:name w:val="Strong"/>
    <w:basedOn w:val="13"/>
    <w:qFormat/>
    <w:uiPriority w:val="0"/>
    <w:rPr>
      <w:b/>
      <w:bCs/>
    </w:rPr>
  </w:style>
  <w:style w:type="character" w:styleId="15">
    <w:name w:val="annotation reference"/>
    <w:basedOn w:val="13"/>
    <w:qFormat/>
    <w:uiPriority w:val="0"/>
    <w:rPr>
      <w:sz w:val="21"/>
      <w:szCs w:val="21"/>
    </w:rPr>
  </w:style>
  <w:style w:type="paragraph" w:customStyle="1" w:styleId="16">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7">
    <w:name w:val="批注框文本 Char"/>
    <w:basedOn w:val="13"/>
    <w:link w:val="7"/>
    <w:qFormat/>
    <w:uiPriority w:val="0"/>
    <w:rPr>
      <w:rFonts w:eastAsia="仿宋_GB2312"/>
      <w:kern w:val="2"/>
      <w:sz w:val="18"/>
      <w:szCs w:val="18"/>
    </w:rPr>
  </w:style>
  <w:style w:type="paragraph" w:customStyle="1" w:styleId="18">
    <w:name w:val="列表段落1"/>
    <w:basedOn w:val="1"/>
    <w:unhideWhenUsed/>
    <w:qFormat/>
    <w:uiPriority w:val="99"/>
    <w:pPr>
      <w:ind w:firstLine="420"/>
    </w:pPr>
  </w:style>
  <w:style w:type="paragraph" w:customStyle="1" w:styleId="19">
    <w:name w:val="标题2"/>
    <w:basedOn w:val="4"/>
    <w:qFormat/>
    <w:uiPriority w:val="0"/>
    <w:pPr>
      <w:numPr>
        <w:ilvl w:val="0"/>
        <w:numId w:val="1"/>
      </w:numPr>
      <w:spacing w:before="120" w:after="120" w:line="500" w:lineRule="exact"/>
    </w:pPr>
    <w:rPr>
      <w:rFonts w:ascii="仿宋_GB2312" w:eastAsia="仿宋_GB2312"/>
    </w:rPr>
  </w:style>
  <w:style w:type="character" w:customStyle="1" w:styleId="20">
    <w:name w:val="页脚 Char"/>
    <w:basedOn w:val="13"/>
    <w:link w:val="8"/>
    <w:qFormat/>
    <w:uiPriority w:val="99"/>
    <w:rPr>
      <w:rFonts w:eastAsia="仿宋_GB2312"/>
      <w:kern w:val="2"/>
      <w:sz w:val="18"/>
      <w:szCs w:val="24"/>
    </w:rPr>
  </w:style>
  <w:style w:type="paragraph" w:customStyle="1" w:styleId="21">
    <w:name w:val="闻政-正文段落文字"/>
    <w:basedOn w:val="1"/>
    <w:link w:val="26"/>
    <w:qFormat/>
    <w:uiPriority w:val="3"/>
    <w:pPr>
      <w:spacing w:line="500" w:lineRule="exact"/>
      <w:ind w:firstLine="200"/>
    </w:pPr>
    <w:rPr>
      <w:kern w:val="0"/>
      <w:szCs w:val="28"/>
    </w:rPr>
  </w:style>
  <w:style w:type="paragraph" w:customStyle="1" w:styleId="22">
    <w:name w:val="_Style 1"/>
    <w:basedOn w:val="1"/>
    <w:qFormat/>
    <w:uiPriority w:val="34"/>
    <w:pPr>
      <w:ind w:firstLine="420"/>
    </w:pPr>
  </w:style>
  <w:style w:type="paragraph" w:customStyle="1" w:styleId="23">
    <w:name w:val="闻政-正文二级标题"/>
    <w:basedOn w:val="4"/>
    <w:next w:val="21"/>
    <w:qFormat/>
    <w:uiPriority w:val="3"/>
    <w:pPr>
      <w:spacing w:before="120" w:after="60" w:line="500" w:lineRule="exact"/>
      <w:ind w:left="200" w:leftChars="200" w:firstLine="0" w:firstLineChars="0"/>
    </w:pPr>
    <w:rPr>
      <w:rFonts w:ascii="Times New Roman" w:hAnsi="Times New Roman"/>
      <w:sz w:val="28"/>
    </w:rPr>
  </w:style>
  <w:style w:type="paragraph" w:customStyle="1" w:styleId="24">
    <w:name w:val="GB正文"/>
    <w:basedOn w:val="1"/>
    <w:qFormat/>
    <w:uiPriority w:val="0"/>
    <w:pPr>
      <w:spacing w:line="590" w:lineRule="exact"/>
      <w:ind w:firstLine="707" w:firstLineChars="221"/>
    </w:pPr>
    <w:rPr>
      <w:rFonts w:ascii="仿宋_GB2312"/>
      <w:color w:val="000000"/>
      <w:spacing w:val="6"/>
      <w:sz w:val="32"/>
      <w:szCs w:val="32"/>
    </w:rPr>
  </w:style>
  <w:style w:type="paragraph" w:customStyle="1" w:styleId="25">
    <w:name w:val="闻政-正文一级标题"/>
    <w:basedOn w:val="2"/>
    <w:next w:val="21"/>
    <w:qFormat/>
    <w:uiPriority w:val="3"/>
    <w:pPr>
      <w:spacing w:before="120" w:after="60" w:line="500" w:lineRule="exact"/>
      <w:ind w:firstLine="0" w:firstLineChars="0"/>
      <w:outlineLvl w:val="0"/>
    </w:pPr>
    <w:rPr>
      <w:rFonts w:ascii="黑体" w:hAnsi="黑体" w:eastAsia="黑体"/>
      <w:sz w:val="32"/>
    </w:rPr>
  </w:style>
  <w:style w:type="character" w:customStyle="1" w:styleId="26">
    <w:name w:val="闻政-正文段落文字 Char"/>
    <w:link w:val="21"/>
    <w:qFormat/>
    <w:uiPriority w:val="3"/>
    <w:rPr>
      <w:rFonts w:eastAsia="仿宋_GB2312"/>
      <w:sz w:val="28"/>
      <w:szCs w:val="28"/>
    </w:rPr>
  </w:style>
  <w:style w:type="paragraph" w:customStyle="1" w:styleId="27">
    <w:name w:val="二级"/>
    <w:basedOn w:val="1"/>
    <w:qFormat/>
    <w:uiPriority w:val="0"/>
    <w:pPr>
      <w:widowControl/>
      <w:spacing w:line="480" w:lineRule="auto"/>
      <w:ind w:firstLine="422" w:firstLineChars="150"/>
    </w:pPr>
    <w:rPr>
      <w:rFonts w:ascii="宋体" w:hAnsi="宋体" w:eastAsia="宋体" w:cs="宋体"/>
      <w:b/>
      <w:bCs/>
      <w:color w:val="000000"/>
      <w:kern w:val="0"/>
      <w:szCs w:val="28"/>
    </w:rPr>
  </w:style>
  <w:style w:type="paragraph" w:styleId="28">
    <w:name w:val="List Paragraph"/>
    <w:basedOn w:val="1"/>
    <w:qFormat/>
    <w:uiPriority w:val="99"/>
    <w:pPr>
      <w:ind w:firstLine="42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Micorosoft</Company>
  <Pages>25</Pages>
  <Words>11071</Words>
  <Characters>11816</Characters>
  <Lines>85</Lines>
  <Paragraphs>23</Paragraphs>
  <TotalTime>17</TotalTime>
  <ScaleCrop>false</ScaleCrop>
  <LinksUpToDate>false</LinksUpToDate>
  <CharactersWithSpaces>11827</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2020-04-10T15:22:00Z</dcterms:created>
  <dc:creator>驰远天合-柴万顺-18690160103</dc:creator>
  <cp:lastModifiedBy>张晓芳</cp:lastModifiedBy>
  <cp:lastPrinted>2021-03-04T11:49:00Z</cp:lastPrinted>
  <dcterms:modified xsi:type="dcterms:W3CDTF">2024-11-22T09:52:56Z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235B44973DA9A7007EC2D165511795CE_42</vt:lpwstr>
  </property>
</Properties>
</file>