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沙湾市四道河子镇卫生院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1.承担本乡镇农村居民健康档案规范建档指导、管理及服务;</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2.普及卫生保健常识,在重点人群和重点场所开展健康教育,帮助居民形成有利于维护和增进健康的行为方式;指导开展爱国卫生工作;</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3.提供并组织实施本乡镇预防接种服务,落实国家免疫规划;</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4.及时发现、登记并报告本乡镇内发现的传染病病例;</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开展新生儿访视及儿童保健系统管理,进行体格检查和生长发育监测及评价,开展健康指导;</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6.开展孕产妇保健系统管理和产后访视,进行一般体格检查及孕期营养、心理等健康指导;</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7.对本乡镇65岁及以上老年人进行登记管理,进行健康危险因素调查和一般体格检查,开展健康指导;</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8.对高血压、糖尿病等慢性病高危人群进行指导,对确诊高血压糖尿病等慢性病病例进行登记管理、定期随访和健康指导;</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9.对本乡镇重性精神疾病患者进行登记管理、治疗随访和康复指导;</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10.负责本乡镇内突发公共卫生事件的报告并协助处理;</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1l.做好卫生行政部门规定的其他公共卫生服务;</w:t>
      </w:r>
    </w:p>
    <w:p>
      <w:pPr>
        <w:keepNext w:val="0"/>
        <w:keepLines w:val="0"/>
        <w:pageBreakBefore w:val="0"/>
        <w:widowControl w:val="0"/>
        <w:numPr>
          <w:ilvl w:val="0"/>
          <w:numId w:val="1"/>
        </w:numPr>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使用农村适宜医疗技术和中医药技术,正确处理常见病、多发病,对疑难重症进行恰当的处理并转诊。承担乡村现场应急救护、转诊服务和康复服务;</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能完成外科的止血、缝合、包扎、骨折固定等处置;</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健全消毒、隔离制度,遵守无菌操作规程,加强医疗质量管理。做好医疗废物处理和污水、污物无害化处理;</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执行国家基本药物制度药品集中采购、零差率销售等政策,为实施一体化管理的村卫生室统一代购药品;</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提供政府卫生行政部门批准的其他适宜的医疗服务;</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对本乡镇内传染病防治、学校卫生、食品卫生、饮水卫生、职业卫生,以及村级预防保健工作进行指导、培训、考核与监督;</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严格执行医疗保险政策规定,履行定点医疗机构职责,做好有关的政策宣传、监督及服务工作;</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深入推进乡村卫生服务一体化管理,对村卫生室实行以行政、服务一体化管理,对村卫生室实行以行政、人员、业务、药品、财产为基本内容的“五统一”规范管理;负责村卫生室的技术指导和乡村医生培训等工作;</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在本乡镇政府和卫健委领导下,依据当地社会经济发展规划,协助制定和实施本乡镇的初级卫生规划;</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配合有关部门动员组织群众开展爱国卫生活动,逐步改善本乡镇卫生状况。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沙湾市四道河子镇卫生院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单位无下属预算单位，下设7个处室，分别是：医生办公室、护士办公室、药房、辅助科室、公共卫生办公室、预防保健室、财务室。</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626.53万元，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626.53万元，使用非财政拨款结余0.00万元，年初结转和结余0.00万元。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626.53万元，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604.15万元，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0.00万元，年末结转和结余22.39万元。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增加138.73万元</w:t>
      </w:r>
      <w:r>
        <w:rPr>
          <w:rFonts w:hint="eastAsia" w:ascii="仿宋_GB2312" w:eastAsia="仿宋_GB2312"/>
          <w:color w:val="auto"/>
          <w:spacing w:val="0"/>
          <w:sz w:val="32"/>
          <w:szCs w:val="32"/>
          <w:highlight w:val="none"/>
          <w:lang w:eastAsia="zh-CN"/>
        </w:rPr>
        <w:t>，增</w:t>
      </w:r>
      <w:r>
        <w:rPr>
          <w:rFonts w:hint="eastAsia" w:ascii="仿宋_GB2312" w:eastAsia="仿宋_GB2312"/>
          <w:color w:val="auto"/>
          <w:spacing w:val="0"/>
          <w:sz w:val="32"/>
          <w:szCs w:val="32"/>
          <w:highlight w:val="none"/>
          <w:lang w:val="en-US" w:eastAsia="zh-CN"/>
        </w:rPr>
        <w:t>长</w:t>
      </w:r>
      <w:r>
        <w:rPr>
          <w:rFonts w:hint="eastAsia" w:ascii="仿宋_GB2312" w:eastAsia="仿宋_GB2312"/>
          <w:color w:val="auto"/>
          <w:spacing w:val="0"/>
          <w:sz w:val="32"/>
          <w:szCs w:val="32"/>
          <w:highlight w:val="none"/>
          <w:lang w:eastAsia="zh-CN"/>
        </w:rPr>
        <w:t>28.44%，主要原因是：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；三是2023年单位医疗收入-住院收入增加；四是2023年新增手术室设备采购项目资金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626.53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573.49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91.53%</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52.95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8.45%</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val="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本年支出604.15万元，其中：基本支出432.25万元，占71.55%；项目支出171.89万元，占28.45%；上缴上级支出0.00万元，占0.00%；经营支出0.00万元，占0.00%；对附属单位补助支出0.00万元，占0.00%。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573.49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573.49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573.49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573.49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增加85.69万元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增长17.57%,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；三是2023年新增手术室设备采购项目资金2023年调增工资。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375.28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573.49</w:t>
      </w:r>
      <w:r>
        <w:rPr>
          <w:rFonts w:hint="eastAsia" w:ascii="仿宋_GB2312" w:eastAsia="仿宋_GB2312"/>
          <w:color w:val="auto"/>
          <w:spacing w:val="0"/>
          <w:sz w:val="32"/>
          <w:szCs w:val="32"/>
          <w:highlight w:val="none"/>
          <w:lang w:eastAsia="zh-CN"/>
        </w:rPr>
        <w:t>万元，预决算差异率52.82%，</w:t>
      </w:r>
      <w:r>
        <w:rPr>
          <w:rFonts w:hint="eastAsia" w:ascii="仿宋_GB2312" w:eastAsia="仿宋_GB2312"/>
          <w:color w:val="auto"/>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；三是2023年追加手术室设备采购项目资金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2023年度一般公共预算财政拨款支出573.49万元，占本年支出合计的</w:t>
      </w:r>
      <w:r>
        <w:rPr>
          <w:rFonts w:hint="eastAsia" w:ascii="仿宋_GB2312" w:eastAsia="仿宋_GB2312"/>
          <w:color w:val="auto"/>
          <w:spacing w:val="0"/>
          <w:sz w:val="32"/>
          <w:szCs w:val="32"/>
          <w:highlight w:val="none"/>
          <w:lang w:val="zh-CN" w:eastAsia="zh-CN"/>
        </w:rPr>
        <w:t>94.93%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增加85.69万元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增长17.57%,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；三是2023年新增手术室设备采购项目资金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375.28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573.49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52.82%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；三是2023年追加手术室设备采购项目资金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37.52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6.54%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506.32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88.29%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29.65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5.17%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1.卫生健康支出（类）公立医院（款）其他公立医院支出（项）:支出决算数为5.10万元，比上年决算增加5.10万元，增长100%，主要原因是：</w:t>
      </w:r>
      <w:r>
        <w:rPr>
          <w:rFonts w:hint="eastAsia" w:ascii="仿宋_GB2312" w:eastAsia="仿宋_GB2312"/>
          <w:color w:val="auto"/>
          <w:spacing w:val="0"/>
          <w:sz w:val="32"/>
          <w:szCs w:val="32"/>
          <w:highlight w:val="none"/>
          <w:lang w:val="en-US" w:eastAsia="zh-CN"/>
        </w:rPr>
        <w:t>2023年新增手术室设备采购项目资金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2.卫生健康支出（类）行政事业单位医疗（款）事业单位医疗（项）:支出决算数为19.05万元，比上年决算增加2.03万元，增长11.93%，主要原因是：</w:t>
      </w:r>
      <w:r>
        <w:rPr>
          <w:rFonts w:hint="eastAsia" w:ascii="仿宋_GB2312" w:eastAsia="仿宋_GB2312"/>
          <w:color w:val="auto"/>
          <w:spacing w:val="0"/>
          <w:sz w:val="32"/>
          <w:szCs w:val="32"/>
          <w:highlight w:val="none"/>
          <w:lang w:val="en-US" w:eastAsia="zh-CN"/>
        </w:rPr>
        <w:t>2023年人员工资普调，</w:t>
      </w:r>
      <w:r>
        <w:rPr>
          <w:rFonts w:hint="eastAsia" w:ascii="仿宋_GB2312" w:hAnsi="仿宋_GB2312" w:eastAsia="仿宋_GB2312" w:cs="仿宋_GB2312"/>
          <w:color w:val="auto"/>
          <w:kern w:val="2"/>
          <w:sz w:val="32"/>
          <w:szCs w:val="32"/>
          <w:highlight w:val="none"/>
          <w:lang w:val="en-US" w:eastAsia="zh-CN" w:bidi="ar-SA"/>
        </w:rPr>
        <w:t>事业单位医疗</w:t>
      </w:r>
      <w:r>
        <w:rPr>
          <w:rFonts w:hint="eastAsia" w:ascii="仿宋_GB2312" w:eastAsia="仿宋_GB2312"/>
          <w:color w:val="auto"/>
          <w:sz w:val="32"/>
          <w:szCs w:val="32"/>
          <w:highlight w:val="none"/>
          <w:lang w:val="en-US" w:eastAsia="zh-CN"/>
        </w:rPr>
        <w:t>基数增加，</w:t>
      </w:r>
      <w:r>
        <w:rPr>
          <w:rFonts w:hint="eastAsia" w:ascii="仿宋_GB2312" w:hAnsi="仿宋_GB2312" w:eastAsia="仿宋_GB2312" w:cs="仿宋_GB2312"/>
          <w:color w:val="auto"/>
          <w:kern w:val="2"/>
          <w:sz w:val="32"/>
          <w:szCs w:val="32"/>
          <w:highlight w:val="none"/>
          <w:lang w:val="en-US" w:eastAsia="zh-CN" w:bidi="ar-SA"/>
        </w:rPr>
        <w:t>事业单位医疗</w:t>
      </w:r>
      <w:r>
        <w:rPr>
          <w:rFonts w:hint="eastAsia" w:ascii="仿宋_GB2312" w:eastAsia="仿宋_GB2312"/>
          <w:color w:val="auto"/>
          <w:sz w:val="32"/>
          <w:szCs w:val="32"/>
          <w:highlight w:val="none"/>
          <w:lang w:val="en-US" w:eastAsia="zh-CN"/>
        </w:rPr>
        <w:t>支出增加。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3.卫生健康支出（类）基层医疗卫生机构（款）其他基层医疗卫生机构支出（项）:支出决算数为59.76万元，比上年决算增加16.78万元，增长39.04%，主要原因是：</w:t>
      </w:r>
      <w:r>
        <w:rPr>
          <w:rFonts w:hint="eastAsia" w:ascii="仿宋_GB2312" w:eastAsia="仿宋_GB2312"/>
          <w:color w:val="auto"/>
          <w:sz w:val="32"/>
          <w:szCs w:val="32"/>
          <w:highlight w:val="none"/>
          <w:lang w:val="en-US" w:eastAsia="zh-CN"/>
        </w:rPr>
        <w:t>2023年支付了卫生院门诊楼及村卫生室建设项目工程款资金。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4.卫生健康支出（类）公共卫生（款）其他公共卫生支出（项）:支出决算数为18.31万元，比上年决算减少12.63万元，下降40.82%，主要原因是：</w:t>
      </w:r>
      <w:r>
        <w:rPr>
          <w:rFonts w:hint="eastAsia" w:ascii="仿宋_GB2312" w:eastAsia="仿宋_GB2312"/>
          <w:color w:val="auto"/>
          <w:sz w:val="32"/>
          <w:szCs w:val="32"/>
          <w:highlight w:val="none"/>
          <w:lang w:val="en-US" w:eastAsia="zh-CN"/>
        </w:rPr>
        <w:t>2023年房屋维修，设备购置等项目未完成验收，项目资金未支付。</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5.卫生健康支出（类）基层医疗卫生机构（款）乡镇卫生院（项）:支出决算数为315.38万元，比上年决算增加58.06万元，增长22.56%，主要原因是：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6.住房保障支出（类）住房改革支出（款）住房公积金（项）:支出决算数为29.65万元，比上年决算增加6.27万元，增长26.82%，主要原因是：</w:t>
      </w:r>
      <w:r>
        <w:rPr>
          <w:rFonts w:hint="eastAsia" w:ascii="仿宋_GB2312" w:eastAsia="仿宋_GB2312"/>
          <w:color w:val="auto"/>
          <w:sz w:val="32"/>
          <w:szCs w:val="32"/>
          <w:highlight w:val="none"/>
          <w:lang w:val="en-US" w:eastAsia="zh-CN"/>
        </w:rPr>
        <w:t>2023年人员工资普调，住房公积金缴费基数提高，单位住房公积金缴费支出增加。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7.社会保障和就业支出（类）行政事业单位养老支出（款）事业单位离退休（项）:支出决算数为4.02万元，比上年决算增加1.88万元，增长87.85%，主要原因是：</w:t>
      </w:r>
      <w:r>
        <w:rPr>
          <w:rFonts w:hint="eastAsia" w:ascii="仿宋_GB2312" w:eastAsia="仿宋_GB2312"/>
          <w:color w:val="auto"/>
          <w:sz w:val="32"/>
          <w:szCs w:val="32"/>
          <w:highlight w:val="none"/>
          <w:lang w:val="en-US" w:eastAsia="zh-CN"/>
        </w:rPr>
        <w:t>2023年补发退休基础绩效增资，事业单位离退休支出增加。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8.卫生健康支出（类）公共卫生（款）基本公共卫生服务（项）:支出决算数为88.73万元，比上年决算增加5.97万元，增长7.21%，主要原因是：</w:t>
      </w:r>
      <w:r>
        <w:rPr>
          <w:rFonts w:hint="eastAsia" w:ascii="仿宋_GB2312" w:eastAsia="仿宋_GB2312"/>
          <w:color w:val="auto"/>
          <w:sz w:val="32"/>
          <w:szCs w:val="32"/>
          <w:highlight w:val="none"/>
          <w:lang w:val="en-US" w:eastAsia="zh-CN"/>
        </w:rPr>
        <w:t>2023年基本公共卫生服务项目人均补助标准提高，乡村医生基本公共卫生服务补助支出增加。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9.社会保障和就业支出（类）行政事业单位养老支出（款）机关事业单位基本养老保险缴费支出（项）:支出决算数为33.50万元，比上年决算增加7.05万元，增长26.65%，主要原因是：</w:t>
      </w:r>
      <w:r>
        <w:rPr>
          <w:rFonts w:hint="eastAsia" w:ascii="仿宋_GB2312" w:eastAsia="仿宋_GB2312"/>
          <w:color w:val="auto"/>
          <w:sz w:val="32"/>
          <w:szCs w:val="32"/>
          <w:highlight w:val="none"/>
          <w:lang w:val="en-US" w:eastAsia="zh-CN"/>
        </w:rPr>
        <w:t>2023年人员工资普调，基本养老保险缴费基数提高，单位基本养老保险缴费支出增加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10.社会保障和就业支出（类）行政事业单位养老支出（款）机关事业单位职业年金缴费支出（项）:支出决算数为0.00万元，比上年决算减少4.80万元，下降100%，主要原因是：</w:t>
      </w:r>
      <w:r>
        <w:rPr>
          <w:rFonts w:hint="eastAsia" w:ascii="仿宋_GB2312" w:eastAsia="仿宋_GB2312"/>
          <w:color w:val="auto"/>
          <w:sz w:val="32"/>
          <w:szCs w:val="32"/>
          <w:highlight w:val="none"/>
          <w:lang w:val="en-US" w:eastAsia="zh-CN"/>
        </w:rPr>
        <w:t>2022年有退休人员，</w:t>
      </w:r>
      <w:r>
        <w:rPr>
          <w:rFonts w:hint="eastAsia" w:ascii="仿宋_GB2312" w:hAnsi="仿宋_GB2312" w:eastAsia="仿宋_GB2312" w:cs="仿宋_GB2312"/>
          <w:color w:val="auto"/>
          <w:kern w:val="2"/>
          <w:sz w:val="32"/>
          <w:szCs w:val="32"/>
          <w:highlight w:val="none"/>
          <w:lang w:val="en-US" w:eastAsia="zh-CN" w:bidi="ar-SA"/>
        </w:rPr>
        <w:t>单位缴纳了职业年金，</w:t>
      </w:r>
      <w:r>
        <w:rPr>
          <w:rFonts w:hint="eastAsia" w:ascii="仿宋_GB2312" w:eastAsia="仿宋_GB2312"/>
          <w:color w:val="auto"/>
          <w:sz w:val="32"/>
          <w:szCs w:val="32"/>
          <w:highlight w:val="none"/>
          <w:lang w:val="en-US" w:eastAsia="zh-CN"/>
        </w:rPr>
        <w:t>2023年无退休人员。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401.60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400.21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基本工资、津贴补贴、奖金、生活补助、绩效工资、机关事业单位基本养老保险缴费、职工基本医疗保险缴费、其他社会保障缴费、住房公积金、退休费、奖励金。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1.39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取暖费、工会经费。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zh-CN" w:eastAsia="zh-CN"/>
        </w:rPr>
        <w:t>因公出国（境）费支出0.00万元，</w:t>
      </w:r>
      <w:r>
        <w:rPr>
          <w:rFonts w:hint="eastAsia" w:ascii="仿宋_GB2312" w:eastAsia="仿宋_GB2312"/>
          <w:color w:val="auto"/>
          <w:sz w:val="32"/>
          <w:szCs w:val="32"/>
          <w:highlight w:val="none"/>
        </w:rPr>
        <w:t>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rPr>
        <w:t>我单位无公务用车运行维护费开支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我单位固定资产车辆救护车为特种车辆，不属于公务用车</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我单位未安排财政拨款“三公”经费支出，预决算无差异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eastAsia="zh-CN"/>
        </w:rPr>
        <w:t>我单位未安排因公出国（境）费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我单位未安排公务用车购置费，预决算无差异</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color w:val="auto"/>
          <w:kern w:val="0"/>
          <w:sz w:val="32"/>
          <w:szCs w:val="32"/>
          <w:highlight w:val="none"/>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我单位未安排公务接待费，预决算无差异</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沙湾市四道河子镇卫生院（事业单位）公用经费支出1.39万元，</w:t>
      </w:r>
      <w:r>
        <w:rPr>
          <w:rFonts w:hint="eastAsia" w:ascii="仿宋_GB2312" w:hAnsi="仿宋_GB2312" w:eastAsia="仿宋_GB2312" w:cs="仿宋_GB2312"/>
          <w:color w:val="auto"/>
          <w:sz w:val="32"/>
          <w:szCs w:val="32"/>
          <w:highlight w:val="none"/>
          <w:lang w:val="zh-CN" w:eastAsia="zh-CN"/>
        </w:rPr>
        <w:t>比上年增加1.39万元，增长100.00%，主要原因是：</w:t>
      </w:r>
      <w:r>
        <w:rPr>
          <w:rFonts w:hint="eastAsia" w:ascii="仿宋_GB2312" w:hAnsi="仿宋_GB2312" w:eastAsia="仿宋_GB2312" w:cs="仿宋_GB2312"/>
          <w:color w:val="auto"/>
          <w:sz w:val="32"/>
          <w:szCs w:val="32"/>
          <w:highlight w:val="none"/>
          <w:lang w:val="en-US" w:eastAsia="zh-CN"/>
        </w:rPr>
        <w:t>2023年拨付1.39万元为取暖费、工会经费，2022年未拨付此项费用</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48.75万元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其中：政府采购货物支出31.89万元、政府采购工程支出0.00万元、政府采购服务支出16.86万元。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授予中小企业合同金额48.75万元，占政府采购支出总额的100.00%，其中：授予小微企业合同金额30.76万元，占政府采购支出总额的63.10%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501.62</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屋1,682.09平方米，价值231.60万元。车辆1辆，价值15.51万元，其中：副部（省）级及以上领导用车0辆、主要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w:t>
      </w:r>
      <w:r>
        <w:rPr>
          <w:rFonts w:hint="eastAsia" w:ascii="仿宋_GB2312" w:eastAsia="仿宋_GB2312"/>
          <w:color w:val="auto"/>
          <w:sz w:val="32"/>
          <w:szCs w:val="32"/>
          <w:highlight w:val="none"/>
          <w:lang w:val="en-US" w:eastAsia="zh-CN"/>
        </w:rPr>
        <w:t>救护专用车</w:t>
      </w:r>
      <w:bookmarkStart w:id="48" w:name="_GoBack"/>
      <w:bookmarkEnd w:id="48"/>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预算总额595.55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实际执行总额573.49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全年预算数193.59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全年执行数171.89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预算绩效管理取得的成效：一是对照部门整体支出与项目资金绩效目标，对预算执行过程中的资金使用和管理等情况进行分析，及时掌握绩效目标的完成情况、实施进程；二是根据年中整体绩效完成情况，对照年初设定目标，查找单位整体绩效执行过程中存在的问题，并分析存在问题的原因，及时采取了有效的纠偏措施。发现的问题及原因：一是在部门整体绩效评价工作中，由于单位绩效管理意识还没有完全树立起来，在绩效目标设定时未进行充分的调研和论证，有的项目绩效目标的设定和产出的数量指标、质量指标缺乏对应性，关联性和可操作性不强；二是目标设定不够合理，部分项目效益指标缺乏相对应的数量、质量资料，以致无法衡量项目效果，影响绩效评价。下一步改进措施：一是提高对预算绩效管理的认识，充分理解财政绩效评价指标体系，加强预算的约束力；二是强化全过程预算绩效管理理念，突出绩效指标的重要性和综合性。具体项目自评情况附</w:t>
      </w:r>
      <w:r>
        <w:rPr>
          <w:rFonts w:hint="eastAsia" w:ascii="仿宋_GB2312" w:eastAsia="仿宋_GB2312"/>
          <w:color w:val="auto"/>
          <w:sz w:val="32"/>
          <w:szCs w:val="32"/>
          <w:highlight w:val="none"/>
          <w:lang w:val="en-US" w:eastAsia="zh-CN"/>
        </w:rPr>
        <w:t>绩效自评表及</w:t>
      </w:r>
      <w:r>
        <w:rPr>
          <w:rFonts w:hint="eastAsia" w:ascii="仿宋_GB2312" w:eastAsia="仿宋_GB2312"/>
          <w:color w:val="auto"/>
          <w:sz w:val="32"/>
          <w:szCs w:val="32"/>
          <w:highlight w:val="none"/>
          <w:lang w:eastAsia="zh-CN"/>
        </w:rPr>
        <w:t>自评</w:t>
      </w:r>
      <w:r>
        <w:rPr>
          <w:rFonts w:hint="eastAsia" w:ascii="仿宋_GB2312" w:eastAsia="仿宋_GB2312"/>
          <w:color w:val="auto"/>
          <w:sz w:val="32"/>
          <w:szCs w:val="32"/>
          <w:highlight w:val="none"/>
          <w:lang w:val="en-US" w:eastAsia="zh-CN"/>
        </w:rPr>
        <w:t>报告</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776FE3B0"/>
    <w:multiLevelType w:val="singleLevel"/>
    <w:tmpl w:val="776FE3B0"/>
    <w:lvl w:ilvl="0" w:tentative="0">
      <w:start w:val="1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yY2ViZjYwY2EzYTdjNzJmYTUxODg3ZWJjYmQ5NDI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A11FEC"/>
    <w:rsid w:val="03BD5310"/>
    <w:rsid w:val="03E05CE8"/>
    <w:rsid w:val="03F973EE"/>
    <w:rsid w:val="03FF7AE4"/>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8C043C"/>
    <w:rsid w:val="08A0354D"/>
    <w:rsid w:val="08CD4C49"/>
    <w:rsid w:val="08DE1DED"/>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9506D4"/>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9CC4810"/>
    <w:rsid w:val="2A053397"/>
    <w:rsid w:val="2A145E96"/>
    <w:rsid w:val="2A2131BB"/>
    <w:rsid w:val="2AF5378F"/>
    <w:rsid w:val="2BB94DBF"/>
    <w:rsid w:val="2BF37410"/>
    <w:rsid w:val="2C6F314E"/>
    <w:rsid w:val="2CB46E05"/>
    <w:rsid w:val="2CC206BE"/>
    <w:rsid w:val="2D1136DF"/>
    <w:rsid w:val="2D20606D"/>
    <w:rsid w:val="2D6729FE"/>
    <w:rsid w:val="2DB87198"/>
    <w:rsid w:val="2DB93C54"/>
    <w:rsid w:val="2E3D144C"/>
    <w:rsid w:val="2E891204"/>
    <w:rsid w:val="2F3F0A28"/>
    <w:rsid w:val="2FB054DA"/>
    <w:rsid w:val="2FBF7029"/>
    <w:rsid w:val="2FD0187F"/>
    <w:rsid w:val="2FD27414"/>
    <w:rsid w:val="2FFE4BB0"/>
    <w:rsid w:val="300E7B60"/>
    <w:rsid w:val="300F6E18"/>
    <w:rsid w:val="30862F5F"/>
    <w:rsid w:val="30A4775A"/>
    <w:rsid w:val="314029C9"/>
    <w:rsid w:val="31C63837"/>
    <w:rsid w:val="31C82E39"/>
    <w:rsid w:val="32601BAD"/>
    <w:rsid w:val="329F6389"/>
    <w:rsid w:val="32C603CC"/>
    <w:rsid w:val="334373C2"/>
    <w:rsid w:val="3389023A"/>
    <w:rsid w:val="33CB74FA"/>
    <w:rsid w:val="343642F2"/>
    <w:rsid w:val="343F3010"/>
    <w:rsid w:val="345D0A00"/>
    <w:rsid w:val="34713BFD"/>
    <w:rsid w:val="34C13589"/>
    <w:rsid w:val="353369E3"/>
    <w:rsid w:val="35B21E0B"/>
    <w:rsid w:val="35BA3676"/>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8649C0"/>
    <w:rsid w:val="41900018"/>
    <w:rsid w:val="41944406"/>
    <w:rsid w:val="41CE128F"/>
    <w:rsid w:val="41DA6F12"/>
    <w:rsid w:val="42171FB1"/>
    <w:rsid w:val="42C10D7B"/>
    <w:rsid w:val="434B010F"/>
    <w:rsid w:val="434E6957"/>
    <w:rsid w:val="43BA0E31"/>
    <w:rsid w:val="43C15147"/>
    <w:rsid w:val="43E14DD2"/>
    <w:rsid w:val="43F800E9"/>
    <w:rsid w:val="443976CD"/>
    <w:rsid w:val="443A7E4B"/>
    <w:rsid w:val="444A7D08"/>
    <w:rsid w:val="452F5B3A"/>
    <w:rsid w:val="454E7FD2"/>
    <w:rsid w:val="45C8557C"/>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577E17"/>
    <w:rsid w:val="4DF94F37"/>
    <w:rsid w:val="4E0A1DD5"/>
    <w:rsid w:val="4E3160E5"/>
    <w:rsid w:val="4E4D37AF"/>
    <w:rsid w:val="4E8C6496"/>
    <w:rsid w:val="4EFD18DE"/>
    <w:rsid w:val="4F144236"/>
    <w:rsid w:val="4F663C87"/>
    <w:rsid w:val="4F7E29A8"/>
    <w:rsid w:val="4F9E1FFC"/>
    <w:rsid w:val="4FA6435C"/>
    <w:rsid w:val="50447CC2"/>
    <w:rsid w:val="50874A7C"/>
    <w:rsid w:val="50895EE7"/>
    <w:rsid w:val="50921B9D"/>
    <w:rsid w:val="50D16158"/>
    <w:rsid w:val="50DB5F45"/>
    <w:rsid w:val="51025EB1"/>
    <w:rsid w:val="51141503"/>
    <w:rsid w:val="513C450E"/>
    <w:rsid w:val="518D0ED5"/>
    <w:rsid w:val="525C687F"/>
    <w:rsid w:val="52A3740A"/>
    <w:rsid w:val="52B76EC0"/>
    <w:rsid w:val="52F647F7"/>
    <w:rsid w:val="52F92565"/>
    <w:rsid w:val="53AE735E"/>
    <w:rsid w:val="53D03877"/>
    <w:rsid w:val="542F73CA"/>
    <w:rsid w:val="5430786D"/>
    <w:rsid w:val="545A1D2A"/>
    <w:rsid w:val="54C811C0"/>
    <w:rsid w:val="556A442D"/>
    <w:rsid w:val="55950021"/>
    <w:rsid w:val="55DA564E"/>
    <w:rsid w:val="55E816A3"/>
    <w:rsid w:val="5604127D"/>
    <w:rsid w:val="56044E6C"/>
    <w:rsid w:val="56166703"/>
    <w:rsid w:val="56510474"/>
    <w:rsid w:val="56861525"/>
    <w:rsid w:val="56A72C68"/>
    <w:rsid w:val="56A93273"/>
    <w:rsid w:val="56BD550C"/>
    <w:rsid w:val="56E07045"/>
    <w:rsid w:val="56FF28AF"/>
    <w:rsid w:val="57540E7D"/>
    <w:rsid w:val="577B4878"/>
    <w:rsid w:val="57926973"/>
    <w:rsid w:val="57D1482F"/>
    <w:rsid w:val="57DA07F5"/>
    <w:rsid w:val="58175352"/>
    <w:rsid w:val="581F2200"/>
    <w:rsid w:val="583059FA"/>
    <w:rsid w:val="584A0929"/>
    <w:rsid w:val="589B6BF2"/>
    <w:rsid w:val="58CD2491"/>
    <w:rsid w:val="591B41B2"/>
    <w:rsid w:val="59254A26"/>
    <w:rsid w:val="59326325"/>
    <w:rsid w:val="595C505B"/>
    <w:rsid w:val="595E55C3"/>
    <w:rsid w:val="596E7E20"/>
    <w:rsid w:val="598121EE"/>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25B9F"/>
    <w:rsid w:val="5ED44800"/>
    <w:rsid w:val="5F350BDE"/>
    <w:rsid w:val="5F61632C"/>
    <w:rsid w:val="5FA17648"/>
    <w:rsid w:val="5FE705CB"/>
    <w:rsid w:val="6007714E"/>
    <w:rsid w:val="603D5080"/>
    <w:rsid w:val="606842D0"/>
    <w:rsid w:val="60D0261B"/>
    <w:rsid w:val="618E3791"/>
    <w:rsid w:val="61947DCA"/>
    <w:rsid w:val="61A46A97"/>
    <w:rsid w:val="61A9043D"/>
    <w:rsid w:val="61D1382F"/>
    <w:rsid w:val="61F114A2"/>
    <w:rsid w:val="622B0ABA"/>
    <w:rsid w:val="62512BB4"/>
    <w:rsid w:val="625D7D1A"/>
    <w:rsid w:val="62660469"/>
    <w:rsid w:val="62856AB9"/>
    <w:rsid w:val="62DD7D21"/>
    <w:rsid w:val="637D586B"/>
    <w:rsid w:val="63A5560B"/>
    <w:rsid w:val="63E9091F"/>
    <w:rsid w:val="64322AF9"/>
    <w:rsid w:val="64D6010D"/>
    <w:rsid w:val="64D82665"/>
    <w:rsid w:val="64E47C96"/>
    <w:rsid w:val="650E7E52"/>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751810"/>
    <w:rsid w:val="689C6793"/>
    <w:rsid w:val="68DB0208"/>
    <w:rsid w:val="68FB170C"/>
    <w:rsid w:val="691B3D98"/>
    <w:rsid w:val="69215010"/>
    <w:rsid w:val="693748F0"/>
    <w:rsid w:val="69846A0E"/>
    <w:rsid w:val="698D1987"/>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A400A"/>
    <w:rsid w:val="6F8E0407"/>
    <w:rsid w:val="6FDD069F"/>
    <w:rsid w:val="702B4D16"/>
    <w:rsid w:val="70AA6621"/>
    <w:rsid w:val="7111480F"/>
    <w:rsid w:val="71261F49"/>
    <w:rsid w:val="712E6956"/>
    <w:rsid w:val="71473612"/>
    <w:rsid w:val="71504F32"/>
    <w:rsid w:val="7152309F"/>
    <w:rsid w:val="718F7F65"/>
    <w:rsid w:val="71DA6992"/>
    <w:rsid w:val="72755695"/>
    <w:rsid w:val="727B234E"/>
    <w:rsid w:val="728A58B0"/>
    <w:rsid w:val="72D068C7"/>
    <w:rsid w:val="72E42ED8"/>
    <w:rsid w:val="72FC34C3"/>
    <w:rsid w:val="735F4CB9"/>
    <w:rsid w:val="73674C62"/>
    <w:rsid w:val="73845865"/>
    <w:rsid w:val="739B6D9E"/>
    <w:rsid w:val="73B74303"/>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780D31"/>
    <w:rsid w:val="7B9F26AF"/>
    <w:rsid w:val="7BB607FE"/>
    <w:rsid w:val="7BF65B3D"/>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6415</Words>
  <Characters>7209</Characters>
  <Lines>0</Lines>
  <Paragraphs>0</Paragraphs>
  <TotalTime>16</TotalTime>
  <ScaleCrop>false</ScaleCrop>
  <LinksUpToDate>false</LinksUpToDate>
  <CharactersWithSpaces>7220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2025-04-10T08:09:56Z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AA0D0D1D75724D31A386AD8786C85EB0_13</vt:lpwstr>
  </property>
  <property fmtid="{D5CDD505-2E9C-101B-9397-08002B2CF9AE}" pid="4" name="KSOTemplateDocerSaveRecord">
    <vt:lpwstr>eyJoZGlkIjoiZDU4MmQ2ZWMyMDZlYzhmM2M0MmMwNGNmYmFiY2Q3YTQiLCJ1c2VySWQiOiI1Mzk1NTEzNjcifQ==</vt:lpwstr>
  </property>
</Properties>
</file>