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240" w:lineRule="auto"/>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 xml:space="preserve">  </w:t>
      </w:r>
    </w:p>
    <w:p>
      <w:pPr>
        <w:keepNext w:val="0"/>
        <w:keepLines w:val="0"/>
        <w:pageBreakBefore w:val="0"/>
        <w:kinsoku/>
        <w:wordWrap/>
        <w:overflowPunct/>
        <w:topLinePunct w:val="0"/>
        <w:bidi w:val="0"/>
        <w:adjustRightInd/>
        <w:snapToGrid/>
        <w:spacing w:line="240" w:lineRule="auto"/>
        <w:jc w:val="center"/>
        <w:textAlignment w:val="auto"/>
        <w:rPr>
          <w:rFonts w:ascii="方正小标宋_GBK" w:hAnsi="宋体" w:eastAsia="方正小标宋_GBK"/>
          <w:sz w:val="44"/>
          <w:szCs w:val="44"/>
        </w:rPr>
      </w:pPr>
    </w:p>
    <w:p>
      <w:pPr>
        <w:keepNext w:val="0"/>
        <w:keepLines w:val="0"/>
        <w:pageBreakBefore w:val="0"/>
        <w:kinsoku/>
        <w:wordWrap/>
        <w:overflowPunct/>
        <w:topLinePunct w:val="0"/>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沙湾市商户地乡卫生院</w:t>
      </w:r>
    </w:p>
    <w:p>
      <w:pPr>
        <w:keepNext w:val="0"/>
        <w:keepLines w:val="0"/>
        <w:pageBreakBefore w:val="0"/>
        <w:kinsoku/>
        <w:wordWrap/>
        <w:overflowPunct/>
        <w:topLinePunct w:val="0"/>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keepNext w:val="0"/>
        <w:keepLines w:val="0"/>
        <w:pageBreakBefore w:val="0"/>
        <w:kinsoku/>
        <w:wordWrap/>
        <w:overflowPunct/>
        <w:topLinePunct w:val="0"/>
        <w:bidi w:val="0"/>
        <w:adjustRightInd/>
        <w:snapToGrid/>
        <w:spacing w:line="240" w:lineRule="auto"/>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kinsoku/>
        <w:wordWrap/>
        <w:overflowPunct/>
        <w:topLinePunct w:val="0"/>
        <w:bidi w:val="0"/>
        <w:adjustRightInd/>
        <w:snapToGrid/>
        <w:spacing w:line="240" w:lineRule="auto"/>
        <w:textAlignment w:val="auto"/>
        <w:rPr>
          <w:rFonts w:ascii="方正小标宋_GBK" w:hAnsi="宋体" w:eastAsia="方正小标宋_GBK"/>
          <w:sz w:val="44"/>
          <w:szCs w:val="44"/>
        </w:rPr>
      </w:pPr>
      <w:r>
        <w:rPr>
          <w:rFonts w:hint="eastAsia" w:ascii="方正小标宋_GBK" w:hAnsi="宋体" w:eastAsia="方正小标宋_GBK"/>
          <w:sz w:val="44"/>
          <w:szCs w:val="44"/>
        </w:rPr>
        <w:br w:type="page"/>
      </w:r>
    </w:p>
    <w:p>
      <w:pPr>
        <w:keepNext w:val="0"/>
        <w:keepLines w:val="0"/>
        <w:pageBreakBefore w:val="0"/>
        <w:kinsoku/>
        <w:wordWrap/>
        <w:overflowPunct/>
        <w:topLinePunct w:val="0"/>
        <w:bidi w:val="0"/>
        <w:adjustRightInd/>
        <w:snapToGrid/>
        <w:spacing w:line="240" w:lineRule="auto"/>
        <w:jc w:val="center"/>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keepNext w:val="0"/>
        <w:keepLines w:val="0"/>
        <w:pageBreakBefore w:val="0"/>
        <w:tabs>
          <w:tab w:val="right" w:pos="8306"/>
        </w:tabs>
        <w:kinsoku/>
        <w:wordWrap/>
        <w:overflowPunct/>
        <w:topLinePunct w:val="0"/>
        <w:bidi w:val="0"/>
        <w:adjustRightInd/>
        <w:snapToGrid/>
        <w:spacing w:line="240" w:lineRule="auto"/>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keepNext w:val="0"/>
        <w:keepLines w:val="0"/>
        <w:pageBreakBefore w:val="0"/>
        <w:tabs>
          <w:tab w:val="right" w:pos="8306"/>
        </w:tabs>
        <w:kinsoku/>
        <w:wordWrap/>
        <w:overflowPunct/>
        <w:topLinePunct w:val="0"/>
        <w:bidi w:val="0"/>
        <w:adjustRightInd/>
        <w:snapToGrid/>
        <w:spacing w:line="240" w:lineRule="auto"/>
        <w:textAlignment w:val="auto"/>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keepNext w:val="0"/>
        <w:keepLines w:val="0"/>
        <w:pageBreakBefore w:val="0"/>
        <w:kinsoku/>
        <w:wordWrap/>
        <w:overflowPunct/>
        <w:topLinePunct w:val="0"/>
        <w:bidi w:val="0"/>
        <w:adjustRightInd/>
        <w:snapToGrid/>
        <w:spacing w:line="240" w:lineRule="auto"/>
        <w:textAlignment w:val="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keepNext w:val="0"/>
        <w:keepLines w:val="0"/>
        <w:pageBreakBefore w:val="0"/>
        <w:tabs>
          <w:tab w:val="right" w:pos="8306"/>
        </w:tabs>
        <w:kinsoku/>
        <w:wordWrap/>
        <w:overflowPunct/>
        <w:topLinePunct w:val="0"/>
        <w:bidi w:val="0"/>
        <w:adjustRightInd/>
        <w:snapToGrid/>
        <w:spacing w:line="240" w:lineRule="auto"/>
        <w:textAlignment w:val="auto"/>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keepNext w:val="0"/>
        <w:keepLines w:val="0"/>
        <w:pageBreakBefore w:val="0"/>
        <w:tabs>
          <w:tab w:val="right" w:pos="8306"/>
        </w:tabs>
        <w:kinsoku/>
        <w:wordWrap/>
        <w:overflowPunct/>
        <w:topLinePunct w:val="0"/>
        <w:bidi w:val="0"/>
        <w:adjustRightInd/>
        <w:snapToGrid/>
        <w:spacing w:line="240" w:lineRule="auto"/>
        <w:textAlignment w:val="auto"/>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keepNext w:val="0"/>
        <w:keepLines w:val="0"/>
        <w:pageBreakBefore w:val="0"/>
        <w:tabs>
          <w:tab w:val="right" w:pos="8306"/>
        </w:tabs>
        <w:kinsoku/>
        <w:wordWrap/>
        <w:overflowPunct/>
        <w:topLinePunct w:val="0"/>
        <w:bidi w:val="0"/>
        <w:adjustRightInd/>
        <w:snapToGrid/>
        <w:spacing w:line="240" w:lineRule="auto"/>
        <w:ind w:left="0" w:leftChars="0"/>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keepNext w:val="0"/>
        <w:keepLines w:val="0"/>
        <w:pageBreakBefore w:val="0"/>
        <w:kinsoku/>
        <w:wordWrap/>
        <w:overflowPunct/>
        <w:topLinePunct w:val="0"/>
        <w:bidi w:val="0"/>
        <w:adjustRightInd/>
        <w:snapToGrid/>
        <w:spacing w:line="240" w:lineRule="auto"/>
        <w:textAlignment w:val="auto"/>
      </w:pPr>
      <w:r>
        <w:rPr>
          <w:rFonts w:hint="eastAsia" w:ascii="仿宋_GB2312" w:hAnsi="仿宋_GB2312" w:eastAsia="仿宋_GB2312" w:cs="仿宋_GB2312"/>
          <w:sz w:val="32"/>
          <w:szCs w:val="32"/>
        </w:rPr>
        <w:fldChar w:fldCharType="end"/>
      </w:r>
    </w:p>
    <w:p>
      <w:pPr>
        <w:keepNext w:val="0"/>
        <w:keepLines w:val="0"/>
        <w:pageBreakBefore w:val="0"/>
        <w:kinsoku/>
        <w:wordWrap/>
        <w:overflowPunct/>
        <w:topLinePunct w:val="0"/>
        <w:bidi w:val="0"/>
        <w:adjustRightInd/>
        <w:snapToGrid/>
        <w:spacing w:line="240" w:lineRule="auto"/>
        <w:textAlignment w:val="auto"/>
        <w:rPr>
          <w:rFonts w:ascii="仿宋_GB2312" w:eastAsia="仿宋_GB2312"/>
          <w:sz w:val="32"/>
          <w:szCs w:val="32"/>
        </w:rPr>
      </w:pPr>
      <w:r>
        <w:rPr>
          <w:rFonts w:hint="eastAsia" w:ascii="仿宋_GB2312" w:eastAsia="仿宋_GB2312"/>
          <w:sz w:val="32"/>
          <w:szCs w:val="32"/>
        </w:rPr>
        <w:br w:type="page"/>
      </w:r>
    </w:p>
    <w:p>
      <w:pPr>
        <w:keepNext w:val="0"/>
        <w:keepLines w:val="0"/>
        <w:pageBreakBefore w:val="0"/>
        <w:kinsoku/>
        <w:wordWrap/>
        <w:overflowPunct/>
        <w:topLinePunct w:val="0"/>
        <w:bidi w:val="0"/>
        <w:adjustRightInd/>
        <w:snapToGrid/>
        <w:spacing w:line="240" w:lineRule="auto"/>
        <w:jc w:val="center"/>
        <w:textAlignment w:val="auto"/>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（一）提供公共卫生服务</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1.承担本乡镇农村居民健康档案规范建档指导、管理及服务。</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2.普及卫生保健常识,在重点人群和重点场所开展健康教育,帮助居民形成有利于维护和增进健康的行为方式;指导开展爱国卫生工作</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3.提供并组织实施本乡镇预防接种服务,落实国家免疫规划。</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4.及时发现、登记并报告本乡镇内发现的传染病病例和疑似病例参与现场疫情处理。</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5.开展新生儿访视及儿童保健系统管理,进行体格检查和生长发育监测及评价,开展健康指导。</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6.开展孕产妇保健系统管理和产后访视,进行一般体格检查及孕期营养、心理等健康指导。</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7.对本乡镇65岁及以上老年人进行登记管理,进行健康危险因素调查和一般体格检查,开展健康指导</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8.对高血压、糖尿病等慢性病高危人群进行指导,对确诊高血压糖尿病等慢性病病例进行登记管理、定期随访和健康指导。</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9.对本乡镇重性精神疾病患者进行登记管理、治疗随访和康复指导</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10.负责本乡镇内突发公共卫生事件的报告并协助处理。</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rPr>
        <w:t>11.做好卫生行政部门规定的其他公共卫生服务</w:t>
      </w:r>
      <w:r>
        <w:rPr>
          <w:rFonts w:hint="eastAsia" w:ascii="仿宋_GB2312" w:hAnsi="黑体" w:eastAsia="仿宋_GB2312" w:cs="宋体"/>
          <w:bCs/>
          <w:kern w:val="0"/>
          <w:sz w:val="32"/>
          <w:szCs w:val="32"/>
          <w:lang w:eastAsia="zh-CN"/>
        </w:rPr>
        <w:t>。</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（二）提供基本医疗服务</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1.使用农村适宜医疗技术和中医药技术,正确处理常见病、多发病,对疑难重症进行恰当的处理并转诊。承担乡村现场应急救护、转诊服务和康复服务。</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2.能完成外科的止血、缝合、包扎、骨折固定等处置。</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3.健全消毒、隔离制度,遵守无菌操作规程,加强医疗质量管理。做好医疗废物处理和污水、污物无害化处理。</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4.执行国家基本药物制度药品集中采购、零差率销售等政策,为实施一体化管理的村卫生室统一代购药品。</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5.提供政府卫生行政部门批准的其他适宜的医疗服务。</w:t>
      </w:r>
    </w:p>
    <w:p>
      <w:pPr>
        <w:keepNext w:val="0"/>
        <w:keepLines w:val="0"/>
        <w:pageBreakBefore w:val="0"/>
        <w:widowControl/>
        <w:kinsoku/>
        <w:wordWrap/>
        <w:overflowPunct/>
        <w:topLinePunct w:val="0"/>
        <w:bidi w:val="0"/>
        <w:adjustRightInd/>
        <w:snapToGrid/>
        <w:spacing w:line="240" w:lineRule="auto"/>
        <w:ind w:firstLine="640" w:firstLineChars="20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（三）承担公共卫生管理</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1.对本乡镇内传染病防治、学校卫生、食品卫生、饮水卫生、职业卫生,以及村级预防保健工作进行指导、培训、考核与监督。</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2.严格执行医疗保险政策规定,履行定点医疗机构职责,做好有关的政策宣传、监督及服务工作。</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3.深入推进乡村卫生服务一体化管理,对村卫生室实行以行政、服务一体化管理,对村卫生室实行以行政、人员、业务、药品、财产为基本内容的“五统一”规范管理;负责村卫生室的技术指导和乡村医生培训等工作。</w:t>
      </w:r>
    </w:p>
    <w:p>
      <w:pPr>
        <w:keepNext w:val="0"/>
        <w:keepLines w:val="0"/>
        <w:pageBreakBefore w:val="0"/>
        <w:widowControl/>
        <w:kinsoku/>
        <w:wordWrap/>
        <w:overflowPunct/>
        <w:topLinePunct w:val="0"/>
        <w:bidi w:val="0"/>
        <w:adjustRightInd/>
        <w:snapToGrid/>
        <w:spacing w:line="240" w:lineRule="auto"/>
        <w:ind w:firstLine="640" w:firstLineChars="20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（四）卫生行政管理</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1.在本乡镇政府和卫健委领导下,依据当地社会经济发展规划,协助制定和实施本乡镇的初级卫生规划。</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ascii="仿宋_GB2312" w:hAnsi="黑体" w:eastAsia="仿宋_GB2312" w:cs="宋体"/>
          <w:bCs/>
          <w:kern w:val="0"/>
          <w:sz w:val="32"/>
          <w:szCs w:val="32"/>
        </w:rPr>
      </w:pPr>
      <w:r>
        <w:rPr>
          <w:rFonts w:hint="eastAsia" w:ascii="仿宋_GB2312" w:hAnsi="黑体" w:eastAsia="仿宋_GB2312" w:cs="宋体"/>
          <w:bCs/>
          <w:kern w:val="0"/>
          <w:sz w:val="32"/>
          <w:szCs w:val="32"/>
        </w:rPr>
        <w:t>2.配合有关部门动员组织群众开展爱国卫生活动,逐步改善本乡镇卫生状况。</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r>
        <w:rPr>
          <w:rFonts w:hint="eastAsia" w:ascii="黑体" w:hAnsi="黑体" w:eastAsia="黑体" w:cs="宋体"/>
          <w:bCs/>
          <w:kern w:val="0"/>
          <w:sz w:val="32"/>
          <w:szCs w:val="32"/>
          <w:lang w:val="en-US" w:eastAsia="zh-CN"/>
        </w:rPr>
        <w:t xml:space="preserve"> </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沙湾市商户地乡卫生院2023年度，实有人数</w:t>
      </w:r>
      <w:r>
        <w:rPr>
          <w:rFonts w:hint="eastAsia" w:ascii="仿宋_GB2312" w:hAnsi="黑体" w:eastAsia="仿宋_GB2312" w:cs="宋体"/>
          <w:bCs/>
          <w:kern w:val="0"/>
          <w:sz w:val="32"/>
          <w:szCs w:val="32"/>
          <w:lang w:val="zh-CN"/>
        </w:rPr>
        <w:t>26</w:t>
      </w:r>
      <w:r>
        <w:rPr>
          <w:rFonts w:hint="eastAsia" w:ascii="仿宋_GB2312" w:hAnsi="黑体" w:eastAsia="仿宋_GB2312" w:cs="宋体"/>
          <w:bCs/>
          <w:kern w:val="0"/>
          <w:sz w:val="32"/>
          <w:szCs w:val="32"/>
        </w:rPr>
        <w:t>人，其中：在职人员</w:t>
      </w:r>
      <w:r>
        <w:rPr>
          <w:rFonts w:hint="eastAsia" w:ascii="仿宋_GB2312" w:hAnsi="黑体" w:eastAsia="仿宋_GB2312" w:cs="宋体"/>
          <w:bCs/>
          <w:kern w:val="0"/>
          <w:sz w:val="32"/>
          <w:szCs w:val="32"/>
          <w:lang w:val="zh-CN"/>
        </w:rPr>
        <w:t>23</w:t>
      </w:r>
      <w:r>
        <w:rPr>
          <w:rFonts w:hint="eastAsia" w:ascii="仿宋_GB2312" w:hAnsi="黑体" w:eastAsia="仿宋_GB2312" w:cs="宋体"/>
          <w:bCs/>
          <w:kern w:val="0"/>
          <w:sz w:val="32"/>
          <w:szCs w:val="32"/>
        </w:rPr>
        <w:t>人，离休人员</w:t>
      </w:r>
      <w:r>
        <w:rPr>
          <w:rFonts w:hint="eastAsia" w:ascii="仿宋_GB2312" w:hAnsi="黑体" w:eastAsia="仿宋_GB2312" w:cs="宋体"/>
          <w:bCs/>
          <w:kern w:val="0"/>
          <w:sz w:val="32"/>
          <w:szCs w:val="32"/>
          <w:lang w:val="zh-CN"/>
        </w:rPr>
        <w:t>0</w:t>
      </w:r>
      <w:r>
        <w:rPr>
          <w:rFonts w:hint="eastAsia" w:ascii="仿宋_GB2312" w:hAnsi="黑体" w:eastAsia="仿宋_GB2312" w:cs="宋体"/>
          <w:bCs/>
          <w:kern w:val="0"/>
          <w:sz w:val="32"/>
          <w:szCs w:val="32"/>
        </w:rPr>
        <w:t>人，退休人员</w:t>
      </w:r>
      <w:r>
        <w:rPr>
          <w:rFonts w:hint="eastAsia" w:ascii="仿宋_GB2312" w:hAnsi="黑体" w:eastAsia="仿宋_GB2312" w:cs="宋体"/>
          <w:bCs/>
          <w:kern w:val="0"/>
          <w:sz w:val="32"/>
          <w:szCs w:val="32"/>
          <w:lang w:val="zh-CN"/>
        </w:rPr>
        <w:t>3</w:t>
      </w:r>
      <w:r>
        <w:rPr>
          <w:rFonts w:hint="eastAsia" w:ascii="仿宋_GB2312" w:hAnsi="黑体" w:eastAsia="仿宋_GB2312" w:cs="宋体"/>
          <w:bCs/>
          <w:kern w:val="0"/>
          <w:sz w:val="32"/>
          <w:szCs w:val="32"/>
        </w:rPr>
        <w:t>人。</w:t>
      </w:r>
    </w:p>
    <w:p>
      <w:pPr>
        <w:keepNext w:val="0"/>
        <w:keepLines w:val="0"/>
        <w:pageBreakBefore w:val="0"/>
        <w:widowControl/>
        <w:kinsoku/>
        <w:wordWrap/>
        <w:overflowPunct/>
        <w:topLinePunct w:val="0"/>
        <w:bidi w:val="0"/>
        <w:adjustRightInd/>
        <w:snapToGrid/>
        <w:spacing w:line="240" w:lineRule="auto"/>
        <w:ind w:firstLine="640"/>
        <w:jc w:val="left"/>
        <w:textAlignment w:val="auto"/>
        <w:rPr>
          <w:rFonts w:hint="eastAsia" w:ascii="仿宋_GB2312" w:hAnsi="黑体" w:eastAsia="仿宋_GB2312" w:cs="宋体"/>
          <w:bCs/>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：医生办公室、护士办公室、药房、辅助科室、公共卫生办公室、预防保健室、财务室</w:t>
      </w:r>
      <w:r>
        <w:rPr>
          <w:rFonts w:hint="eastAsia" w:ascii="仿宋_GB2312" w:hAnsi="黑体" w:eastAsia="仿宋_GB2312" w:cs="宋体"/>
          <w:bCs/>
          <w:kern w:val="0"/>
          <w:sz w:val="32"/>
          <w:szCs w:val="32"/>
        </w:rPr>
        <w:t>。</w:t>
      </w:r>
    </w:p>
    <w:p>
      <w:pPr>
        <w:keepNext w:val="0"/>
        <w:keepLines w:val="0"/>
        <w:pageBreakBefore w:val="0"/>
        <w:kinsoku/>
        <w:wordWrap/>
        <w:overflowPunct/>
        <w:topLinePunct w:val="0"/>
        <w:bidi w:val="0"/>
        <w:adjustRightInd/>
        <w:snapToGrid/>
        <w:spacing w:line="240" w:lineRule="auto"/>
        <w:jc w:val="center"/>
        <w:textAlignment w:val="auto"/>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eastAsia="仿宋_GB2312"/>
          <w:sz w:val="32"/>
          <w:szCs w:val="32"/>
        </w:rPr>
      </w:pPr>
      <w:r>
        <w:rPr>
          <w:rFonts w:hint="eastAsia" w:ascii="仿宋_GB2312" w:eastAsia="仿宋_GB2312"/>
          <w:sz w:val="32"/>
          <w:szCs w:val="32"/>
        </w:rPr>
        <w:t>2023年度收入总计455.93万元，其中：本年收入合计455.93万元，使用非财政拨款结余0.00万元，年初结转和结余0.00万元。</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eastAsia="仿宋_GB2312"/>
          <w:sz w:val="32"/>
          <w:szCs w:val="32"/>
        </w:rPr>
      </w:pPr>
      <w:r>
        <w:rPr>
          <w:rFonts w:hint="eastAsia" w:ascii="仿宋_GB2312" w:eastAsia="仿宋_GB2312"/>
          <w:sz w:val="32"/>
          <w:szCs w:val="32"/>
        </w:rPr>
        <w:t>2023年度支出总计455.93万元，其中：本年支出合计439.35万元，结余分配0.00万元，年末结转和结余16.57万元。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eastAsia="仿宋_GB2312"/>
          <w:sz w:val="32"/>
          <w:szCs w:val="32"/>
          <w:highlight w:val="none"/>
        </w:rPr>
      </w:pPr>
      <w:r>
        <w:rPr>
          <w:rFonts w:hint="eastAsia" w:ascii="仿宋_GB2312" w:eastAsia="仿宋_GB2312"/>
          <w:sz w:val="32"/>
          <w:szCs w:val="32"/>
        </w:rPr>
        <w:t>收入支出总体与上年相比，</w:t>
      </w:r>
      <w:r>
        <w:rPr>
          <w:rFonts w:hint="eastAsia" w:ascii="仿宋_GB2312" w:eastAsia="仿宋_GB2312"/>
          <w:sz w:val="32"/>
          <w:szCs w:val="32"/>
          <w:lang w:val="zh-CN"/>
        </w:rPr>
        <w:t>增加89.58万元</w:t>
      </w:r>
      <w:r>
        <w:rPr>
          <w:rFonts w:hint="eastAsia" w:ascii="仿宋_GB2312" w:eastAsia="仿宋_GB2312"/>
          <w:sz w:val="32"/>
          <w:szCs w:val="32"/>
        </w:rPr>
        <w:t>，增长24.45%，主要原因是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年人员工资调资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新分配两名规培生工资及社保增加；二是2023年发放2018年及2020年绩效工资</w:t>
      </w:r>
      <w:r>
        <w:rPr>
          <w:rFonts w:hint="eastAsia" w:ascii="仿宋_GB2312" w:eastAsia="仿宋_GB2312"/>
          <w:color w:val="auto"/>
          <w:spacing w:val="0"/>
          <w:sz w:val="32"/>
          <w:szCs w:val="32"/>
          <w:highlight w:val="none"/>
          <w:lang w:val="en-US" w:eastAsia="zh-CN"/>
        </w:rPr>
        <w:t>；三是</w:t>
      </w:r>
      <w:r>
        <w:rPr>
          <w:rFonts w:hint="eastAsia" w:ascii="仿宋_GB2312" w:eastAsia="仿宋_GB2312"/>
          <w:sz w:val="32"/>
          <w:szCs w:val="32"/>
          <w:highlight w:val="none"/>
        </w:rPr>
        <w:t>人员经费增加，财政拨款收入增加。</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eastAsia="仿宋_GB2312"/>
          <w:sz w:val="32"/>
          <w:szCs w:val="32"/>
        </w:rPr>
      </w:pPr>
      <w:r>
        <w:rPr>
          <w:rFonts w:hint="eastAsia" w:ascii="仿宋_GB2312" w:eastAsia="仿宋_GB2312"/>
          <w:sz w:val="32"/>
          <w:szCs w:val="32"/>
        </w:rPr>
        <w:t>本年收入455.93万元，其中：财政拨款收入</w:t>
      </w:r>
      <w:r>
        <w:rPr>
          <w:rFonts w:hint="eastAsia" w:ascii="仿宋_GB2312" w:eastAsia="仿宋_GB2312"/>
          <w:sz w:val="32"/>
          <w:szCs w:val="32"/>
          <w:lang w:val="zh-CN"/>
        </w:rPr>
        <w:t>415.70</w:t>
      </w:r>
      <w:r>
        <w:rPr>
          <w:rFonts w:hint="eastAsia" w:ascii="仿宋_GB2312" w:eastAsia="仿宋_GB2312"/>
          <w:sz w:val="32"/>
          <w:szCs w:val="32"/>
        </w:rPr>
        <w:t>万元，占</w:t>
      </w:r>
      <w:r>
        <w:rPr>
          <w:rFonts w:hint="eastAsia" w:ascii="仿宋_GB2312" w:eastAsia="仿宋_GB2312"/>
          <w:sz w:val="32"/>
          <w:szCs w:val="32"/>
          <w:lang w:val="zh-CN"/>
        </w:rPr>
        <w:t>91.18%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40.13</w:t>
      </w:r>
      <w:r>
        <w:rPr>
          <w:rFonts w:hint="eastAsia" w:ascii="仿宋_GB2312" w:eastAsia="仿宋_GB2312"/>
          <w:sz w:val="32"/>
          <w:szCs w:val="32"/>
        </w:rPr>
        <w:t>万元，占</w:t>
      </w:r>
      <w:r>
        <w:rPr>
          <w:rFonts w:hint="eastAsia" w:ascii="仿宋_GB2312" w:eastAsia="仿宋_GB2312"/>
          <w:sz w:val="32"/>
          <w:szCs w:val="32"/>
          <w:lang w:val="zh-CN"/>
        </w:rPr>
        <w:t>8.80%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0.10</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本年支出439.35万元，其中：基本支出337.49万元，占76.82%；项目支出101.86万元，占23.18%；上缴上级支出0.00万元，占0.00%；经营支出0.00万元，占0.00%；对附属单位补助支出0.00万元，占0.00%。</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415.70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415.70</w:t>
      </w:r>
      <w:r>
        <w:rPr>
          <w:rFonts w:hint="eastAsia" w:ascii="仿宋_GB2312" w:eastAsia="仿宋_GB2312"/>
          <w:sz w:val="32"/>
          <w:szCs w:val="32"/>
        </w:rPr>
        <w:t>万元。财政拨款支出总计</w:t>
      </w:r>
      <w:r>
        <w:rPr>
          <w:rFonts w:hint="eastAsia" w:ascii="仿宋_GB2312" w:eastAsia="仿宋_GB2312"/>
          <w:sz w:val="32"/>
          <w:szCs w:val="32"/>
          <w:lang w:val="zh-CN"/>
        </w:rPr>
        <w:t>415.70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415.70</w:t>
      </w:r>
      <w:r>
        <w:rPr>
          <w:rFonts w:hint="eastAsia" w:ascii="仿宋_GB2312" w:eastAsia="仿宋_GB2312"/>
          <w:sz w:val="32"/>
          <w:szCs w:val="32"/>
        </w:rPr>
        <w:t>万元。</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增加49.35万元</w:t>
      </w:r>
      <w:r>
        <w:rPr>
          <w:rFonts w:hint="eastAsia" w:ascii="仿宋_GB2312" w:eastAsia="仿宋_GB2312"/>
          <w:sz w:val="32"/>
          <w:szCs w:val="32"/>
        </w:rPr>
        <w:t>，增长13.47%,主要</w:t>
      </w:r>
      <w:r>
        <w:rPr>
          <w:rFonts w:hint="eastAsia" w:ascii="仿宋_GB2312" w:eastAsia="仿宋_GB2312"/>
          <w:sz w:val="32"/>
          <w:szCs w:val="32"/>
          <w:highlight w:val="none"/>
        </w:rPr>
        <w:t>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新分配2人，工资及社保增加；二是</w:t>
      </w:r>
      <w:r>
        <w:rPr>
          <w:rFonts w:hint="eastAsia" w:ascii="仿宋_GB2312" w:eastAsia="仿宋_GB2312"/>
          <w:sz w:val="32"/>
          <w:szCs w:val="32"/>
          <w:highlight w:val="none"/>
        </w:rPr>
        <w:t>人员工资普调、职称晋升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三是2023年发放2018年及2020年绩效工资。</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302.06</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415.70</w:t>
      </w:r>
      <w:r>
        <w:rPr>
          <w:rFonts w:hint="eastAsia" w:ascii="仿宋_GB2312" w:eastAsia="仿宋_GB2312"/>
          <w:sz w:val="32"/>
          <w:szCs w:val="32"/>
          <w:highlight w:val="none"/>
        </w:rPr>
        <w:t>万元，预决算差异率37.62%，主要原因是：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新分配2人，工资及社保增加；二是</w:t>
      </w:r>
      <w:r>
        <w:rPr>
          <w:rFonts w:hint="eastAsia" w:ascii="仿宋_GB2312" w:eastAsia="仿宋_GB2312"/>
          <w:sz w:val="32"/>
          <w:szCs w:val="32"/>
          <w:highlight w:val="none"/>
        </w:rPr>
        <w:t>人员工资普调、职称晋升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三是2023年发放2018年及2020年绩效工资。</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rPr>
        <w:t>2023年度一般公共预算财政拨款支出415.70万元，占本年</w:t>
      </w:r>
      <w:r>
        <w:rPr>
          <w:rFonts w:hint="eastAsia" w:ascii="仿宋_GB2312" w:eastAsia="仿宋_GB2312"/>
          <w:sz w:val="32"/>
          <w:szCs w:val="32"/>
          <w:highlight w:val="none"/>
        </w:rPr>
        <w:t>支出合计的</w:t>
      </w:r>
      <w:r>
        <w:rPr>
          <w:rFonts w:hint="eastAsia" w:ascii="仿宋_GB2312" w:eastAsia="仿宋_GB2312"/>
          <w:sz w:val="32"/>
          <w:szCs w:val="32"/>
          <w:highlight w:val="none"/>
          <w:lang w:val="zh-CN"/>
        </w:rPr>
        <w:t>94.62%</w:t>
      </w:r>
      <w:r>
        <w:rPr>
          <w:rFonts w:hint="eastAsia" w:ascii="仿宋_GB2312" w:eastAsia="仿宋_GB2312"/>
          <w:sz w:val="32"/>
          <w:szCs w:val="32"/>
          <w:highlight w:val="none"/>
        </w:rPr>
        <w:t>。与上年相比，</w:t>
      </w:r>
      <w:r>
        <w:rPr>
          <w:rFonts w:hint="eastAsia" w:ascii="仿宋_GB2312" w:eastAsia="仿宋_GB2312"/>
          <w:sz w:val="32"/>
          <w:szCs w:val="32"/>
          <w:highlight w:val="none"/>
          <w:lang w:val="zh-CN"/>
        </w:rPr>
        <w:t>增加49.35万元</w:t>
      </w:r>
      <w:r>
        <w:rPr>
          <w:rFonts w:hint="eastAsia" w:ascii="仿宋_GB2312" w:eastAsia="仿宋_GB2312"/>
          <w:sz w:val="32"/>
          <w:szCs w:val="32"/>
          <w:highlight w:val="none"/>
        </w:rPr>
        <w:t>，增长13.47%,主要原因是：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新分配2人，工资及社保增加；二是</w:t>
      </w:r>
      <w:r>
        <w:rPr>
          <w:rFonts w:hint="eastAsia" w:ascii="仿宋_GB2312" w:eastAsia="仿宋_GB2312"/>
          <w:sz w:val="32"/>
          <w:szCs w:val="32"/>
          <w:highlight w:val="none"/>
        </w:rPr>
        <w:t>人员工资普调、职称晋升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三是2023年发放2018年及2020年绩效工资。</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302.06</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415.70</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zh-CN"/>
        </w:rPr>
        <w:t>37.62%</w:t>
      </w:r>
      <w:r>
        <w:rPr>
          <w:rFonts w:hint="eastAsia" w:ascii="仿宋_GB2312" w:eastAsia="仿宋_GB2312"/>
          <w:sz w:val="32"/>
          <w:szCs w:val="32"/>
          <w:highlight w:val="none"/>
        </w:rPr>
        <w:t>，主要原因是：</w:t>
      </w:r>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新分配2人，工资及社保增加；二是</w:t>
      </w:r>
      <w:r>
        <w:rPr>
          <w:rFonts w:hint="eastAsia" w:ascii="仿宋_GB2312" w:eastAsia="仿宋_GB2312"/>
          <w:sz w:val="32"/>
          <w:szCs w:val="32"/>
          <w:highlight w:val="none"/>
        </w:rPr>
        <w:t>人员工资普调、职称晋升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三是2023年发放2018年及2020年绩效工资。</w:t>
      </w:r>
    </w:p>
    <w:p>
      <w:pPr>
        <w:keepNext w:val="0"/>
        <w:keepLines w:val="0"/>
        <w:pageBreakBefore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9"/>
        <w:rPr>
          <w:rFonts w:ascii="黑体" w:hAnsi="黑体" w:eastAsia="黑体"/>
          <w:sz w:val="32"/>
          <w:szCs w:val="32"/>
          <w:highlight w:val="none"/>
        </w:rPr>
      </w:pPr>
      <w:r>
        <w:rPr>
          <w:rFonts w:hint="eastAsia" w:ascii="黑体" w:hAnsi="黑体" w:eastAsia="黑体"/>
          <w:sz w:val="32"/>
          <w:szCs w:val="32"/>
          <w:highlight w:val="none"/>
        </w:rPr>
        <w:t>一般公共预算财政拨款支出决算结构情况</w:t>
      </w:r>
    </w:p>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left"/>
        <w:textAlignment w:val="auto"/>
        <w:outlineLvl w:val="9"/>
        <w:rPr>
          <w:rFonts w:ascii="仿宋_GB2312" w:eastAsia="仿宋_GB2312"/>
          <w:color w:val="auto"/>
          <w:kern w:val="2"/>
          <w:sz w:val="32"/>
          <w:szCs w:val="32"/>
          <w:highlight w:val="none"/>
          <w:lang w:val="zh-CN"/>
        </w:rPr>
      </w:pPr>
      <w:r>
        <w:rPr>
          <w:rFonts w:hint="eastAsia" w:ascii="仿宋_GB2312" w:eastAsia="仿宋_GB2312"/>
          <w:kern w:val="2"/>
          <w:sz w:val="32"/>
          <w:szCs w:val="32"/>
          <w:highlight w:val="none"/>
          <w:lang w:val="en-US" w:eastAsia="zh-CN"/>
        </w:rPr>
        <w:t>1</w:t>
      </w:r>
      <w:r>
        <w:rPr>
          <w:rFonts w:ascii="仿宋_GB2312" w:eastAsia="仿宋_GB2312"/>
          <w:kern w:val="2"/>
          <w:sz w:val="32"/>
          <w:szCs w:val="32"/>
          <w:highlight w:val="none"/>
          <w:lang w:val="zh-CN"/>
        </w:rPr>
        <w:t>.社会保障和就业支出（类）</w:t>
      </w:r>
      <w:r>
        <w:rPr>
          <w:rFonts w:hint="eastAsia" w:ascii="仿宋_GB2312" w:eastAsia="仿宋_GB2312"/>
          <w:kern w:val="2"/>
          <w:sz w:val="32"/>
          <w:szCs w:val="32"/>
          <w:highlight w:val="none"/>
          <w:lang w:val="zh-CN"/>
        </w:rPr>
        <w:t>34.</w:t>
      </w:r>
      <w:r>
        <w:rPr>
          <w:rFonts w:hint="eastAsia" w:ascii="仿宋_GB2312" w:eastAsia="仿宋_GB2312"/>
          <w:color w:val="auto"/>
          <w:kern w:val="2"/>
          <w:sz w:val="32"/>
          <w:szCs w:val="32"/>
          <w:highlight w:val="none"/>
          <w:lang w:val="zh-CN"/>
        </w:rPr>
        <w:t>38</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8.27%</w:t>
      </w:r>
      <w:r>
        <w:rPr>
          <w:rFonts w:ascii="仿宋_GB2312" w:eastAsia="仿宋_GB2312"/>
          <w:color w:val="auto"/>
          <w:kern w:val="2"/>
          <w:sz w:val="32"/>
          <w:szCs w:val="32"/>
          <w:highlight w:val="none"/>
          <w:lang w:val="zh-CN"/>
        </w:rPr>
        <w:t>；</w:t>
      </w:r>
    </w:p>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left"/>
        <w:textAlignment w:val="auto"/>
        <w:outlineLvl w:val="9"/>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lang w:val="en-US" w:eastAsia="zh-CN"/>
        </w:rPr>
        <w:t>2</w:t>
      </w:r>
      <w:r>
        <w:rPr>
          <w:rFonts w:ascii="仿宋_GB2312" w:eastAsia="仿宋_GB2312"/>
          <w:color w:val="auto"/>
          <w:kern w:val="2"/>
          <w:sz w:val="32"/>
          <w:szCs w:val="32"/>
          <w:highlight w:val="none"/>
          <w:lang w:val="zh-CN"/>
        </w:rPr>
        <w:t>.卫生健康支出（类）</w:t>
      </w:r>
      <w:r>
        <w:rPr>
          <w:rFonts w:hint="eastAsia" w:ascii="仿宋_GB2312" w:eastAsia="仿宋_GB2312"/>
          <w:color w:val="auto"/>
          <w:kern w:val="2"/>
          <w:sz w:val="32"/>
          <w:szCs w:val="32"/>
          <w:highlight w:val="none"/>
          <w:lang w:val="zh-CN"/>
        </w:rPr>
        <w:t>359.01</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86.36%</w:t>
      </w:r>
      <w:r>
        <w:rPr>
          <w:rFonts w:ascii="仿宋_GB2312" w:eastAsia="仿宋_GB2312"/>
          <w:color w:val="auto"/>
          <w:kern w:val="2"/>
          <w:sz w:val="32"/>
          <w:szCs w:val="32"/>
          <w:highlight w:val="none"/>
          <w:lang w:val="zh-CN"/>
        </w:rPr>
        <w:t>；</w:t>
      </w:r>
    </w:p>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40" w:firstLineChars="200"/>
        <w:jc w:val="left"/>
        <w:textAlignment w:val="auto"/>
        <w:outlineLvl w:val="9"/>
        <w:rPr>
          <w:rFonts w:ascii="仿宋_GB2312" w:eastAsia="仿宋_GB2312"/>
          <w:color w:val="auto"/>
          <w:kern w:val="2"/>
          <w:sz w:val="32"/>
          <w:szCs w:val="32"/>
          <w:highlight w:val="none"/>
          <w:lang w:val="zh-CN"/>
        </w:rPr>
      </w:pPr>
      <w:r>
        <w:rPr>
          <w:rFonts w:hint="eastAsia" w:ascii="仿宋_GB2312" w:eastAsia="仿宋_GB2312"/>
          <w:color w:val="auto"/>
          <w:kern w:val="2"/>
          <w:sz w:val="32"/>
          <w:szCs w:val="32"/>
          <w:highlight w:val="none"/>
          <w:lang w:val="en-US" w:eastAsia="zh-CN"/>
        </w:rPr>
        <w:t>3</w:t>
      </w:r>
      <w:r>
        <w:rPr>
          <w:rFonts w:ascii="仿宋_GB2312" w:eastAsia="仿宋_GB2312"/>
          <w:color w:val="auto"/>
          <w:kern w:val="2"/>
          <w:sz w:val="32"/>
          <w:szCs w:val="32"/>
          <w:highlight w:val="none"/>
          <w:lang w:val="zh-CN"/>
        </w:rPr>
        <w:t>.住房保障支出（类）</w:t>
      </w:r>
      <w:r>
        <w:rPr>
          <w:rFonts w:hint="eastAsia" w:ascii="仿宋_GB2312" w:eastAsia="仿宋_GB2312"/>
          <w:color w:val="auto"/>
          <w:kern w:val="2"/>
          <w:sz w:val="32"/>
          <w:szCs w:val="32"/>
          <w:highlight w:val="none"/>
          <w:lang w:val="zh-CN"/>
        </w:rPr>
        <w:t>22.31</w:t>
      </w:r>
      <w:r>
        <w:rPr>
          <w:rFonts w:ascii="仿宋_GB2312" w:eastAsia="仿宋_GB2312"/>
          <w:color w:val="auto"/>
          <w:kern w:val="2"/>
          <w:sz w:val="32"/>
          <w:szCs w:val="32"/>
          <w:highlight w:val="none"/>
          <w:lang w:val="zh-CN"/>
        </w:rPr>
        <w:t>万元，占</w:t>
      </w:r>
      <w:r>
        <w:rPr>
          <w:rFonts w:hint="eastAsia" w:ascii="仿宋_GB2312" w:eastAsia="仿宋_GB2312"/>
          <w:color w:val="auto"/>
          <w:kern w:val="2"/>
          <w:sz w:val="32"/>
          <w:szCs w:val="32"/>
          <w:highlight w:val="none"/>
          <w:lang w:val="zh-CN"/>
        </w:rPr>
        <w:t>5.37%。</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黑体" w:hAnsi="黑体" w:eastAsia="黑体"/>
          <w:sz w:val="32"/>
          <w:szCs w:val="32"/>
          <w:highlight w:val="none"/>
        </w:rPr>
      </w:pPr>
      <w:r>
        <w:rPr>
          <w:rFonts w:hint="eastAsia" w:ascii="黑体" w:hAnsi="黑体" w:eastAsia="黑体"/>
          <w:sz w:val="32"/>
          <w:szCs w:val="32"/>
          <w:highlight w:val="none"/>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1.卫生健康支出（类）行政事业单位医疗（款）事业单位医疗（项）:支出决算数为12.14万元，比上年决算增加0.43万元，增长3.67%，主要原因是：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w:t>
      </w:r>
      <w:r>
        <w:rPr>
          <w:rFonts w:hint="eastAsia" w:ascii="仿宋_GB2312" w:eastAsia="仿宋_GB2312"/>
          <w:sz w:val="32"/>
          <w:szCs w:val="32"/>
          <w:highlight w:val="none"/>
        </w:rPr>
        <w:t>相应社保缴费基数增加</w:t>
      </w:r>
      <w:r>
        <w:rPr>
          <w:rFonts w:hint="eastAsia" w:ascii="仿宋_GB2312" w:eastAsia="仿宋_GB2312"/>
          <w:sz w:val="32"/>
          <w:szCs w:val="32"/>
          <w:highlight w:val="none"/>
          <w:lang w:eastAsia="zh-CN"/>
        </w:rPr>
        <w:t>，</w:t>
      </w:r>
      <w:r>
        <w:rPr>
          <w:rFonts w:hint="eastAsia" w:ascii="仿宋_GB2312" w:eastAsia="仿宋_GB2312" w:cs="宋体"/>
          <w:kern w:val="0"/>
          <w:sz w:val="32"/>
          <w:szCs w:val="32"/>
          <w:highlight w:val="none"/>
          <w:lang w:eastAsia="zh-CN"/>
        </w:rPr>
        <w:t>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default"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2.卫生健康支出（类）基层医疗卫生机构（款）其他基层医疗卫生机构支出（项）:支出决算数为48.21万元，比上年决算增加18.04万元，增长59.79%，主要原因是：</w:t>
      </w:r>
      <w:r>
        <w:rPr>
          <w:rFonts w:hint="eastAsia" w:ascii="仿宋_GB2312" w:eastAsia="仿宋_GB2312"/>
          <w:sz w:val="32"/>
          <w:szCs w:val="32"/>
          <w:highlight w:val="none"/>
          <w:lang w:val="en-US" w:eastAsia="zh-CN"/>
        </w:rPr>
        <w:t>2023年增加了2016-2017年卫生院业务用房及周转宿舍项目、卫生院附属工程及村卫生室建设项目工程款资金。</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highlight w:val="none"/>
        </w:rPr>
        <w:t>3.卫生健康支出（类）公共卫生（款）其他公共卫生支出（项）:支出决算数为12.17万元，比上年决算减少12.69万元，下降51.05%，主要原因是：</w:t>
      </w:r>
      <w:r>
        <w:rPr>
          <w:rFonts w:hint="eastAsia" w:ascii="仿宋_GB2312" w:eastAsia="仿宋_GB2312"/>
          <w:sz w:val="32"/>
          <w:szCs w:val="32"/>
          <w:highlight w:val="none"/>
        </w:rPr>
        <w:t>2023年设备购置等项目未完成验收，项目资金未支付结转下年。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eastAsia" w:ascii="仿宋_GB2312" w:eastAsia="仿宋_GB2312"/>
          <w:sz w:val="32"/>
          <w:szCs w:val="32"/>
          <w:highlight w:val="none"/>
          <w:lang w:eastAsia="zh-CN"/>
        </w:rPr>
      </w:pPr>
      <w:r>
        <w:rPr>
          <w:rFonts w:hint="eastAsia" w:ascii="仿宋_GB2312" w:hAnsi="仿宋_GB2312" w:eastAsia="仿宋_GB2312" w:cs="仿宋_GB2312"/>
          <w:sz w:val="32"/>
          <w:szCs w:val="32"/>
          <w:highlight w:val="none"/>
        </w:rPr>
        <w:t>4.卫生健康支出（类）基层医疗卫生机构（款）乡镇卫生院（项）:支出决算数为245.01万元，比上年决算增加35.27万元，增长16.82%，主要原因是：</w:t>
      </w:r>
      <w:bookmarkStart w:id="18" w:name="OLE_LINK1"/>
      <w:r>
        <w:rPr>
          <w:rFonts w:hint="eastAsia" w:ascii="仿宋_GB2312" w:eastAsia="仿宋_GB2312"/>
          <w:sz w:val="32"/>
          <w:szCs w:val="32"/>
          <w:highlight w:val="none"/>
          <w:lang w:val="en-US" w:eastAsia="zh-CN"/>
        </w:rPr>
        <w:t>一是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新分配2人，工资及社保增加；二是</w:t>
      </w:r>
      <w:r>
        <w:rPr>
          <w:rFonts w:hint="eastAsia" w:ascii="仿宋_GB2312" w:eastAsia="仿宋_GB2312"/>
          <w:sz w:val="32"/>
          <w:szCs w:val="32"/>
          <w:highlight w:val="none"/>
        </w:rPr>
        <w:t>人员工资普调、职称晋升</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三是2023年发放2018年及2020年绩效工资。</w:t>
      </w:r>
    </w:p>
    <w:bookmarkEnd w:id="18"/>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rPr>
        <w:t>5.住房保障支出（类）住房改革支出（款）住房公积金（项）:支出决算数为22.31万元，比上年决算增加2.95万元，增长15.24%，主要原因是：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w:t>
      </w:r>
      <w:r>
        <w:rPr>
          <w:rFonts w:hint="eastAsia" w:ascii="仿宋_GB2312" w:hAnsi="宋体" w:eastAsia="仿宋_GB2312" w:cs="宋体"/>
          <w:color w:val="auto"/>
          <w:kern w:val="0"/>
          <w:sz w:val="32"/>
          <w:szCs w:val="32"/>
          <w:highlight w:val="none"/>
          <w:lang w:val="en-US" w:eastAsia="zh-CN"/>
        </w:rPr>
        <w:t>本年度人员工资普调，职工住房公积金缴费基数</w:t>
      </w:r>
      <w:r>
        <w:rPr>
          <w:rFonts w:hint="eastAsia" w:ascii="仿宋_GB2312" w:eastAsia="仿宋_GB2312" w:cs="宋体"/>
          <w:color w:val="auto"/>
          <w:kern w:val="0"/>
          <w:sz w:val="32"/>
          <w:szCs w:val="32"/>
          <w:highlight w:val="none"/>
          <w:lang w:val="en-US" w:eastAsia="zh-CN"/>
        </w:rPr>
        <w:t>增长</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6.社会保障和就业支出（类）行政事业单位养老支出（款）事业单位离退休（项）:支出决算数为1.48万元，比上年决算增加0.72万元，增长94.74%，主要原因是：</w:t>
      </w:r>
      <w:r>
        <w:rPr>
          <w:rFonts w:hint="eastAsia" w:ascii="仿宋_GB2312" w:eastAsia="仿宋_GB2312"/>
          <w:sz w:val="32"/>
          <w:szCs w:val="32"/>
          <w:highlight w:val="none"/>
          <w:lang w:val="en-US" w:eastAsia="zh-CN"/>
        </w:rPr>
        <w:t>2023年补发退休基础绩效增资，事业单位离退休支出增加。</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ascii="仿宋_GB2312" w:hAnsi="仿宋_GB2312" w:eastAsia="仿宋_GB2312" w:cs="仿宋_GB2312"/>
          <w:sz w:val="32"/>
          <w:szCs w:val="32"/>
          <w:highlight w:val="yellow"/>
          <w:lang w:val="zh-CN"/>
        </w:rPr>
      </w:pPr>
      <w:r>
        <w:rPr>
          <w:rFonts w:hint="eastAsia" w:ascii="仿宋_GB2312" w:hAnsi="仿宋_GB2312" w:eastAsia="仿宋_GB2312" w:cs="仿宋_GB2312"/>
          <w:sz w:val="32"/>
          <w:szCs w:val="32"/>
          <w:highlight w:val="none"/>
        </w:rPr>
        <w:t>7.卫生健康支出（类）公共卫生（款）基本公共卫生服务（项）:支出决算数为41.48万元，比上年决算减少1.03万元，下降2.42%，主要原因是：</w:t>
      </w:r>
      <w:r>
        <w:rPr>
          <w:rFonts w:hint="eastAsia" w:ascii="仿宋_GB2312" w:hAnsi="仿宋_GB2312" w:eastAsia="仿宋_GB2312" w:cs="仿宋_GB2312"/>
          <w:sz w:val="32"/>
          <w:szCs w:val="32"/>
          <w:highlight w:val="none"/>
          <w:lang w:val="en-US" w:eastAsia="zh-CN"/>
        </w:rPr>
        <w:t>由于</w:t>
      </w:r>
      <w:r>
        <w:rPr>
          <w:rFonts w:hint="eastAsia" w:ascii="仿宋_GB2312" w:eastAsia="仿宋_GB2312"/>
          <w:sz w:val="32"/>
          <w:szCs w:val="32"/>
          <w:highlight w:val="none"/>
          <w:lang w:val="en-US" w:eastAsia="zh-CN"/>
        </w:rPr>
        <w:t>辖区常住人口减少，2023年基本公共卫生服务项目支出减少。</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rPr>
        <w:t>8.社会保障和就业支出（类）行政事业单位养老支出（款）机关事业单位职业年金缴费支出（项）:支出决算数为5.09万元，比上年决算增加5.09万元，增长100%，主要原因是：</w:t>
      </w:r>
      <w:r>
        <w:rPr>
          <w:rFonts w:hint="eastAsia" w:ascii="仿宋_GB2312" w:hAnsi="仿宋_GB2312" w:eastAsia="仿宋_GB2312" w:cs="仿宋_GB2312"/>
          <w:sz w:val="32"/>
          <w:szCs w:val="32"/>
          <w:highlight w:val="none"/>
          <w:lang w:val="en-US" w:eastAsia="zh-CN"/>
        </w:rPr>
        <w:t>2023年发放退休人员职业年金，上年无此项支出。</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9.社会保障和就业支出（类）行政事业单位养老支出（款）机关事业单位基本养老保险缴费支出（项）:支出决算数为27.81万元，比上年决算增加6.69万元，增长31.68%，主要原因是：</w:t>
      </w:r>
      <w:r>
        <w:rPr>
          <w:rFonts w:hint="eastAsia" w:ascii="仿宋_GB2312" w:eastAsia="仿宋_GB2312"/>
          <w:sz w:val="32"/>
          <w:szCs w:val="32"/>
          <w:highlight w:val="none"/>
        </w:rPr>
        <w:t>我单位</w:t>
      </w:r>
      <w:r>
        <w:rPr>
          <w:rFonts w:hint="eastAsia" w:ascii="仿宋_GB2312" w:eastAsia="仿宋_GB2312"/>
          <w:sz w:val="32"/>
          <w:szCs w:val="32"/>
          <w:highlight w:val="none"/>
          <w:lang w:val="en-US" w:eastAsia="zh-CN"/>
        </w:rPr>
        <w:t>新分配2人，</w:t>
      </w:r>
      <w:r>
        <w:rPr>
          <w:rFonts w:hint="eastAsia" w:ascii="仿宋_GB2312" w:hAnsi="宋体" w:eastAsia="仿宋_GB2312" w:cs="宋体"/>
          <w:color w:val="auto"/>
          <w:kern w:val="0"/>
          <w:sz w:val="32"/>
          <w:szCs w:val="32"/>
          <w:highlight w:val="none"/>
          <w:lang w:val="en-US" w:eastAsia="zh-CN"/>
        </w:rPr>
        <w:t>本年度人员工资普调，职工基本养老保险缴费基数</w:t>
      </w:r>
      <w:r>
        <w:rPr>
          <w:rFonts w:hint="eastAsia" w:ascii="仿宋_GB2312" w:eastAsia="仿宋_GB2312" w:cs="宋体"/>
          <w:color w:val="auto"/>
          <w:kern w:val="0"/>
          <w:sz w:val="32"/>
          <w:szCs w:val="32"/>
          <w:highlight w:val="none"/>
          <w:lang w:val="en-US" w:eastAsia="zh-CN"/>
        </w:rPr>
        <w:t>增长</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单位基本养老保险缴费</w:t>
      </w:r>
      <w:r>
        <w:rPr>
          <w:rFonts w:hint="eastAsia" w:ascii="仿宋_GB2312" w:hAnsi="宋体" w:eastAsia="仿宋_GB2312" w:cs="宋体"/>
          <w:color w:val="auto"/>
          <w:kern w:val="0"/>
          <w:sz w:val="32"/>
          <w:szCs w:val="32"/>
          <w:highlight w:val="none"/>
          <w:lang w:val="en-US" w:eastAsia="zh-CN"/>
        </w:rPr>
        <w:t>预算</w:t>
      </w:r>
      <w:r>
        <w:rPr>
          <w:rFonts w:hint="eastAsia" w:ascii="仿宋_GB2312" w:eastAsia="仿宋_GB2312" w:cs="宋体"/>
          <w:color w:val="auto"/>
          <w:kern w:val="0"/>
          <w:sz w:val="32"/>
          <w:szCs w:val="32"/>
          <w:highlight w:val="none"/>
          <w:lang w:val="en-US" w:eastAsia="zh-CN"/>
        </w:rPr>
        <w:t>增加。</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10.卫生健康支出（类）公立医院（款）其他公立医院支出（项）:支出决算数为0.00万元，比上年决算减少6.11万元，下降100%，主要原因是：</w:t>
      </w:r>
      <w:r>
        <w:rPr>
          <w:rFonts w:hint="eastAsia" w:ascii="仿宋_GB2312" w:hAnsi="仿宋_GB2312" w:eastAsia="仿宋_GB2312" w:cs="仿宋_GB2312"/>
          <w:sz w:val="32"/>
          <w:szCs w:val="32"/>
          <w:highlight w:val="none"/>
          <w:lang w:val="en-US" w:eastAsia="zh-CN"/>
        </w:rPr>
        <w:t>去年购买了医疗设备-心脏除颤仪，今年</w:t>
      </w:r>
      <w:r>
        <w:rPr>
          <w:rFonts w:hint="eastAsia" w:ascii="仿宋_GB2312" w:eastAsia="仿宋_GB2312"/>
          <w:sz w:val="32"/>
          <w:szCs w:val="32"/>
          <w:highlight w:val="none"/>
          <w:lang w:val="en-US" w:eastAsia="zh-CN"/>
        </w:rPr>
        <w:t xml:space="preserve">无此项资金支出。  </w:t>
      </w: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六、一般公共预算财政拨款基本支出决算情况说明</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highlight w:val="none"/>
        </w:rPr>
      </w:pPr>
      <w:r>
        <w:rPr>
          <w:rFonts w:hint="eastAsia" w:ascii="仿宋_GB2312" w:eastAsia="仿宋_GB2312"/>
          <w:sz w:val="32"/>
          <w:szCs w:val="32"/>
          <w:highlight w:val="none"/>
        </w:rPr>
        <w:t>2023年度一般公共预算财政拨款基本支出313.84万元，其中：人员经费313.12万元，包括：基本工资、津贴补贴、奖金、绩效工资、机关事业单位基本养老保险缴费、职业年金缴费、职工基本医疗保险缴费、其他社会保障缴费、住房公积金、退休费、抚恤金。</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公用经费0.72万元，包括：工会经费</w:t>
      </w:r>
      <w:r>
        <w:rPr>
          <w:rFonts w:hint="eastAsia" w:ascii="仿宋_GB2312" w:eastAsia="仿宋_GB2312"/>
          <w:sz w:val="32"/>
          <w:szCs w:val="32"/>
          <w:highlight w:val="none"/>
          <w:lang w:eastAsia="zh-CN"/>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七、财政拨款“三公”经费支出决算情况说明</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lang w:val="zh-CN"/>
        </w:rPr>
      </w:pPr>
      <w:r>
        <w:rPr>
          <w:rFonts w:hint="eastAsia" w:ascii="仿宋_GB2312" w:eastAsia="仿宋_GB2312"/>
          <w:sz w:val="32"/>
          <w:szCs w:val="32"/>
          <w:highlight w:val="none"/>
          <w:lang w:val="zh-CN"/>
        </w:rPr>
        <w:t>2023年度</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“三公”经费支出0.00万元，</w:t>
      </w:r>
      <w:r>
        <w:rPr>
          <w:rFonts w:hint="eastAsia" w:ascii="仿宋_GB2312" w:eastAsia="仿宋_GB2312"/>
          <w:sz w:val="32"/>
          <w:szCs w:val="32"/>
          <w:highlight w:val="none"/>
        </w:rPr>
        <w:t>比上年</w:t>
      </w:r>
      <w:r>
        <w:rPr>
          <w:rFonts w:hint="eastAsia" w:ascii="仿宋_GB2312" w:eastAsia="仿宋_GB2312"/>
          <w:sz w:val="32"/>
          <w:szCs w:val="32"/>
          <w:highlight w:val="none"/>
          <w:lang w:val="zh-CN"/>
        </w:rPr>
        <w:t>增加0.00万元，</w:t>
      </w:r>
      <w:r>
        <w:rPr>
          <w:rFonts w:hint="eastAsia" w:ascii="仿宋_GB2312" w:eastAsia="仿宋_GB2312"/>
          <w:sz w:val="32"/>
          <w:szCs w:val="32"/>
          <w:highlight w:val="none"/>
        </w:rPr>
        <w:t>增长0.00%,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rPr>
        <w:t>我单位无“三公”经费支出。</w:t>
      </w:r>
      <w:r>
        <w:rPr>
          <w:rFonts w:hint="eastAsia" w:ascii="仿宋_GB2312" w:eastAsia="仿宋_GB2312"/>
          <w:sz w:val="32"/>
          <w:szCs w:val="32"/>
          <w:highlight w:val="none"/>
          <w:lang w:val="zh-CN"/>
        </w:rPr>
        <w:t>其中：因公出国（境）费支出0.00万元，占0.00%，比上年增加0.00万元，</w:t>
      </w:r>
      <w:r>
        <w:rPr>
          <w:rFonts w:hint="eastAsia" w:ascii="仿宋_GB2312" w:eastAsia="仿宋_GB2312"/>
          <w:sz w:val="32"/>
          <w:szCs w:val="32"/>
          <w:highlight w:val="none"/>
        </w:rPr>
        <w:t>增长0.00%,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rPr>
        <w:t>我单位无因公出国（境）费支出；</w:t>
      </w:r>
      <w:r>
        <w:rPr>
          <w:rFonts w:hint="eastAsia" w:ascii="仿宋_GB2312" w:eastAsia="仿宋_GB2312"/>
          <w:sz w:val="32"/>
          <w:szCs w:val="32"/>
          <w:highlight w:val="none"/>
          <w:lang w:val="zh-CN"/>
        </w:rPr>
        <w:t>公务用车购置及运行维护费支出0.00万元，占0.00%，比上年增加0.00万元，</w:t>
      </w:r>
      <w:r>
        <w:rPr>
          <w:rFonts w:hint="eastAsia" w:ascii="仿宋_GB2312" w:eastAsia="仿宋_GB2312"/>
          <w:sz w:val="32"/>
          <w:szCs w:val="32"/>
          <w:highlight w:val="none"/>
        </w:rPr>
        <w:t>增长0.00%,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highlight w:val="none"/>
        </w:rPr>
        <w:t>我单位无公务接待费支出</w:t>
      </w:r>
      <w:r>
        <w:rPr>
          <w:rFonts w:hint="eastAsia" w:ascii="仿宋_GB2312" w:eastAsia="仿宋_GB2312"/>
          <w:sz w:val="32"/>
          <w:szCs w:val="32"/>
          <w:lang w:val="zh-CN"/>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lang w:val="zh-CN"/>
        </w:rPr>
      </w:pPr>
      <w:r>
        <w:rPr>
          <w:rFonts w:hint="eastAsia" w:ascii="仿宋_GB2312" w:eastAsia="仿宋_GB2312"/>
          <w:sz w:val="32"/>
          <w:szCs w:val="32"/>
          <w:lang w:val="zh-CN"/>
        </w:rPr>
        <w:t>具体情况如下：</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sz w:val="32"/>
          <w:szCs w:val="32"/>
          <w:lang w:val="zh-CN"/>
        </w:rPr>
        <w:t>单位全年安排的因公出国（境）团组0个，因公出国（境）0人次。</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w:t>
      </w:r>
      <w:r>
        <w:rPr>
          <w:rFonts w:hint="eastAsia" w:ascii="仿宋_GB2312" w:eastAsia="仿宋_GB2312"/>
          <w:sz w:val="32"/>
          <w:szCs w:val="32"/>
        </w:rPr>
        <w:t>固定资产车辆</w:t>
      </w:r>
      <w:r>
        <w:rPr>
          <w:rFonts w:hint="eastAsia" w:ascii="仿宋_GB2312" w:eastAsia="仿宋_GB2312"/>
          <w:sz w:val="32"/>
          <w:szCs w:val="32"/>
          <w:lang w:val="en-US" w:eastAsia="zh-CN"/>
        </w:rPr>
        <w:t>为救护车，是特种技术专业用车</w:t>
      </w:r>
      <w:r>
        <w:rPr>
          <w:rFonts w:hint="eastAsia" w:ascii="仿宋_GB2312" w:eastAsia="仿宋_GB2312"/>
          <w:sz w:val="32"/>
          <w:szCs w:val="32"/>
          <w:lang w:val="zh-CN"/>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sz w:val="32"/>
          <w:szCs w:val="32"/>
          <w:lang w:val="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sz w:val="32"/>
          <w:szCs w:val="32"/>
          <w:highlight w:val="none"/>
          <w:lang w:val="en-US" w:eastAsia="zh-CN"/>
        </w:rPr>
        <w:t xml:space="preserve"> </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2"/>
        <w:rPr>
          <w:rFonts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sz w:val="32"/>
          <w:szCs w:val="32"/>
          <w:highlight w:val="none"/>
        </w:rPr>
      </w:pPr>
      <w:bookmarkStart w:id="25" w:name="_Toc227"/>
      <w:bookmarkStart w:id="26"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沙湾市商户地乡卫生院（事业单位）公用经费支出</w:t>
      </w:r>
      <w:r>
        <w:rPr>
          <w:rFonts w:hint="eastAsia" w:ascii="仿宋_GB2312" w:hAnsi="仿宋_GB2312" w:eastAsia="仿宋_GB2312" w:cs="仿宋_GB2312"/>
          <w:sz w:val="32"/>
          <w:szCs w:val="32"/>
          <w:highlight w:val="none"/>
        </w:rPr>
        <w:t>0.72万元，</w:t>
      </w:r>
      <w:r>
        <w:rPr>
          <w:rFonts w:hint="eastAsia" w:ascii="仿宋_GB2312" w:hAnsi="仿宋_GB2312" w:eastAsia="仿宋_GB2312" w:cs="仿宋_GB2312"/>
          <w:sz w:val="32"/>
          <w:szCs w:val="32"/>
          <w:highlight w:val="none"/>
          <w:lang w:val="zh-CN"/>
        </w:rPr>
        <w:t>比上年增加0.72万元，增长100.00%，主要原因是：</w:t>
      </w:r>
      <w:r>
        <w:rPr>
          <w:rFonts w:hint="eastAsia" w:ascii="仿宋_GB2312" w:hAnsi="仿宋_GB2312" w:eastAsia="仿宋_GB2312" w:cs="仿宋_GB2312"/>
          <w:sz w:val="32"/>
          <w:szCs w:val="32"/>
          <w:highlight w:val="none"/>
          <w:lang w:val="en-US" w:eastAsia="zh-CN"/>
        </w:rPr>
        <w:t>本单位</w:t>
      </w:r>
      <w:r>
        <w:rPr>
          <w:rFonts w:hint="eastAsia" w:ascii="仿宋_GB2312" w:hAnsi="仿宋_GB2312" w:eastAsia="仿宋_GB2312" w:cs="仿宋_GB2312"/>
          <w:color w:val="auto"/>
          <w:sz w:val="32"/>
          <w:szCs w:val="32"/>
          <w:highlight w:val="none"/>
          <w:lang w:val="en-US" w:eastAsia="zh-CN"/>
        </w:rPr>
        <w:t>2023年拨付0.72万元为工会经费，2022年未拨付此项费用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eastAsia="黑体"/>
          <w:sz w:val="32"/>
          <w:szCs w:val="30"/>
          <w:highlight w:val="none"/>
          <w:lang w:val="zh-CN"/>
        </w:rPr>
      </w:pPr>
      <w:r>
        <w:rPr>
          <w:rFonts w:hint="eastAsia" w:eastAsia="黑体"/>
          <w:sz w:val="32"/>
          <w:szCs w:val="30"/>
          <w:highlight w:val="none"/>
          <w:lang w:val="zh-CN"/>
        </w:rPr>
        <w:t>（二）政府采购情况</w:t>
      </w:r>
      <w:bookmarkEnd w:id="25"/>
      <w:bookmarkEnd w:id="26"/>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2023年度政府采购支出总额13.42万元，其中：政府采购货物支出6.52万元、政府采购工程支出0.00万元、政府采购服务支出6.90万元。</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授予中小企业合同金额13.42万元，占政府采购支出总额的100.00%，其中：授予小微企业合同金额13.42万元，占政府采购支出总额的100.00%</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lang w:val="zh-CN"/>
        </w:rPr>
      </w:pPr>
      <w:bookmarkStart w:id="27" w:name="_Toc4591"/>
      <w:bookmarkStart w:id="28" w:name="_Toc8391"/>
      <w:r>
        <w:rPr>
          <w:rFonts w:hint="eastAsia" w:ascii="黑体" w:hAnsi="黑体" w:eastAsia="黑体" w:cs="宋体"/>
          <w:bCs/>
          <w:kern w:val="0"/>
          <w:sz w:val="32"/>
          <w:szCs w:val="32"/>
          <w:lang w:val="zh-CN"/>
        </w:rPr>
        <w:t>（三）国有资产占用情况说明</w:t>
      </w:r>
      <w:bookmarkEnd w:id="27"/>
      <w:bookmarkEnd w:id="28"/>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1,036.94</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屋3,699.79平方米，价值875.83万元。车辆1辆，价值7.00万元，其中：副部（省）级及以上领导用车0辆、主要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用车0辆、机要通信用车0辆、应急保障用车0辆、执法执勤用车0辆、特种专业技术用车1辆、离退休干部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w:t>
      </w:r>
      <w:r>
        <w:rPr>
          <w:rFonts w:hint="eastAsia" w:ascii="仿宋_GB2312" w:eastAsia="仿宋_GB2312"/>
          <w:sz w:val="32"/>
          <w:szCs w:val="32"/>
          <w:highlight w:val="none"/>
          <w:lang w:eastAsia="zh-CN"/>
        </w:rPr>
        <w:t>我单位无其他车辆；</w:t>
      </w:r>
      <w:r>
        <w:rPr>
          <w:rFonts w:hint="eastAsia" w:ascii="仿宋_GB2312" w:hAnsi="仿宋_GB2312" w:eastAsia="仿宋_GB2312" w:cs="仿宋_GB2312"/>
          <w:sz w:val="32"/>
          <w:szCs w:val="32"/>
          <w:lang w:val="zh-CN"/>
        </w:rPr>
        <w:t>单价100万元（含）</w:t>
      </w:r>
      <w:r>
        <w:rPr>
          <w:rFonts w:hint="eastAsia" w:ascii="仿宋_GB2312" w:hAnsi="仿宋_GB2312" w:eastAsia="仿宋_GB2312" w:cs="仿宋_GB2312"/>
          <w:color w:val="auto"/>
          <w:sz w:val="32"/>
          <w:szCs w:val="32"/>
          <w:highlight w:val="none"/>
          <w:lang w:val="zh-CN" w:eastAsia="zh-CN"/>
        </w:rPr>
        <w:t>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kinsoku/>
        <w:wordWrap/>
        <w:overflowPunct/>
        <w:topLinePunct w:val="0"/>
        <w:bidi w:val="0"/>
        <w:adjustRightInd/>
        <w:snapToGrid/>
        <w:spacing w:line="240" w:lineRule="auto"/>
        <w:ind w:firstLine="640" w:firstLineChars="200"/>
        <w:jc w:val="left"/>
        <w:textAlignment w:val="auto"/>
        <w:outlineLvl w:val="1"/>
        <w:rPr>
          <w:rFonts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预算总额430.75万元，实际执行总额415.7万元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5</w:t>
      </w:r>
      <w:r>
        <w:rPr>
          <w:rFonts w:hint="eastAsia" w:ascii="仿宋_GB2312" w:eastAsia="仿宋_GB2312"/>
          <w:sz w:val="32"/>
          <w:szCs w:val="32"/>
        </w:rPr>
        <w:t>个，全年预算</w:t>
      </w:r>
      <w:r>
        <w:rPr>
          <w:rFonts w:hint="eastAsia" w:ascii="仿宋_GB2312" w:eastAsia="仿宋_GB2312"/>
          <w:color w:val="auto"/>
          <w:sz w:val="32"/>
          <w:szCs w:val="32"/>
        </w:rPr>
        <w:t>数</w:t>
      </w:r>
      <w:r>
        <w:rPr>
          <w:rFonts w:hint="eastAsia" w:ascii="仿宋_GB2312" w:eastAsia="仿宋_GB2312"/>
          <w:color w:val="auto"/>
          <w:sz w:val="32"/>
          <w:szCs w:val="32"/>
          <w:lang w:val="en-US" w:eastAsia="zh-CN"/>
        </w:rPr>
        <w:t>101.86</w:t>
      </w:r>
      <w:r>
        <w:rPr>
          <w:rFonts w:hint="eastAsia" w:ascii="仿宋_GB2312" w:eastAsia="仿宋_GB2312"/>
          <w:color w:val="auto"/>
          <w:sz w:val="32"/>
          <w:szCs w:val="32"/>
        </w:rPr>
        <w:t>万元，全年执行数</w:t>
      </w:r>
      <w:r>
        <w:rPr>
          <w:rFonts w:hint="eastAsia" w:ascii="仿宋_GB2312" w:eastAsia="仿宋_GB2312"/>
          <w:color w:val="auto"/>
          <w:sz w:val="32"/>
          <w:szCs w:val="32"/>
          <w:lang w:val="en-US" w:eastAsia="zh-CN"/>
        </w:rPr>
        <w:t>101.86</w:t>
      </w:r>
      <w:r>
        <w:rPr>
          <w:rFonts w:hint="eastAsia" w:ascii="仿宋_GB2312" w:eastAsia="仿宋_GB2312"/>
          <w:color w:val="auto"/>
          <w:sz w:val="32"/>
          <w:szCs w:val="32"/>
        </w:rPr>
        <w:t>万元</w:t>
      </w:r>
      <w:r>
        <w:rPr>
          <w:rFonts w:hint="eastAsia" w:ascii="仿宋_GB2312" w:eastAsia="仿宋_GB2312"/>
          <w:sz w:val="32"/>
          <w:szCs w:val="32"/>
        </w:rPr>
        <w:t>。</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一是根据年度绩效目标，从提升工作绩效入手，分解和细化绩效目标，明确项目绩效目标分管领导、责任科室及责任人；二是根据工作实际，加强绩效指标运行追踪，制定措施办法，推进工作目标落实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追踪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金支出产生的效益，使本单位的绩效追踪工作上一个新台阶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sz w:val="32"/>
          <w:szCs w:val="32"/>
        </w:rPr>
      </w:pPr>
      <w:r>
        <w:rPr>
          <w:rFonts w:hint="eastAsia" w:ascii="仿宋_GB2312" w:eastAsia="仿宋_GB2312"/>
          <w:sz w:val="32"/>
          <w:szCs w:val="32"/>
          <w:highlight w:val="none"/>
          <w:lang w:eastAsia="zh-CN"/>
        </w:rPr>
        <w:t>阶。</w:t>
      </w:r>
      <w:r>
        <w:rPr>
          <w:rFonts w:hint="eastAsia" w:ascii="仿宋_GB2312" w:eastAsia="仿宋_GB2312"/>
          <w:sz w:val="32"/>
          <w:szCs w:val="32"/>
        </w:rPr>
        <w:t>具体项目自评情况附绩效自评表及自评报告。</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49" w:name="_GoBack"/>
      <w:bookmarkEnd w:id="49"/>
    </w:p>
    <w:p>
      <w:pPr>
        <w:keepNext w:val="0"/>
        <w:keepLines w:val="0"/>
        <w:pageBreakBefore w:val="0"/>
        <w:kinsoku/>
        <w:wordWrap/>
        <w:overflowPunct/>
        <w:topLinePunct w:val="0"/>
        <w:bidi w:val="0"/>
        <w:adjustRightInd/>
        <w:snapToGrid/>
        <w:spacing w:line="240" w:lineRule="auto"/>
        <w:textAlignment w:val="auto"/>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p>
    <w:p>
      <w:pPr>
        <w:keepNext w:val="0"/>
        <w:keepLines w:val="0"/>
        <w:pageBreakBefore w:val="0"/>
        <w:kinsoku/>
        <w:wordWrap/>
        <w:overflowPunct/>
        <w:topLinePunct w:val="0"/>
        <w:bidi w:val="0"/>
        <w:adjustRightInd/>
        <w:snapToGrid/>
        <w:spacing w:line="240" w:lineRule="auto"/>
        <w:jc w:val="center"/>
        <w:textAlignment w:val="auto"/>
        <w:outlineLvl w:val="0"/>
        <w:rPr>
          <w:rFonts w:ascii="黑体" w:hAnsi="黑体" w:eastAsia="黑体"/>
          <w:sz w:val="32"/>
          <w:szCs w:val="32"/>
        </w:rPr>
      </w:pPr>
      <w:r>
        <w:rPr>
          <w:rFonts w:hint="eastAsia" w:ascii="黑体" w:hAnsi="黑体" w:eastAsia="黑体"/>
          <w:sz w:val="32"/>
          <w:szCs w:val="32"/>
        </w:rPr>
        <w:t>第三部分 专业名词解释</w:t>
      </w:r>
      <w:bookmarkEnd w:id="31"/>
      <w:bookmarkEnd w:id="32"/>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spacing w:line="240" w:lineRule="auto"/>
        <w:ind w:firstLine="643" w:firstLineChars="200"/>
        <w:jc w:val="left"/>
        <w:textAlignment w:val="auto"/>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spacing w:line="240" w:lineRule="auto"/>
        <w:ind w:firstLine="643" w:firstLineChars="200"/>
        <w:textAlignment w:val="auto"/>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spacing w:line="240" w:lineRule="auto"/>
        <w:ind w:firstLine="643" w:firstLineChars="200"/>
        <w:textAlignment w:val="auto"/>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spacing w:line="240" w:lineRule="auto"/>
        <w:ind w:firstLine="643" w:firstLineChars="200"/>
        <w:textAlignment w:val="auto"/>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napToGrid/>
        <w:spacing w:line="240" w:lineRule="auto"/>
        <w:ind w:firstLine="643" w:firstLineChars="200"/>
        <w:textAlignment w:val="auto"/>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keepNext w:val="0"/>
        <w:keepLines w:val="0"/>
        <w:pageBreakBefore w:val="0"/>
        <w:kinsoku/>
        <w:wordWrap/>
        <w:overflowPunct/>
        <w:topLinePunct w:val="0"/>
        <w:bidi w:val="0"/>
        <w:adjustRightInd/>
        <w:snapToGrid/>
        <w:spacing w:line="240" w:lineRule="auto"/>
        <w:ind w:firstLine="640" w:firstLineChars="200"/>
        <w:jc w:val="center"/>
        <w:textAlignment w:val="auto"/>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keepNext w:val="0"/>
        <w:keepLines w:val="0"/>
        <w:pageBreakBefore w:val="0"/>
        <w:kinsoku/>
        <w:wordWrap/>
        <w:overflowPunct/>
        <w:topLinePunct w:val="0"/>
        <w:bidi w:val="0"/>
        <w:adjustRightInd/>
        <w:snapToGrid/>
        <w:spacing w:line="240" w:lineRule="auto"/>
        <w:ind w:firstLine="640" w:firstLineChars="200"/>
        <w:textAlignment w:val="auto"/>
        <w:rPr>
          <w:rFonts w:ascii="仿宋_GB2312" w:eastAsia="仿宋_GB2312"/>
          <w:sz w:val="32"/>
          <w:szCs w:val="32"/>
        </w:rPr>
      </w:pPr>
    </w:p>
    <w:p>
      <w:pPr>
        <w:keepNext w:val="0"/>
        <w:keepLines w:val="0"/>
        <w:pageBreakBefore w:val="0"/>
        <w:kinsoku/>
        <w:wordWrap/>
        <w:overflowPunct/>
        <w:topLinePunct w:val="0"/>
        <w:bidi w:val="0"/>
        <w:adjustRightInd/>
        <w:snapToGrid/>
        <w:spacing w:line="240" w:lineRule="auto"/>
        <w:ind w:firstLine="640" w:firstLineChars="200"/>
        <w:textAlignment w:val="auto"/>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Y4YjkzNDc4ODgxYjUxYTExNjJhOTEwZTJkYThhMDUifQ=="/>
    <w:docVar w:name="KSO_WPS_MARK_KEY" w:val="41ee2a61-2d54-4f93-83be-afdb9a40d732"/>
  </w:docVars>
  <w:rsids>
    <w:rsidRoot w:val="00F1316C"/>
    <w:rsid w:val="00213C59"/>
    <w:rsid w:val="003210CE"/>
    <w:rsid w:val="004874D5"/>
    <w:rsid w:val="007B312A"/>
    <w:rsid w:val="00B0507A"/>
    <w:rsid w:val="00B70D59"/>
    <w:rsid w:val="00F1316C"/>
    <w:rsid w:val="00F52A8D"/>
    <w:rsid w:val="0152255C"/>
    <w:rsid w:val="019404F8"/>
    <w:rsid w:val="01C30B6B"/>
    <w:rsid w:val="01ED22F2"/>
    <w:rsid w:val="020C62E0"/>
    <w:rsid w:val="02BD3108"/>
    <w:rsid w:val="02E62E33"/>
    <w:rsid w:val="02F63D76"/>
    <w:rsid w:val="02F73D26"/>
    <w:rsid w:val="034D4FEF"/>
    <w:rsid w:val="035D1785"/>
    <w:rsid w:val="039F47CE"/>
    <w:rsid w:val="03BD5310"/>
    <w:rsid w:val="03E05CE8"/>
    <w:rsid w:val="03EC63C9"/>
    <w:rsid w:val="03F973EE"/>
    <w:rsid w:val="043E5B56"/>
    <w:rsid w:val="04C04386"/>
    <w:rsid w:val="04D1736D"/>
    <w:rsid w:val="04D96608"/>
    <w:rsid w:val="04F210E4"/>
    <w:rsid w:val="04F55751"/>
    <w:rsid w:val="04FA68C4"/>
    <w:rsid w:val="053F5AE6"/>
    <w:rsid w:val="057C0B0F"/>
    <w:rsid w:val="05EF4B48"/>
    <w:rsid w:val="05F76ECA"/>
    <w:rsid w:val="06183A24"/>
    <w:rsid w:val="062A142B"/>
    <w:rsid w:val="06792773"/>
    <w:rsid w:val="06FD75CA"/>
    <w:rsid w:val="07093795"/>
    <w:rsid w:val="07804730"/>
    <w:rsid w:val="079052BE"/>
    <w:rsid w:val="08103ADB"/>
    <w:rsid w:val="08145C21"/>
    <w:rsid w:val="081E0B1B"/>
    <w:rsid w:val="08422688"/>
    <w:rsid w:val="085854ED"/>
    <w:rsid w:val="087251B1"/>
    <w:rsid w:val="0879188F"/>
    <w:rsid w:val="08A0354D"/>
    <w:rsid w:val="08CD4C49"/>
    <w:rsid w:val="09114954"/>
    <w:rsid w:val="095A5B83"/>
    <w:rsid w:val="096466E3"/>
    <w:rsid w:val="0968304D"/>
    <w:rsid w:val="09AF3D17"/>
    <w:rsid w:val="0A7809B7"/>
    <w:rsid w:val="0A7B4867"/>
    <w:rsid w:val="0A840954"/>
    <w:rsid w:val="0A9928ED"/>
    <w:rsid w:val="0B61769D"/>
    <w:rsid w:val="0B837613"/>
    <w:rsid w:val="0B8C3ECC"/>
    <w:rsid w:val="0B9C639D"/>
    <w:rsid w:val="0BB052B2"/>
    <w:rsid w:val="0BD33FFC"/>
    <w:rsid w:val="0BE97AC1"/>
    <w:rsid w:val="0C1C4780"/>
    <w:rsid w:val="0C2F779B"/>
    <w:rsid w:val="0C3613A3"/>
    <w:rsid w:val="0C5E519C"/>
    <w:rsid w:val="0C6C454B"/>
    <w:rsid w:val="0C7227A7"/>
    <w:rsid w:val="0CA52EE8"/>
    <w:rsid w:val="0CBD6988"/>
    <w:rsid w:val="0CCD48BE"/>
    <w:rsid w:val="0CD208AC"/>
    <w:rsid w:val="0D172DAA"/>
    <w:rsid w:val="0D374B59"/>
    <w:rsid w:val="0D4903E8"/>
    <w:rsid w:val="0D703BC7"/>
    <w:rsid w:val="0D7A4A46"/>
    <w:rsid w:val="0D8238FA"/>
    <w:rsid w:val="0DCB704F"/>
    <w:rsid w:val="0E640559"/>
    <w:rsid w:val="0F1113DA"/>
    <w:rsid w:val="0F78534A"/>
    <w:rsid w:val="0F89358A"/>
    <w:rsid w:val="0F8C6D51"/>
    <w:rsid w:val="0FB00BF3"/>
    <w:rsid w:val="0FBD50BE"/>
    <w:rsid w:val="0FC1070A"/>
    <w:rsid w:val="0FD348E1"/>
    <w:rsid w:val="0FDB4817"/>
    <w:rsid w:val="10463305"/>
    <w:rsid w:val="105B0B5E"/>
    <w:rsid w:val="112E58D0"/>
    <w:rsid w:val="11731CAC"/>
    <w:rsid w:val="119500A0"/>
    <w:rsid w:val="11C0733B"/>
    <w:rsid w:val="11D50D17"/>
    <w:rsid w:val="120E0809"/>
    <w:rsid w:val="127F665A"/>
    <w:rsid w:val="12D270D2"/>
    <w:rsid w:val="12F7068C"/>
    <w:rsid w:val="135B32BE"/>
    <w:rsid w:val="14207DC0"/>
    <w:rsid w:val="14B932DA"/>
    <w:rsid w:val="150A66AF"/>
    <w:rsid w:val="151E03AD"/>
    <w:rsid w:val="154C1139"/>
    <w:rsid w:val="1557566D"/>
    <w:rsid w:val="158C5B77"/>
    <w:rsid w:val="15BB209F"/>
    <w:rsid w:val="15E56E12"/>
    <w:rsid w:val="160D1149"/>
    <w:rsid w:val="162E0AC3"/>
    <w:rsid w:val="163563C0"/>
    <w:rsid w:val="164315EF"/>
    <w:rsid w:val="16557DFE"/>
    <w:rsid w:val="166718DF"/>
    <w:rsid w:val="167268FB"/>
    <w:rsid w:val="16770D0A"/>
    <w:rsid w:val="169A0039"/>
    <w:rsid w:val="16D50C50"/>
    <w:rsid w:val="16E120E1"/>
    <w:rsid w:val="16F7466B"/>
    <w:rsid w:val="17127A9D"/>
    <w:rsid w:val="17385A05"/>
    <w:rsid w:val="173B3901"/>
    <w:rsid w:val="17602EFE"/>
    <w:rsid w:val="176747F9"/>
    <w:rsid w:val="17954A6E"/>
    <w:rsid w:val="17BE2C86"/>
    <w:rsid w:val="180059E9"/>
    <w:rsid w:val="184510FD"/>
    <w:rsid w:val="188624F1"/>
    <w:rsid w:val="18BA4890"/>
    <w:rsid w:val="190648B0"/>
    <w:rsid w:val="19071D6C"/>
    <w:rsid w:val="197C6FA8"/>
    <w:rsid w:val="198A6011"/>
    <w:rsid w:val="19D26CD4"/>
    <w:rsid w:val="19E60D19"/>
    <w:rsid w:val="1A3E3450"/>
    <w:rsid w:val="1A51244B"/>
    <w:rsid w:val="1AD807E5"/>
    <w:rsid w:val="1B39345B"/>
    <w:rsid w:val="1B874C23"/>
    <w:rsid w:val="1BFB2A1F"/>
    <w:rsid w:val="1C015D4A"/>
    <w:rsid w:val="1C290ED5"/>
    <w:rsid w:val="1C317E4F"/>
    <w:rsid w:val="1C472464"/>
    <w:rsid w:val="1C5446B4"/>
    <w:rsid w:val="1D22799A"/>
    <w:rsid w:val="1D5C1A72"/>
    <w:rsid w:val="1DAF458D"/>
    <w:rsid w:val="1E086ACE"/>
    <w:rsid w:val="1E62130A"/>
    <w:rsid w:val="1E97358B"/>
    <w:rsid w:val="1EAA4A5F"/>
    <w:rsid w:val="1ED40233"/>
    <w:rsid w:val="1EE77A61"/>
    <w:rsid w:val="1EE869A7"/>
    <w:rsid w:val="1F3F37CF"/>
    <w:rsid w:val="1FA15E62"/>
    <w:rsid w:val="1FB43DE7"/>
    <w:rsid w:val="1FED69B6"/>
    <w:rsid w:val="1FFC2298"/>
    <w:rsid w:val="2064678E"/>
    <w:rsid w:val="206C46C2"/>
    <w:rsid w:val="20DC1AB9"/>
    <w:rsid w:val="20DD6197"/>
    <w:rsid w:val="212631E0"/>
    <w:rsid w:val="2138666F"/>
    <w:rsid w:val="21742080"/>
    <w:rsid w:val="21A53757"/>
    <w:rsid w:val="21B207FA"/>
    <w:rsid w:val="21F879E1"/>
    <w:rsid w:val="221236C6"/>
    <w:rsid w:val="222F1E4B"/>
    <w:rsid w:val="22D7662C"/>
    <w:rsid w:val="23326B7F"/>
    <w:rsid w:val="23517B9F"/>
    <w:rsid w:val="2380045B"/>
    <w:rsid w:val="23BC04D2"/>
    <w:rsid w:val="23EF1892"/>
    <w:rsid w:val="242B4894"/>
    <w:rsid w:val="2483647E"/>
    <w:rsid w:val="248D4C07"/>
    <w:rsid w:val="24A32D55"/>
    <w:rsid w:val="24BB5C18"/>
    <w:rsid w:val="24CE6D9A"/>
    <w:rsid w:val="24D43309"/>
    <w:rsid w:val="250E3B3E"/>
    <w:rsid w:val="25292727"/>
    <w:rsid w:val="252E5CA9"/>
    <w:rsid w:val="253357AE"/>
    <w:rsid w:val="256F7692"/>
    <w:rsid w:val="25BA2154"/>
    <w:rsid w:val="25C8773F"/>
    <w:rsid w:val="25DB14CF"/>
    <w:rsid w:val="25FF2CBA"/>
    <w:rsid w:val="26235823"/>
    <w:rsid w:val="2629095F"/>
    <w:rsid w:val="264A7253"/>
    <w:rsid w:val="26F0170C"/>
    <w:rsid w:val="26FE3B9A"/>
    <w:rsid w:val="271909D4"/>
    <w:rsid w:val="27201D62"/>
    <w:rsid w:val="27286E73"/>
    <w:rsid w:val="274719E5"/>
    <w:rsid w:val="27AA5AD0"/>
    <w:rsid w:val="27CB43C4"/>
    <w:rsid w:val="27CF2642"/>
    <w:rsid w:val="27E777F5"/>
    <w:rsid w:val="27EA1D4C"/>
    <w:rsid w:val="27EA2E41"/>
    <w:rsid w:val="28071F0B"/>
    <w:rsid w:val="282459E2"/>
    <w:rsid w:val="283A7FE5"/>
    <w:rsid w:val="285F51FF"/>
    <w:rsid w:val="28DA4193"/>
    <w:rsid w:val="28DF2665"/>
    <w:rsid w:val="29072599"/>
    <w:rsid w:val="291029F3"/>
    <w:rsid w:val="296A3769"/>
    <w:rsid w:val="29CB58F0"/>
    <w:rsid w:val="2A053397"/>
    <w:rsid w:val="2A145E96"/>
    <w:rsid w:val="2A2131BB"/>
    <w:rsid w:val="2AF5378F"/>
    <w:rsid w:val="2BB94DBF"/>
    <w:rsid w:val="2BF37410"/>
    <w:rsid w:val="2C3A4C1D"/>
    <w:rsid w:val="2C6F314E"/>
    <w:rsid w:val="2C815051"/>
    <w:rsid w:val="2CC206BE"/>
    <w:rsid w:val="2CEB696E"/>
    <w:rsid w:val="2D1136DF"/>
    <w:rsid w:val="2D20606D"/>
    <w:rsid w:val="2D6729FE"/>
    <w:rsid w:val="2DB87198"/>
    <w:rsid w:val="2DB93C54"/>
    <w:rsid w:val="2E3D144C"/>
    <w:rsid w:val="2E891204"/>
    <w:rsid w:val="2EA8720D"/>
    <w:rsid w:val="2EFF35B6"/>
    <w:rsid w:val="2F2810F3"/>
    <w:rsid w:val="2F3F0A28"/>
    <w:rsid w:val="2F794705"/>
    <w:rsid w:val="2FBF7029"/>
    <w:rsid w:val="2FD0187F"/>
    <w:rsid w:val="2FD27414"/>
    <w:rsid w:val="2FFE4BB0"/>
    <w:rsid w:val="300E7B60"/>
    <w:rsid w:val="300F6E18"/>
    <w:rsid w:val="30862F5F"/>
    <w:rsid w:val="30A4775A"/>
    <w:rsid w:val="30FC77ED"/>
    <w:rsid w:val="31336B36"/>
    <w:rsid w:val="314029C9"/>
    <w:rsid w:val="31C63837"/>
    <w:rsid w:val="31C82E39"/>
    <w:rsid w:val="31E63BA8"/>
    <w:rsid w:val="321E1594"/>
    <w:rsid w:val="32601BAD"/>
    <w:rsid w:val="329F6389"/>
    <w:rsid w:val="32A73338"/>
    <w:rsid w:val="335C76C1"/>
    <w:rsid w:val="3389023A"/>
    <w:rsid w:val="33CB74FA"/>
    <w:rsid w:val="33D30DC1"/>
    <w:rsid w:val="33ED121E"/>
    <w:rsid w:val="33F31FF9"/>
    <w:rsid w:val="33F930F2"/>
    <w:rsid w:val="343642F2"/>
    <w:rsid w:val="343F3010"/>
    <w:rsid w:val="345D0A00"/>
    <w:rsid w:val="34642D14"/>
    <w:rsid w:val="34713BFD"/>
    <w:rsid w:val="34A044E2"/>
    <w:rsid w:val="34C13589"/>
    <w:rsid w:val="353369E3"/>
    <w:rsid w:val="35942299"/>
    <w:rsid w:val="35B21E0B"/>
    <w:rsid w:val="35E00D72"/>
    <w:rsid w:val="36114536"/>
    <w:rsid w:val="3618279F"/>
    <w:rsid w:val="36965B9D"/>
    <w:rsid w:val="36C26992"/>
    <w:rsid w:val="36C549FD"/>
    <w:rsid w:val="37A755DD"/>
    <w:rsid w:val="37AB1B1C"/>
    <w:rsid w:val="37F33BFE"/>
    <w:rsid w:val="37F94FA0"/>
    <w:rsid w:val="380D3381"/>
    <w:rsid w:val="38115B1F"/>
    <w:rsid w:val="385E3AC3"/>
    <w:rsid w:val="387D6B9E"/>
    <w:rsid w:val="38AF1198"/>
    <w:rsid w:val="38B75FF0"/>
    <w:rsid w:val="38D45016"/>
    <w:rsid w:val="38D90432"/>
    <w:rsid w:val="3914510A"/>
    <w:rsid w:val="3926770B"/>
    <w:rsid w:val="3982065B"/>
    <w:rsid w:val="398D3668"/>
    <w:rsid w:val="39DA0497"/>
    <w:rsid w:val="3A893816"/>
    <w:rsid w:val="3A893B6D"/>
    <w:rsid w:val="3AD1763A"/>
    <w:rsid w:val="3AE07D2F"/>
    <w:rsid w:val="3B196883"/>
    <w:rsid w:val="3B424545"/>
    <w:rsid w:val="3B6716E3"/>
    <w:rsid w:val="3B6C6B2D"/>
    <w:rsid w:val="3B871F58"/>
    <w:rsid w:val="3C242659"/>
    <w:rsid w:val="3C8F5568"/>
    <w:rsid w:val="3C96719C"/>
    <w:rsid w:val="3CA72BE8"/>
    <w:rsid w:val="3CDC1E1E"/>
    <w:rsid w:val="3CF37F8C"/>
    <w:rsid w:val="3D137554"/>
    <w:rsid w:val="3D5275AC"/>
    <w:rsid w:val="3DCC2473"/>
    <w:rsid w:val="3DEB0883"/>
    <w:rsid w:val="3E2527BF"/>
    <w:rsid w:val="3E70484C"/>
    <w:rsid w:val="3E731662"/>
    <w:rsid w:val="3E8168DD"/>
    <w:rsid w:val="3E9A1FA2"/>
    <w:rsid w:val="3EA7725F"/>
    <w:rsid w:val="3EB03713"/>
    <w:rsid w:val="3EBF1A11"/>
    <w:rsid w:val="3EC52607"/>
    <w:rsid w:val="3EEC6CEF"/>
    <w:rsid w:val="3F183429"/>
    <w:rsid w:val="3F587372"/>
    <w:rsid w:val="3FB77A1D"/>
    <w:rsid w:val="3FDC3674"/>
    <w:rsid w:val="3FE46343"/>
    <w:rsid w:val="3FED7F8A"/>
    <w:rsid w:val="40094AEF"/>
    <w:rsid w:val="405470BD"/>
    <w:rsid w:val="40794A29"/>
    <w:rsid w:val="40834692"/>
    <w:rsid w:val="40DB5220"/>
    <w:rsid w:val="40DF5164"/>
    <w:rsid w:val="410C0A61"/>
    <w:rsid w:val="41431AD5"/>
    <w:rsid w:val="414B3C0F"/>
    <w:rsid w:val="417C1CE7"/>
    <w:rsid w:val="41900018"/>
    <w:rsid w:val="41944406"/>
    <w:rsid w:val="41CE128F"/>
    <w:rsid w:val="41DA6F12"/>
    <w:rsid w:val="42171FB1"/>
    <w:rsid w:val="42C10D7B"/>
    <w:rsid w:val="42C27D1A"/>
    <w:rsid w:val="434E6957"/>
    <w:rsid w:val="43727992"/>
    <w:rsid w:val="43BA0E31"/>
    <w:rsid w:val="43C006FD"/>
    <w:rsid w:val="43C15147"/>
    <w:rsid w:val="43E14DD2"/>
    <w:rsid w:val="43F800E9"/>
    <w:rsid w:val="43FB2A44"/>
    <w:rsid w:val="443A7E4B"/>
    <w:rsid w:val="444A7D08"/>
    <w:rsid w:val="449A71A0"/>
    <w:rsid w:val="452F5B3A"/>
    <w:rsid w:val="453B73ED"/>
    <w:rsid w:val="454E7FD2"/>
    <w:rsid w:val="45E22BAD"/>
    <w:rsid w:val="45EA198E"/>
    <w:rsid w:val="46061BDC"/>
    <w:rsid w:val="461404F8"/>
    <w:rsid w:val="46413018"/>
    <w:rsid w:val="464B7E04"/>
    <w:rsid w:val="468041AA"/>
    <w:rsid w:val="468123C6"/>
    <w:rsid w:val="46901EEE"/>
    <w:rsid w:val="469C74D2"/>
    <w:rsid w:val="47445515"/>
    <w:rsid w:val="474B4782"/>
    <w:rsid w:val="47D90D14"/>
    <w:rsid w:val="47DE1152"/>
    <w:rsid w:val="482510E4"/>
    <w:rsid w:val="48387FB0"/>
    <w:rsid w:val="483A6114"/>
    <w:rsid w:val="488727DB"/>
    <w:rsid w:val="48B82268"/>
    <w:rsid w:val="48C354B3"/>
    <w:rsid w:val="493D58B5"/>
    <w:rsid w:val="494A7A04"/>
    <w:rsid w:val="495C0C56"/>
    <w:rsid w:val="49605EF7"/>
    <w:rsid w:val="4A0A26D2"/>
    <w:rsid w:val="4A174DEF"/>
    <w:rsid w:val="4A2019A5"/>
    <w:rsid w:val="4A241A0B"/>
    <w:rsid w:val="4A5C2BD7"/>
    <w:rsid w:val="4A7B2875"/>
    <w:rsid w:val="4A934476"/>
    <w:rsid w:val="4AAA220A"/>
    <w:rsid w:val="4AE12E67"/>
    <w:rsid w:val="4AE9678B"/>
    <w:rsid w:val="4B4C0111"/>
    <w:rsid w:val="4B8553A9"/>
    <w:rsid w:val="4BDB3730"/>
    <w:rsid w:val="4BDF36EB"/>
    <w:rsid w:val="4C200F7A"/>
    <w:rsid w:val="4CDF1BF4"/>
    <w:rsid w:val="4CEE3180"/>
    <w:rsid w:val="4CFB4554"/>
    <w:rsid w:val="4D0F4AF6"/>
    <w:rsid w:val="4DA43E95"/>
    <w:rsid w:val="4DDE1A50"/>
    <w:rsid w:val="4DF94F37"/>
    <w:rsid w:val="4E0A1DD5"/>
    <w:rsid w:val="4E1E04FA"/>
    <w:rsid w:val="4E3160E5"/>
    <w:rsid w:val="4E4D37AF"/>
    <w:rsid w:val="4E8C6496"/>
    <w:rsid w:val="4EFD18DE"/>
    <w:rsid w:val="4F144236"/>
    <w:rsid w:val="4F663C87"/>
    <w:rsid w:val="4F7E29A8"/>
    <w:rsid w:val="4F9E1FFC"/>
    <w:rsid w:val="50447CC2"/>
    <w:rsid w:val="504601DC"/>
    <w:rsid w:val="504D3319"/>
    <w:rsid w:val="50874A7C"/>
    <w:rsid w:val="50895EE7"/>
    <w:rsid w:val="50921B9D"/>
    <w:rsid w:val="509A7F00"/>
    <w:rsid w:val="50D16158"/>
    <w:rsid w:val="50DB5F45"/>
    <w:rsid w:val="51025EB1"/>
    <w:rsid w:val="51141503"/>
    <w:rsid w:val="513C450E"/>
    <w:rsid w:val="518D0ED5"/>
    <w:rsid w:val="51921C29"/>
    <w:rsid w:val="51C159B6"/>
    <w:rsid w:val="52021EE1"/>
    <w:rsid w:val="524810E8"/>
    <w:rsid w:val="525C687F"/>
    <w:rsid w:val="527F3531"/>
    <w:rsid w:val="52A116FA"/>
    <w:rsid w:val="52A3740A"/>
    <w:rsid w:val="52B32665"/>
    <w:rsid w:val="52C84ED8"/>
    <w:rsid w:val="52F647F7"/>
    <w:rsid w:val="52F92565"/>
    <w:rsid w:val="53372A96"/>
    <w:rsid w:val="539E7A07"/>
    <w:rsid w:val="53AE735E"/>
    <w:rsid w:val="53D03877"/>
    <w:rsid w:val="542F73CA"/>
    <w:rsid w:val="5430786D"/>
    <w:rsid w:val="545A1D2A"/>
    <w:rsid w:val="54C811C0"/>
    <w:rsid w:val="55172147"/>
    <w:rsid w:val="556A442D"/>
    <w:rsid w:val="558C48E3"/>
    <w:rsid w:val="55D977A4"/>
    <w:rsid w:val="55DA564E"/>
    <w:rsid w:val="55E1398A"/>
    <w:rsid w:val="55E816A3"/>
    <w:rsid w:val="5604127D"/>
    <w:rsid w:val="56044E6C"/>
    <w:rsid w:val="56166703"/>
    <w:rsid w:val="56510474"/>
    <w:rsid w:val="56861525"/>
    <w:rsid w:val="56A93273"/>
    <w:rsid w:val="56BD550C"/>
    <w:rsid w:val="56E07045"/>
    <w:rsid w:val="56EF512A"/>
    <w:rsid w:val="56FF28AF"/>
    <w:rsid w:val="57540E7D"/>
    <w:rsid w:val="57792C45"/>
    <w:rsid w:val="577B4878"/>
    <w:rsid w:val="57926973"/>
    <w:rsid w:val="57D1482F"/>
    <w:rsid w:val="58175352"/>
    <w:rsid w:val="581F2200"/>
    <w:rsid w:val="583059FA"/>
    <w:rsid w:val="584A0929"/>
    <w:rsid w:val="587D0513"/>
    <w:rsid w:val="58C04499"/>
    <w:rsid w:val="58CD2491"/>
    <w:rsid w:val="590B1FC3"/>
    <w:rsid w:val="591B41B2"/>
    <w:rsid w:val="59254A26"/>
    <w:rsid w:val="593212FE"/>
    <w:rsid w:val="59326325"/>
    <w:rsid w:val="59455DDA"/>
    <w:rsid w:val="595C505B"/>
    <w:rsid w:val="595E55C3"/>
    <w:rsid w:val="596E7E20"/>
    <w:rsid w:val="5A0178BE"/>
    <w:rsid w:val="5A5D23AA"/>
    <w:rsid w:val="5A60780B"/>
    <w:rsid w:val="5A8C230E"/>
    <w:rsid w:val="5AB34579"/>
    <w:rsid w:val="5AB40E78"/>
    <w:rsid w:val="5AF80B40"/>
    <w:rsid w:val="5AFC6609"/>
    <w:rsid w:val="5B113480"/>
    <w:rsid w:val="5B681091"/>
    <w:rsid w:val="5BD456CE"/>
    <w:rsid w:val="5C0D1F49"/>
    <w:rsid w:val="5C161AB5"/>
    <w:rsid w:val="5C2C64D8"/>
    <w:rsid w:val="5C563555"/>
    <w:rsid w:val="5C5D0D87"/>
    <w:rsid w:val="5C62639E"/>
    <w:rsid w:val="5CB44946"/>
    <w:rsid w:val="5CBB0CE2"/>
    <w:rsid w:val="5CC17177"/>
    <w:rsid w:val="5CF306BC"/>
    <w:rsid w:val="5D042FB1"/>
    <w:rsid w:val="5D3F3D64"/>
    <w:rsid w:val="5D722610"/>
    <w:rsid w:val="5D833043"/>
    <w:rsid w:val="5DD92690"/>
    <w:rsid w:val="5DDB1CFD"/>
    <w:rsid w:val="5DEE0667"/>
    <w:rsid w:val="5E31427A"/>
    <w:rsid w:val="5E7E2E48"/>
    <w:rsid w:val="5E7E6D93"/>
    <w:rsid w:val="5E82459B"/>
    <w:rsid w:val="5ED44800"/>
    <w:rsid w:val="5F350BDE"/>
    <w:rsid w:val="5F4B136B"/>
    <w:rsid w:val="5F61632C"/>
    <w:rsid w:val="5FA17648"/>
    <w:rsid w:val="5FC627A0"/>
    <w:rsid w:val="5FE705CB"/>
    <w:rsid w:val="6007714E"/>
    <w:rsid w:val="603D5080"/>
    <w:rsid w:val="606842D0"/>
    <w:rsid w:val="60D0261B"/>
    <w:rsid w:val="618E3791"/>
    <w:rsid w:val="61947DCA"/>
    <w:rsid w:val="61A46A97"/>
    <w:rsid w:val="61B256D1"/>
    <w:rsid w:val="61D1382F"/>
    <w:rsid w:val="61F114A2"/>
    <w:rsid w:val="61F3722C"/>
    <w:rsid w:val="622B0ABA"/>
    <w:rsid w:val="62512BB4"/>
    <w:rsid w:val="625D7D1A"/>
    <w:rsid w:val="62660469"/>
    <w:rsid w:val="62DD7D21"/>
    <w:rsid w:val="637D586B"/>
    <w:rsid w:val="63892462"/>
    <w:rsid w:val="63A5560B"/>
    <w:rsid w:val="63CB798A"/>
    <w:rsid w:val="63E9091F"/>
    <w:rsid w:val="64322AF9"/>
    <w:rsid w:val="64345DB6"/>
    <w:rsid w:val="64D6010D"/>
    <w:rsid w:val="64D82665"/>
    <w:rsid w:val="64E47C96"/>
    <w:rsid w:val="651E5741"/>
    <w:rsid w:val="655D7702"/>
    <w:rsid w:val="657F4897"/>
    <w:rsid w:val="658A4877"/>
    <w:rsid w:val="659E2CA3"/>
    <w:rsid w:val="65A00902"/>
    <w:rsid w:val="65A05841"/>
    <w:rsid w:val="65AC6EDD"/>
    <w:rsid w:val="65D97752"/>
    <w:rsid w:val="66085536"/>
    <w:rsid w:val="66105BF7"/>
    <w:rsid w:val="66150023"/>
    <w:rsid w:val="6628010D"/>
    <w:rsid w:val="669B4528"/>
    <w:rsid w:val="66BF7EE5"/>
    <w:rsid w:val="66CC12D7"/>
    <w:rsid w:val="67134CEF"/>
    <w:rsid w:val="671F1ABD"/>
    <w:rsid w:val="673B1CC5"/>
    <w:rsid w:val="67521A59"/>
    <w:rsid w:val="67874F0A"/>
    <w:rsid w:val="67C304AB"/>
    <w:rsid w:val="683F0658"/>
    <w:rsid w:val="685968A7"/>
    <w:rsid w:val="689463FA"/>
    <w:rsid w:val="689C6793"/>
    <w:rsid w:val="68DB0208"/>
    <w:rsid w:val="68FB170C"/>
    <w:rsid w:val="691B3D98"/>
    <w:rsid w:val="693748F0"/>
    <w:rsid w:val="69846A0E"/>
    <w:rsid w:val="69AA1366"/>
    <w:rsid w:val="69AD798C"/>
    <w:rsid w:val="69D005C0"/>
    <w:rsid w:val="69D80B96"/>
    <w:rsid w:val="69F47AD7"/>
    <w:rsid w:val="6A114B8C"/>
    <w:rsid w:val="6A2C39D4"/>
    <w:rsid w:val="6B0B6FFB"/>
    <w:rsid w:val="6B2D5DC9"/>
    <w:rsid w:val="6B4750DC"/>
    <w:rsid w:val="6B68175F"/>
    <w:rsid w:val="6B740742"/>
    <w:rsid w:val="6BFD799F"/>
    <w:rsid w:val="6C4A2E5A"/>
    <w:rsid w:val="6C8138D0"/>
    <w:rsid w:val="6CC4450B"/>
    <w:rsid w:val="6CEF0725"/>
    <w:rsid w:val="6D213317"/>
    <w:rsid w:val="6D4B2604"/>
    <w:rsid w:val="6D77358F"/>
    <w:rsid w:val="6D8030E4"/>
    <w:rsid w:val="6D8A7502"/>
    <w:rsid w:val="6E0E35C4"/>
    <w:rsid w:val="6E0F7A08"/>
    <w:rsid w:val="6E3947F5"/>
    <w:rsid w:val="6E3E350A"/>
    <w:rsid w:val="6E6733A0"/>
    <w:rsid w:val="6E6E3938"/>
    <w:rsid w:val="6E9C74ED"/>
    <w:rsid w:val="6EE964AB"/>
    <w:rsid w:val="6EF72976"/>
    <w:rsid w:val="6F3326BD"/>
    <w:rsid w:val="6F795A80"/>
    <w:rsid w:val="6F7C1D2E"/>
    <w:rsid w:val="6F8E0407"/>
    <w:rsid w:val="6F9C52CB"/>
    <w:rsid w:val="6FDD069F"/>
    <w:rsid w:val="702B4D16"/>
    <w:rsid w:val="702E0619"/>
    <w:rsid w:val="70AA6621"/>
    <w:rsid w:val="7111480F"/>
    <w:rsid w:val="71261F49"/>
    <w:rsid w:val="712E6956"/>
    <w:rsid w:val="71473612"/>
    <w:rsid w:val="71504F32"/>
    <w:rsid w:val="7152309F"/>
    <w:rsid w:val="718F7F65"/>
    <w:rsid w:val="71995F66"/>
    <w:rsid w:val="71DA6992"/>
    <w:rsid w:val="727B234E"/>
    <w:rsid w:val="728A58B0"/>
    <w:rsid w:val="72D068C7"/>
    <w:rsid w:val="72E42ED8"/>
    <w:rsid w:val="72FC34C3"/>
    <w:rsid w:val="735F4CB9"/>
    <w:rsid w:val="73674C62"/>
    <w:rsid w:val="73845865"/>
    <w:rsid w:val="739B6D9E"/>
    <w:rsid w:val="73BC1D76"/>
    <w:rsid w:val="73FB6630"/>
    <w:rsid w:val="745A5E80"/>
    <w:rsid w:val="748D790E"/>
    <w:rsid w:val="749820CC"/>
    <w:rsid w:val="74B9247B"/>
    <w:rsid w:val="74CE04EC"/>
    <w:rsid w:val="74E76DCD"/>
    <w:rsid w:val="751D7C0A"/>
    <w:rsid w:val="75722D56"/>
    <w:rsid w:val="75DB5477"/>
    <w:rsid w:val="75EF43A6"/>
    <w:rsid w:val="75FC6AC3"/>
    <w:rsid w:val="7616619B"/>
    <w:rsid w:val="76660D7C"/>
    <w:rsid w:val="76687352"/>
    <w:rsid w:val="766C5968"/>
    <w:rsid w:val="76BE0C8F"/>
    <w:rsid w:val="76CD53B2"/>
    <w:rsid w:val="76D35A76"/>
    <w:rsid w:val="76E6594C"/>
    <w:rsid w:val="770719AC"/>
    <w:rsid w:val="776526CC"/>
    <w:rsid w:val="77A262E1"/>
    <w:rsid w:val="77B13C33"/>
    <w:rsid w:val="77DC095A"/>
    <w:rsid w:val="77ED6F44"/>
    <w:rsid w:val="77F45548"/>
    <w:rsid w:val="77FC440B"/>
    <w:rsid w:val="780E64E4"/>
    <w:rsid w:val="78106856"/>
    <w:rsid w:val="784E7CA6"/>
    <w:rsid w:val="78574801"/>
    <w:rsid w:val="7873527F"/>
    <w:rsid w:val="78EE303B"/>
    <w:rsid w:val="790A6425"/>
    <w:rsid w:val="790E2D96"/>
    <w:rsid w:val="791B54B2"/>
    <w:rsid w:val="793C0F89"/>
    <w:rsid w:val="795A0A34"/>
    <w:rsid w:val="797339C3"/>
    <w:rsid w:val="79B0209F"/>
    <w:rsid w:val="79B778D1"/>
    <w:rsid w:val="79D57D57"/>
    <w:rsid w:val="79EB45E5"/>
    <w:rsid w:val="79F00650"/>
    <w:rsid w:val="79F441A1"/>
    <w:rsid w:val="7A6242BF"/>
    <w:rsid w:val="7A794513"/>
    <w:rsid w:val="7A9B3811"/>
    <w:rsid w:val="7AA8546C"/>
    <w:rsid w:val="7AB467DA"/>
    <w:rsid w:val="7AB9318D"/>
    <w:rsid w:val="7AE952D2"/>
    <w:rsid w:val="7B9F26AF"/>
    <w:rsid w:val="7BB607FE"/>
    <w:rsid w:val="7C7248A0"/>
    <w:rsid w:val="7C976D69"/>
    <w:rsid w:val="7CB206E5"/>
    <w:rsid w:val="7CD752DA"/>
    <w:rsid w:val="7CDE40AB"/>
    <w:rsid w:val="7CF057E2"/>
    <w:rsid w:val="7D1548B5"/>
    <w:rsid w:val="7DB92699"/>
    <w:rsid w:val="7DEE13E8"/>
    <w:rsid w:val="7DF84014"/>
    <w:rsid w:val="7E207949"/>
    <w:rsid w:val="7E5C0A47"/>
    <w:rsid w:val="7E670C75"/>
    <w:rsid w:val="7EE24272"/>
    <w:rsid w:val="7EEA6053"/>
    <w:rsid w:val="7F207AA0"/>
    <w:rsid w:val="7F487C04"/>
    <w:rsid w:val="7F611CBA"/>
    <w:rsid w:val="7F660214"/>
    <w:rsid w:val="7F7B314F"/>
    <w:rsid w:val="7FB45F21"/>
    <w:rsid w:val="7FDA7E75"/>
    <w:rsid w:val="7FE536E9"/>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6481</Words>
  <Characters>7236</Characters>
  <Lines>15</Lines>
  <Paragraphs>15</Paragraphs>
  <TotalTime>86</TotalTime>
  <ScaleCrop>false</ScaleCrop>
  <LinksUpToDate>false</LinksUpToDate>
  <CharactersWithSpaces>7256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2024-09-11T03:13:00Z</dcterms:created>
  <dc:creator>GXR</dc:creator>
  <cp:lastModifiedBy>Administrator</cp:lastModifiedBy>
  <dcterms:modified xsi:type="dcterms:W3CDTF">2024-12-03T08:37:03Z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