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E1A35">
      <w:pPr>
        <w:rPr>
          <w:rFonts w:ascii="黑体" w:hAnsi="黑体" w:eastAsia="黑体"/>
          <w:sz w:val="32"/>
          <w:szCs w:val="32"/>
        </w:rPr>
      </w:pPr>
    </w:p>
    <w:p w14:paraId="2E59CB9E">
      <w:pPr>
        <w:jc w:val="center"/>
        <w:rPr>
          <w:rFonts w:ascii="方正小标宋_GBK" w:hAnsi="宋体" w:eastAsia="方正小标宋_GBK"/>
          <w:sz w:val="44"/>
          <w:szCs w:val="44"/>
        </w:rPr>
      </w:pPr>
    </w:p>
    <w:p w14:paraId="6190E097">
      <w:pPr>
        <w:jc w:val="center"/>
        <w:rPr>
          <w:rFonts w:ascii="方正小标宋_GBK" w:hAnsi="宋体" w:eastAsia="方正小标宋_GBK"/>
          <w:sz w:val="44"/>
          <w:szCs w:val="44"/>
        </w:rPr>
      </w:pPr>
      <w:r>
        <w:rPr>
          <w:rFonts w:hint="eastAsia" w:ascii="方正小标宋_GBK" w:hAnsi="宋体" w:eastAsia="方正小标宋_GBK"/>
          <w:sz w:val="44"/>
          <w:szCs w:val="44"/>
        </w:rPr>
        <w:t>沙湾市卫生健康委员会</w:t>
      </w:r>
    </w:p>
    <w:p w14:paraId="4BA04380">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75BFA2C2">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14BF5F3D">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7130AEB8">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2F32B39">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5FFC13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BBDF2F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7738480">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D97923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3DC876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136347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C46066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254C62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0DB441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A00EF3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5BA232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19BA463">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E7B9C4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FE05CE4">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E8AC72A">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63BAA7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ACD80A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BC1AE26">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B257274">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1DC3931">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C08B04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F38B9C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1A50F9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6EAB0C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337854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38253D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4A5E65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79B893A">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7ED1733">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1BE083E">
      <w:r>
        <w:rPr>
          <w:rFonts w:hint="eastAsia" w:ascii="仿宋_GB2312" w:hAnsi="仿宋_GB2312" w:eastAsia="仿宋_GB2312" w:cs="仿宋_GB2312"/>
          <w:sz w:val="32"/>
          <w:szCs w:val="32"/>
        </w:rPr>
        <w:fldChar w:fldCharType="end"/>
      </w:r>
    </w:p>
    <w:p w14:paraId="21DA83D8">
      <w:pPr>
        <w:rPr>
          <w:rFonts w:ascii="仿宋_GB2312" w:eastAsia="仿宋_GB2312"/>
          <w:sz w:val="32"/>
          <w:szCs w:val="32"/>
        </w:rPr>
      </w:pPr>
      <w:r>
        <w:rPr>
          <w:rFonts w:hint="eastAsia" w:ascii="仿宋_GB2312" w:eastAsia="仿宋_GB2312"/>
          <w:sz w:val="32"/>
          <w:szCs w:val="32"/>
        </w:rPr>
        <w:br w:type="page"/>
      </w:r>
    </w:p>
    <w:p w14:paraId="4E3DBFB5">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5DF3A6F">
      <w:pPr>
        <w:spacing w:line="480" w:lineRule="exact"/>
        <w:ind w:firstLine="640" w:firstLineChars="200"/>
        <w:outlineLvl w:val="1"/>
        <w:rPr>
          <w:rFonts w:ascii="仿宋_GB2312" w:hAnsi="仿宋_GB2312" w:eastAsia="仿宋_GB2312" w:cs="仿宋_GB2312"/>
          <w:bCs/>
          <w:kern w:val="0"/>
          <w:sz w:val="32"/>
          <w:szCs w:val="32"/>
        </w:rPr>
      </w:pPr>
      <w:bookmarkStart w:id="2" w:name="_Toc30738"/>
      <w:bookmarkStart w:id="3" w:name="_Toc30567"/>
      <w:r>
        <w:rPr>
          <w:rFonts w:hint="eastAsia" w:ascii="仿宋_GB2312" w:hAnsi="仿宋_GB2312" w:eastAsia="仿宋_GB2312" w:cs="仿宋_GB2312"/>
          <w:bCs/>
          <w:kern w:val="0"/>
          <w:sz w:val="32"/>
          <w:szCs w:val="32"/>
        </w:rPr>
        <w:t>一、主要职能</w:t>
      </w:r>
      <w:bookmarkEnd w:id="2"/>
      <w:bookmarkEnd w:id="3"/>
    </w:p>
    <w:p w14:paraId="2ACF1EBB">
      <w:pPr>
        <w:spacing w:line="480" w:lineRule="exact"/>
        <w:ind w:firstLine="640" w:firstLineChars="200"/>
        <w:rPr>
          <w:rFonts w:ascii="仿宋_GB2312" w:hAnsi="仿宋_GB2312" w:eastAsia="仿宋_GB2312" w:cs="仿宋_GB2312"/>
          <w:bCs/>
          <w:kern w:val="0"/>
          <w:sz w:val="32"/>
          <w:szCs w:val="32"/>
        </w:rPr>
      </w:pPr>
      <w:bookmarkStart w:id="4" w:name="_Toc31238"/>
      <w:bookmarkStart w:id="5" w:name="_Toc2151"/>
      <w:r>
        <w:rPr>
          <w:rFonts w:hint="eastAsia" w:ascii="仿宋_GB2312" w:hAnsi="仿宋_GB2312" w:eastAsia="仿宋_GB2312" w:cs="仿宋_GB2312"/>
          <w:bCs/>
          <w:kern w:val="0"/>
          <w:sz w:val="32"/>
          <w:szCs w:val="32"/>
        </w:rPr>
        <w:t>（一）贯彻实施国家、自治区关于医疗卫生健康工作的法律法规，组织研究拟订全市卫生健康事业发展规划、规章和标准并组织实施。制定并组织实施推进卫生健康基本公共服务均等化、普惠化、便捷化和公共资源向基层延伸等政策措施。</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二）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（三）负责疾病预防控制工作。制定并组织落实疾病预防控制规划、免疫规划及严重危害人民健康的公共卫生问题的干预措施。</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（四）组织拟订并协调落实应对人口老龄化政策措施，负责推进老年健康服务体系建设和医养结合工作。</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五）贯彻落实国家药物政策和国家基本药物制度，开展药品使用监测、临床综合评价和短缺药品预警。组织实施基本药物配送、使用的政策措施。执行国家药品法典，提出基本药物价格政策的建议。组织开展食品安全风险监督评估，公布食品安全标准。</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六）负责职责范围内的职业卫生、放射卫生、环境卫生、学校卫生、公共场所卫生、饮用水卫生等公共卫生和监督管理，健全卫生健康综合监督体系。承担卫生计生综合监督和食品安全相关工作。组织开展爱国卫生运动和卫生健康统计工作；牵头《烟草控制框架公约》履约有关工作。</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七）执行医疗机构、医疗服务行业管理办法并监督实施，建立医疗服务评价和监督管理体系。会同有关部门执行并实施卫生健康专业技术人员资格标准。组织实施医疗服务规范、标准和卫生健康专业技术人员执业规则、服务规范。</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（八）负责贯彻党的中医政策，积极开展中医药事业，负责中医、中西医结合工作的管理。</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（九）指导基层医疗卫生、妇幼健康服务体系和全科医生队伍建设。推进卫生健康科技创新发展。</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（十）负责保健对象的医疗保健工作，负责重要会议与重大活动的医疗卫生保障工作。</w:t>
      </w:r>
      <w:r>
        <w:rPr>
          <w:rFonts w:hint="eastAsia" w:ascii="仿宋_GB2312" w:hAnsi="仿宋_GB2312" w:eastAsia="仿宋_GB2312" w:cs="仿宋_GB2312"/>
          <w:bCs/>
          <w:kern w:val="0"/>
          <w:sz w:val="32"/>
          <w:szCs w:val="32"/>
        </w:rPr>
        <w:br w:type="textWrapping"/>
      </w:r>
      <w:r>
        <w:rPr>
          <w:rFonts w:hint="eastAsia" w:ascii="仿宋_GB2312" w:hAnsi="仿宋_GB2312" w:eastAsia="仿宋_GB2312" w:cs="仿宋_GB2312"/>
          <w:bCs/>
          <w:kern w:val="0"/>
          <w:sz w:val="32"/>
          <w:szCs w:val="32"/>
        </w:rPr>
        <w:t>　　（十一）完成市委、市政府交办的其他任务。</w:t>
      </w:r>
    </w:p>
    <w:p w14:paraId="5B177F84">
      <w:pPr>
        <w:spacing w:line="480" w:lineRule="exact"/>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二、机构设置及</w:t>
      </w:r>
      <w:bookmarkEnd w:id="4"/>
      <w:r>
        <w:rPr>
          <w:rFonts w:hint="eastAsia" w:ascii="仿宋_GB2312" w:hAnsi="仿宋_GB2312" w:eastAsia="仿宋_GB2312" w:cs="仿宋_GB2312"/>
          <w:bCs/>
          <w:kern w:val="0"/>
          <w:sz w:val="32"/>
          <w:szCs w:val="32"/>
        </w:rPr>
        <w:t>人员情况</w:t>
      </w:r>
      <w:bookmarkEnd w:id="5"/>
    </w:p>
    <w:p w14:paraId="692D2429">
      <w:pPr>
        <w:spacing w:line="480" w:lineRule="exact"/>
        <w:ind w:firstLine="640" w:firstLineChars="200"/>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沙湾市卫生健康委员会2023年度，实有人数51人，其中：在职人员19人，离休人员0人，退休人员32人。</w:t>
      </w:r>
    </w:p>
    <w:p w14:paraId="720F1E30">
      <w:pPr>
        <w:spacing w:line="48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单位无下属预算单位，下设5个处室，分别是：办公室、疾病预防控制室，管理服务站、沙湾市卫生健康保障服务中心，党务办公室。</w:t>
      </w:r>
    </w:p>
    <w:p w14:paraId="3815DC8A">
      <w:pPr>
        <w:rPr>
          <w:rFonts w:hint="eastAsia" w:ascii="黑体" w:hAnsi="黑体" w:eastAsia="黑体"/>
          <w:sz w:val="32"/>
          <w:szCs w:val="32"/>
        </w:rPr>
      </w:pPr>
      <w:bookmarkStart w:id="6" w:name="_Toc29374"/>
      <w:bookmarkStart w:id="7" w:name="_Toc3092"/>
      <w:r>
        <w:rPr>
          <w:rFonts w:hint="eastAsia" w:ascii="黑体" w:hAnsi="黑体" w:eastAsia="黑体"/>
          <w:sz w:val="32"/>
          <w:szCs w:val="32"/>
        </w:rPr>
        <w:br w:type="page"/>
      </w:r>
    </w:p>
    <w:p w14:paraId="331B2A34">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4830EB9F">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34F35FF">
      <w:pPr>
        <w:ind w:firstLine="640" w:firstLineChars="200"/>
        <w:jc w:val="left"/>
        <w:rPr>
          <w:rFonts w:ascii="仿宋_GB2312" w:eastAsia="仿宋_GB2312"/>
          <w:sz w:val="32"/>
          <w:szCs w:val="32"/>
        </w:rPr>
      </w:pPr>
      <w:r>
        <w:rPr>
          <w:rFonts w:hint="eastAsia" w:ascii="仿宋_GB2312" w:eastAsia="仿宋_GB2312"/>
          <w:sz w:val="32"/>
          <w:szCs w:val="32"/>
        </w:rPr>
        <w:t>2023年度收入总计5,012.56万元，其中：本年收入合计5,012.56万元，使用非财政拨款结余0.00万元，年初结转和结余0.00万元。</w:t>
      </w:r>
    </w:p>
    <w:p w14:paraId="7A45842F">
      <w:pPr>
        <w:ind w:firstLine="640" w:firstLineChars="200"/>
        <w:jc w:val="left"/>
        <w:rPr>
          <w:rFonts w:ascii="仿宋_GB2312" w:eastAsia="仿宋_GB2312"/>
          <w:sz w:val="32"/>
          <w:szCs w:val="32"/>
        </w:rPr>
      </w:pPr>
      <w:r>
        <w:rPr>
          <w:rFonts w:hint="eastAsia" w:ascii="仿宋_GB2312" w:eastAsia="仿宋_GB2312"/>
          <w:sz w:val="32"/>
          <w:szCs w:val="32"/>
        </w:rPr>
        <w:t>2023年度支出总计5,012.56万元，其中：本年支出合计5,012.56万元，结余分配0.00万元，年末结转和结余0.00万元。</w:t>
      </w:r>
    </w:p>
    <w:p w14:paraId="5A990A27">
      <w:pPr>
        <w:ind w:firstLine="640" w:firstLineChars="200"/>
        <w:jc w:val="left"/>
        <w:rPr>
          <w:rFonts w:ascii="仿宋_GB2312" w:eastAsia="仿宋_GB2312"/>
          <w:color w:val="000000" w:themeColor="text1"/>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减少66.56万元</w:t>
      </w:r>
      <w:r>
        <w:rPr>
          <w:rFonts w:hint="eastAsia" w:ascii="仿宋_GB2312" w:eastAsia="仿宋_GB2312"/>
          <w:sz w:val="32"/>
          <w:szCs w:val="32"/>
        </w:rPr>
        <w:t>，下降1.31%，主要原因是：2023年因工作需要，财政部门减少了援疆项目专项资金拨付</w:t>
      </w:r>
      <w:r>
        <w:rPr>
          <w:rFonts w:hint="eastAsia" w:ascii="仿宋_GB2312" w:eastAsia="仿宋_GB2312"/>
          <w:color w:val="000000" w:themeColor="text1"/>
          <w:sz w:val="32"/>
          <w:szCs w:val="32"/>
        </w:rPr>
        <w:t>，因此2023年收入支出总体减少。</w:t>
      </w:r>
    </w:p>
    <w:p w14:paraId="01706543">
      <w:pPr>
        <w:ind w:firstLine="640" w:firstLineChars="200"/>
        <w:jc w:val="left"/>
        <w:outlineLvl w:val="1"/>
        <w:rPr>
          <w:rFonts w:ascii="黑体" w:hAnsi="黑体" w:eastAsia="黑体" w:cs="宋体"/>
          <w:bCs/>
          <w:color w:val="000000" w:themeColor="text1"/>
          <w:kern w:val="0"/>
          <w:sz w:val="32"/>
          <w:szCs w:val="32"/>
        </w:rPr>
      </w:pPr>
      <w:bookmarkStart w:id="10" w:name="_Toc12142"/>
      <w:bookmarkStart w:id="11" w:name="_Toc1979"/>
      <w:r>
        <w:rPr>
          <w:rFonts w:hint="eastAsia" w:ascii="黑体" w:hAnsi="黑体" w:eastAsia="黑体" w:cs="宋体"/>
          <w:bCs/>
          <w:color w:val="000000" w:themeColor="text1"/>
          <w:kern w:val="0"/>
          <w:sz w:val="32"/>
          <w:szCs w:val="32"/>
        </w:rPr>
        <w:t>二、收入决算情况说明</w:t>
      </w:r>
      <w:bookmarkEnd w:id="10"/>
      <w:bookmarkEnd w:id="11"/>
    </w:p>
    <w:p w14:paraId="56B5B3D2">
      <w:pPr>
        <w:ind w:firstLine="640" w:firstLineChars="200"/>
        <w:jc w:val="left"/>
        <w:rPr>
          <w:rFonts w:ascii="仿宋_GB2312" w:eastAsia="仿宋_GB2312"/>
          <w:sz w:val="32"/>
          <w:szCs w:val="32"/>
        </w:rPr>
      </w:pPr>
      <w:r>
        <w:rPr>
          <w:rFonts w:hint="eastAsia" w:ascii="仿宋_GB2312" w:eastAsia="仿宋_GB2312"/>
          <w:sz w:val="32"/>
          <w:szCs w:val="32"/>
        </w:rPr>
        <w:t>本年收入5,012.56万元，其中：财政拨款收入</w:t>
      </w:r>
      <w:r>
        <w:rPr>
          <w:rFonts w:hint="eastAsia" w:ascii="仿宋_GB2312" w:eastAsia="仿宋_GB2312"/>
          <w:sz w:val="32"/>
          <w:szCs w:val="32"/>
          <w:lang w:val="zh-CN"/>
        </w:rPr>
        <w:t>5,012.56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3E1720BD">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3C1B894">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本年支出5,012.56万元，其中：基本支出402.40万元，占8.03%；项目支出4,610.16万元，占91.97%；上缴上级支出0.00万元，占0.00%；经营支出0.00万元，占0.00%；对附属单位补助支出0.00万元，占0.00%。</w:t>
      </w:r>
    </w:p>
    <w:p w14:paraId="285F7B21">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7C42BB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5,012.56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5,012.56</w:t>
      </w:r>
      <w:r>
        <w:rPr>
          <w:rFonts w:hint="eastAsia" w:ascii="仿宋_GB2312" w:eastAsia="仿宋_GB2312"/>
          <w:sz w:val="32"/>
          <w:szCs w:val="32"/>
        </w:rPr>
        <w:t>万元。财政拨款支出总计</w:t>
      </w:r>
      <w:r>
        <w:rPr>
          <w:rFonts w:hint="eastAsia" w:ascii="仿宋_GB2312" w:eastAsia="仿宋_GB2312"/>
          <w:sz w:val="32"/>
          <w:szCs w:val="32"/>
          <w:lang w:val="zh-CN"/>
        </w:rPr>
        <w:t>5,012.56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5,012.56</w:t>
      </w:r>
      <w:r>
        <w:rPr>
          <w:rFonts w:hint="eastAsia" w:ascii="仿宋_GB2312" w:eastAsia="仿宋_GB2312"/>
          <w:sz w:val="32"/>
          <w:szCs w:val="32"/>
        </w:rPr>
        <w:t>万元。</w:t>
      </w:r>
    </w:p>
    <w:p w14:paraId="00E3F124">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增加46.64万元</w:t>
      </w:r>
      <w:r>
        <w:rPr>
          <w:rFonts w:hint="eastAsia" w:ascii="仿宋_GB2312" w:eastAsia="仿宋_GB2312"/>
          <w:sz w:val="32"/>
          <w:szCs w:val="32"/>
        </w:rPr>
        <w:t>，增长0.94%,主要原因是：2023年因工作需要，2023年新增-积极应对人口老龄化工程和托育建设中央基建投资项目预算资金300万元，因此2023年财政拨款收入支出总体增加。与年初预算相比，年初预算数</w:t>
      </w:r>
      <w:r>
        <w:rPr>
          <w:rFonts w:hint="eastAsia" w:ascii="仿宋_GB2312" w:eastAsia="仿宋_GB2312"/>
          <w:sz w:val="32"/>
          <w:szCs w:val="32"/>
          <w:lang w:val="zh-CN"/>
        </w:rPr>
        <w:t>2,739.95</w:t>
      </w:r>
      <w:r>
        <w:rPr>
          <w:rFonts w:hint="eastAsia" w:ascii="仿宋_GB2312" w:eastAsia="仿宋_GB2312"/>
          <w:sz w:val="32"/>
          <w:szCs w:val="32"/>
        </w:rPr>
        <w:t>万元，决算数</w:t>
      </w:r>
      <w:r>
        <w:rPr>
          <w:rFonts w:hint="eastAsia" w:ascii="仿宋_GB2312" w:eastAsia="仿宋_GB2312"/>
          <w:sz w:val="32"/>
          <w:szCs w:val="32"/>
          <w:lang w:val="zh-CN"/>
        </w:rPr>
        <w:t>5,012.56</w:t>
      </w:r>
      <w:r>
        <w:rPr>
          <w:rFonts w:hint="eastAsia" w:ascii="仿宋_GB2312" w:eastAsia="仿宋_GB2312"/>
          <w:sz w:val="32"/>
          <w:szCs w:val="32"/>
        </w:rPr>
        <w:t>万元，预决算差异率82.94%，主要原因是：2023年根据工作需求，调整专项预算3830万元-中央疫情防控财力补助预算，造成预决算差异率较大。</w:t>
      </w:r>
    </w:p>
    <w:p w14:paraId="20165310">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69D1207">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16041D7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2023年度一般公共预算财政拨款支出5,012.56万元，占本年支出合计的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增加46.64万元</w:t>
      </w:r>
      <w:r>
        <w:rPr>
          <w:rFonts w:hint="eastAsia" w:ascii="仿宋_GB2312" w:eastAsia="仿宋_GB2312"/>
          <w:sz w:val="32"/>
          <w:szCs w:val="32"/>
        </w:rPr>
        <w:t>，增长0.94%,主要原因是：2023年因工作需要，2023年新增-积极应对人口老龄化工程和托育建设中央基建投资项目预算资金300万元，因此2023年财政拨款支出总体增加。与年初预算相比，年初预算数</w:t>
      </w:r>
      <w:r>
        <w:rPr>
          <w:rFonts w:hint="eastAsia" w:ascii="仿宋_GB2312" w:eastAsia="仿宋_GB2312"/>
          <w:sz w:val="32"/>
          <w:szCs w:val="32"/>
          <w:lang w:val="zh-CN"/>
        </w:rPr>
        <w:t>2,739.95</w:t>
      </w:r>
      <w:r>
        <w:rPr>
          <w:rFonts w:hint="eastAsia" w:ascii="仿宋_GB2312" w:eastAsia="仿宋_GB2312"/>
          <w:sz w:val="32"/>
          <w:szCs w:val="32"/>
        </w:rPr>
        <w:t>万元，决算数</w:t>
      </w:r>
      <w:r>
        <w:rPr>
          <w:rFonts w:hint="eastAsia" w:ascii="仿宋_GB2312" w:eastAsia="仿宋_GB2312"/>
          <w:sz w:val="32"/>
          <w:szCs w:val="32"/>
          <w:lang w:val="zh-CN"/>
        </w:rPr>
        <w:t>5,012.56</w:t>
      </w:r>
      <w:r>
        <w:rPr>
          <w:rFonts w:hint="eastAsia" w:ascii="仿宋_GB2312" w:eastAsia="仿宋_GB2312"/>
          <w:sz w:val="32"/>
          <w:szCs w:val="32"/>
        </w:rPr>
        <w:t>万元，预决算差异率</w:t>
      </w:r>
      <w:r>
        <w:rPr>
          <w:rFonts w:hint="eastAsia" w:ascii="仿宋_GB2312" w:eastAsia="仿宋_GB2312"/>
          <w:sz w:val="32"/>
          <w:szCs w:val="32"/>
          <w:lang w:val="zh-CN"/>
        </w:rPr>
        <w:t>82.94%</w:t>
      </w:r>
      <w:r>
        <w:rPr>
          <w:rFonts w:hint="eastAsia" w:ascii="仿宋_GB2312" w:eastAsia="仿宋_GB2312"/>
          <w:sz w:val="32"/>
          <w:szCs w:val="32"/>
        </w:rPr>
        <w:t>，主要原因是：2023年根据工作需求，调整专项预算3830万元-中央疫情防控财力补助预算，造成预决算差异率较大。</w:t>
      </w:r>
    </w:p>
    <w:p w14:paraId="39F0042D">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53F2257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327.36</w:t>
      </w:r>
      <w:r>
        <w:rPr>
          <w:rFonts w:ascii="仿宋_GB2312" w:eastAsia="仿宋_GB2312"/>
          <w:kern w:val="2"/>
          <w:sz w:val="32"/>
          <w:szCs w:val="32"/>
          <w:lang w:val="zh-CN"/>
        </w:rPr>
        <w:t>万元，占</w:t>
      </w:r>
      <w:r>
        <w:rPr>
          <w:rFonts w:hint="eastAsia" w:ascii="仿宋_GB2312" w:eastAsia="仿宋_GB2312"/>
          <w:kern w:val="2"/>
          <w:sz w:val="32"/>
          <w:szCs w:val="32"/>
          <w:lang w:val="zh-CN"/>
        </w:rPr>
        <w:t>6.53%</w:t>
      </w:r>
      <w:r>
        <w:rPr>
          <w:rFonts w:ascii="仿宋_GB2312" w:eastAsia="仿宋_GB2312"/>
          <w:kern w:val="2"/>
          <w:sz w:val="32"/>
          <w:szCs w:val="32"/>
          <w:lang w:val="zh-CN"/>
        </w:rPr>
        <w:t>；</w:t>
      </w:r>
    </w:p>
    <w:p w14:paraId="08B2EDF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4,646.28</w:t>
      </w:r>
      <w:r>
        <w:rPr>
          <w:rFonts w:ascii="仿宋_GB2312" w:eastAsia="仿宋_GB2312"/>
          <w:kern w:val="2"/>
          <w:sz w:val="32"/>
          <w:szCs w:val="32"/>
          <w:lang w:val="zh-CN"/>
        </w:rPr>
        <w:t>万元，占</w:t>
      </w:r>
      <w:r>
        <w:rPr>
          <w:rFonts w:hint="eastAsia" w:ascii="仿宋_GB2312" w:eastAsia="仿宋_GB2312"/>
          <w:kern w:val="2"/>
          <w:sz w:val="32"/>
          <w:szCs w:val="32"/>
          <w:lang w:val="zh-CN"/>
        </w:rPr>
        <w:t>92.69%</w:t>
      </w:r>
      <w:r>
        <w:rPr>
          <w:rFonts w:ascii="仿宋_GB2312" w:eastAsia="仿宋_GB2312"/>
          <w:kern w:val="2"/>
          <w:sz w:val="32"/>
          <w:szCs w:val="32"/>
          <w:lang w:val="zh-CN"/>
        </w:rPr>
        <w:t>；</w:t>
      </w:r>
    </w:p>
    <w:p w14:paraId="486E7B0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23.42</w:t>
      </w:r>
      <w:r>
        <w:rPr>
          <w:rFonts w:ascii="仿宋_GB2312" w:eastAsia="仿宋_GB2312"/>
          <w:kern w:val="2"/>
          <w:sz w:val="32"/>
          <w:szCs w:val="32"/>
          <w:lang w:val="zh-CN"/>
        </w:rPr>
        <w:t>万元，占</w:t>
      </w:r>
      <w:r>
        <w:rPr>
          <w:rFonts w:hint="eastAsia" w:ascii="仿宋_GB2312" w:eastAsia="仿宋_GB2312"/>
          <w:kern w:val="2"/>
          <w:sz w:val="32"/>
          <w:szCs w:val="32"/>
          <w:lang w:val="zh-CN"/>
        </w:rPr>
        <w:t>0.47%</w:t>
      </w:r>
      <w:r>
        <w:rPr>
          <w:rFonts w:ascii="仿宋_GB2312" w:eastAsia="仿宋_GB2312"/>
          <w:kern w:val="2"/>
          <w:sz w:val="32"/>
          <w:szCs w:val="32"/>
          <w:lang w:val="zh-CN"/>
        </w:rPr>
        <w:t>；</w:t>
      </w:r>
    </w:p>
    <w:p w14:paraId="136BA32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15.50</w:t>
      </w:r>
      <w:r>
        <w:rPr>
          <w:rFonts w:ascii="仿宋_GB2312" w:eastAsia="仿宋_GB2312"/>
          <w:kern w:val="2"/>
          <w:sz w:val="32"/>
          <w:szCs w:val="32"/>
          <w:lang w:val="zh-CN"/>
        </w:rPr>
        <w:t>万元，占</w:t>
      </w:r>
      <w:r>
        <w:rPr>
          <w:rFonts w:hint="eastAsia" w:ascii="仿宋_GB2312" w:eastAsia="仿宋_GB2312"/>
          <w:kern w:val="2"/>
          <w:sz w:val="32"/>
          <w:szCs w:val="32"/>
          <w:lang w:val="zh-CN"/>
        </w:rPr>
        <w:t>0.31%</w:t>
      </w:r>
      <w:r>
        <w:rPr>
          <w:rFonts w:ascii="仿宋_GB2312" w:eastAsia="仿宋_GB2312"/>
          <w:kern w:val="2"/>
          <w:sz w:val="32"/>
          <w:szCs w:val="32"/>
          <w:lang w:val="zh-CN"/>
        </w:rPr>
        <w:t>；</w:t>
      </w:r>
    </w:p>
    <w:p w14:paraId="40EE28B9">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744BDCB5">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1.卫生健康支出（类）卫生健康管理事务（款）其他卫生健康管理事务支出（项）:支出决算数为92.62万元，比上年决算增加85.62万元，增长1223.14%，主要原因是：</w:t>
      </w:r>
      <w:r>
        <w:rPr>
          <w:rFonts w:hint="eastAsia" w:ascii="仿宋_GB2312" w:eastAsia="仿宋_GB2312"/>
          <w:sz w:val="32"/>
          <w:szCs w:val="32"/>
        </w:rPr>
        <w:t>2022年未实行公务员管理的事业编制人员与行政编制人员工资未区分，2023年区分开，事业编制人员工资</w:t>
      </w:r>
      <w:r>
        <w:rPr>
          <w:rFonts w:hint="eastAsia" w:ascii="仿宋_GB2312" w:hAnsi="仿宋_GB2312" w:eastAsia="仿宋_GB2312" w:cs="仿宋_GB2312"/>
          <w:sz w:val="32"/>
          <w:szCs w:val="32"/>
        </w:rPr>
        <w:t>增加85.62万元。</w:t>
      </w:r>
    </w:p>
    <w:p w14:paraId="11EDF406">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2.卫生健康支出（类）行政事业单位医疗（款）行政单位医疗（项）:支出决算数为23.15万元，比上年决算减少1.21万元，下降4.97%，主要原因是：</w:t>
      </w:r>
      <w:r>
        <w:rPr>
          <w:rFonts w:hint="eastAsia" w:ascii="仿宋_GB2312" w:hAnsi="仿宋_GB2312" w:eastAsia="仿宋_GB2312" w:cs="仿宋_GB2312"/>
          <w:sz w:val="32"/>
          <w:szCs w:val="32"/>
          <w:lang w:val="zh-CN"/>
        </w:rPr>
        <w:t>2023年调出1人，人员减少1人。</w:t>
      </w:r>
    </w:p>
    <w:p w14:paraId="7D484D19">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3.卫生健康支出（类）卫生健康管理事务（款）行政运行（项）:支出决算数为201.13万元，比上年决算减少37.68万元，下降15.78%，主要原因是：</w:t>
      </w:r>
      <w:r>
        <w:rPr>
          <w:rFonts w:hint="eastAsia" w:ascii="仿宋_GB2312" w:eastAsia="仿宋_GB2312"/>
          <w:sz w:val="32"/>
          <w:szCs w:val="32"/>
        </w:rPr>
        <w:t>2022年未实行公务员管理的事业编制人员与行政编制人员工资未区分，2023年区分开</w:t>
      </w:r>
      <w:r>
        <w:rPr>
          <w:rFonts w:hint="eastAsia" w:ascii="仿宋_GB2312" w:hAnsi="仿宋_GB2312" w:eastAsia="仿宋_GB2312" w:cs="仿宋_GB2312"/>
          <w:sz w:val="32"/>
          <w:szCs w:val="32"/>
          <w:lang w:val="zh-CN"/>
        </w:rPr>
        <w:t>，</w:t>
      </w:r>
      <w:r>
        <w:rPr>
          <w:rFonts w:hint="eastAsia" w:ascii="仿宋_GB2312" w:eastAsia="仿宋_GB2312"/>
          <w:sz w:val="32"/>
          <w:szCs w:val="32"/>
        </w:rPr>
        <w:t>行政编制人员工资</w:t>
      </w:r>
      <w:r>
        <w:rPr>
          <w:rFonts w:hint="eastAsia" w:ascii="仿宋_GB2312" w:hAnsi="仿宋_GB2312" w:eastAsia="仿宋_GB2312" w:cs="仿宋_GB2312"/>
          <w:sz w:val="32"/>
          <w:szCs w:val="32"/>
          <w:lang w:val="zh-CN"/>
        </w:rPr>
        <w:t>减少37.68万元。</w:t>
      </w:r>
    </w:p>
    <w:p w14:paraId="369F9C7E">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4.卫生健康支出（类）行政事业单位医疗（款）事业单位医疗（项）:支出决算数为4.50万元，比上年决算增加0.13万元，增长2.97%，主要原因是：</w:t>
      </w:r>
      <w:r>
        <w:rPr>
          <w:rFonts w:hint="eastAsia" w:ascii="仿宋_GB2312" w:hAnsi="仿宋_GB2312" w:eastAsia="仿宋_GB2312" w:cs="仿宋_GB2312"/>
          <w:sz w:val="32"/>
          <w:szCs w:val="32"/>
          <w:lang w:val="zh-CN"/>
        </w:rPr>
        <w:t>事业单位人员调资，缴费基数调增，支出正常增长。</w:t>
      </w:r>
    </w:p>
    <w:p w14:paraId="16C6E817">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sz w:val="32"/>
          <w:szCs w:val="32"/>
        </w:rPr>
        <w:t>5.卫生健康支出（类）公共卫生（款）突发公共卫生事件应急处理（项）:支出决算数为3,896.00万元，比上年决算减少309.08万元，</w:t>
      </w:r>
      <w:r>
        <w:rPr>
          <w:rFonts w:hint="eastAsia" w:ascii="仿宋_GB2312" w:hAnsi="仿宋_GB2312" w:eastAsia="仿宋_GB2312" w:cs="仿宋_GB2312"/>
          <w:color w:val="000000" w:themeColor="text1"/>
          <w:sz w:val="32"/>
          <w:szCs w:val="32"/>
        </w:rPr>
        <w:t>下降7.35%，主要原因是：</w:t>
      </w:r>
      <w:r>
        <w:rPr>
          <w:rFonts w:hint="eastAsia" w:ascii="仿宋_GB2312" w:hAnsi="仿宋_GB2312" w:eastAsia="仿宋_GB2312" w:cs="仿宋_GB2312"/>
          <w:color w:val="000000" w:themeColor="text1"/>
          <w:sz w:val="32"/>
          <w:szCs w:val="32"/>
          <w:lang w:val="zh-CN"/>
        </w:rPr>
        <w:t>2023年疫情稳定，疫情资金投入减少，因此2023年支出下降。</w:t>
      </w:r>
    </w:p>
    <w:p w14:paraId="4FAEF400">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6.卫生健康支出（类）行政事业单位医疗（款）公务员医疗补助（项）:支出决算数为11.01万元，比上年决算减少0.36万元，下降3.17%，主要原因是：</w:t>
      </w:r>
      <w:r>
        <w:rPr>
          <w:rFonts w:hint="eastAsia" w:ascii="仿宋_GB2312" w:hAnsi="仿宋_GB2312" w:eastAsia="仿宋_GB2312" w:cs="仿宋_GB2312"/>
          <w:sz w:val="32"/>
          <w:szCs w:val="32"/>
          <w:lang w:val="zh-CN"/>
        </w:rPr>
        <w:t>2023年调出1人。</w:t>
      </w:r>
    </w:p>
    <w:p w14:paraId="1F7C998B">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7.住房保障支出（类）住房改革支出（款）住房公积金（项）:支出决算数为23.42万元，比上年决算增加1.65万元，增长7.58%，主要原因是：</w:t>
      </w:r>
      <w:r>
        <w:rPr>
          <w:rFonts w:hint="eastAsia" w:ascii="仿宋_GB2312" w:hAnsi="仿宋_GB2312" w:eastAsia="仿宋_GB2312" w:cs="仿宋_GB2312"/>
          <w:sz w:val="32"/>
          <w:szCs w:val="32"/>
          <w:lang w:val="zh-CN"/>
        </w:rPr>
        <w:t>在职人员调资，缴费基数调增，支出正常增长。</w:t>
      </w:r>
    </w:p>
    <w:p w14:paraId="72409691">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8.社会保障和就业支出（类）行政事业单位养老支出（款）行政单位离退休（项）:支出决算数为18.54万元，比上年决算增加6.87万元，增长58.87%，主要原因是：</w:t>
      </w:r>
      <w:r>
        <w:rPr>
          <w:rFonts w:hint="eastAsia" w:ascii="仿宋_GB2312" w:hAnsi="仿宋_GB2312" w:eastAsia="仿宋_GB2312" w:cs="仿宋_GB2312"/>
          <w:sz w:val="32"/>
          <w:szCs w:val="32"/>
          <w:lang w:val="en-US" w:eastAsia="zh-CN"/>
        </w:rPr>
        <w:t>补发在职转退休人员绩效工资</w:t>
      </w:r>
      <w:r>
        <w:rPr>
          <w:rFonts w:hint="eastAsia" w:ascii="仿宋_GB2312" w:hAnsi="仿宋_GB2312" w:eastAsia="仿宋_GB2312" w:cs="仿宋_GB2312"/>
          <w:sz w:val="32"/>
          <w:szCs w:val="32"/>
          <w:lang w:val="zh-CN"/>
        </w:rPr>
        <w:t>。</w:t>
      </w:r>
    </w:p>
    <w:p w14:paraId="6A1D7F3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9.卫生健康支出（类）公共卫生（款）基本公共卫生服务（项）:支出决算数为5.00万元，比上年决算增加0.00万元，增长0.00%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本年度与上年度支付金额一致，支出无变化</w:t>
      </w:r>
      <w:r>
        <w:rPr>
          <w:rFonts w:hint="eastAsia" w:ascii="仿宋_GB2312" w:hAnsi="仿宋_GB2312" w:eastAsia="仿宋_GB2312" w:cs="仿宋_GB2312"/>
          <w:sz w:val="32"/>
          <w:szCs w:val="32"/>
        </w:rPr>
        <w:t>。</w:t>
      </w:r>
    </w:p>
    <w:p w14:paraId="6B634856">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10.卫生健康支出（类）公共卫生（款）重大公共卫生服务（项）:支出决算数为0.60万元，比上年决算增加0.60万元，增长100%，主要原因是：2022年没有此项资金，</w:t>
      </w:r>
      <w:r>
        <w:rPr>
          <w:rFonts w:hint="eastAsia" w:ascii="仿宋_GB2312" w:hAnsi="仿宋_GB2312" w:eastAsia="仿宋_GB2312" w:cs="仿宋_GB2312"/>
          <w:sz w:val="32"/>
          <w:szCs w:val="32"/>
          <w:lang w:val="zh-CN"/>
        </w:rPr>
        <w:t>2023年增加重大</w:t>
      </w:r>
      <w:r>
        <w:rPr>
          <w:rFonts w:hint="eastAsia" w:ascii="仿宋_GB2312" w:hAnsi="仿宋_GB2312" w:eastAsia="仿宋_GB2312" w:cs="仿宋_GB2312"/>
          <w:sz w:val="32"/>
          <w:szCs w:val="32"/>
        </w:rPr>
        <w:t>公共卫生服务项目经费补助0.6万元，因此增长100%</w:t>
      </w:r>
      <w:r>
        <w:rPr>
          <w:rFonts w:hint="eastAsia" w:ascii="仿宋_GB2312" w:hAnsi="仿宋_GB2312" w:eastAsia="仿宋_GB2312" w:cs="仿宋_GB2312"/>
          <w:sz w:val="32"/>
          <w:szCs w:val="32"/>
          <w:lang w:val="zh-CN"/>
        </w:rPr>
        <w:t>。</w:t>
      </w:r>
    </w:p>
    <w:p w14:paraId="5F8F908E">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11.卫生健康支出（类）事务（款）服务（项）:支出决算数为412.27万元，比上年决算增加105.75万元，增长34.50%，主要原因是：</w:t>
      </w:r>
      <w:r>
        <w:rPr>
          <w:rFonts w:hint="eastAsia" w:ascii="仿宋_GB2312" w:hAnsi="仿宋_GB2312" w:eastAsia="仿宋_GB2312" w:cs="仿宋_GB2312"/>
          <w:sz w:val="32"/>
          <w:szCs w:val="32"/>
          <w:lang w:val="zh-CN"/>
        </w:rPr>
        <w:t>2023年符合政策奖励对象人数增多，享受政策标准提高。</w:t>
      </w:r>
    </w:p>
    <w:p w14:paraId="37BBF703">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12.社会保障和就业支出（类）行政事业单位养老支出（款）机关事业单位基本养老保险缴费支出（项）:支出决算数为29.03万元，比上年决算增加4.85万元，增长20.06%，主要原因是：</w:t>
      </w:r>
      <w:r>
        <w:rPr>
          <w:rFonts w:hint="eastAsia" w:ascii="仿宋_GB2312" w:hAnsi="仿宋_GB2312" w:eastAsia="仿宋_GB2312" w:cs="仿宋_GB2312"/>
          <w:sz w:val="32"/>
          <w:szCs w:val="32"/>
          <w:lang w:val="zh-CN"/>
        </w:rPr>
        <w:t>在职人员调资，缴费基数调增，支出正常增长。</w:t>
      </w:r>
    </w:p>
    <w:p w14:paraId="2FFA3AEB">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13.社会保障和就业支出（类）社会福利（款）儿童福利（项）:支出决算数为279.80万元，比上年决算增加279.80万元，增长100%，主要原因是：2023年增加塔地财建[2023]39号沙财建[2023]16号2023年积极应对人口老龄化工程和托育建设中央基建投资项目，此项目列入社会保障和就业支出（类）社会福利（款）儿童福利（项）支出，2022年无此项目支出。</w:t>
      </w:r>
    </w:p>
    <w:p w14:paraId="1DE8095E">
      <w:pPr>
        <w:ind w:firstLine="640" w:firstLineChars="200"/>
        <w:rPr>
          <w:rFonts w:ascii="仿宋_GB2312" w:eastAsia="仿宋_GB2312"/>
          <w:sz w:val="32"/>
          <w:szCs w:val="32"/>
        </w:rPr>
      </w:pPr>
      <w:r>
        <w:rPr>
          <w:rFonts w:hint="eastAsia" w:ascii="仿宋_GB2312" w:hAnsi="仿宋_GB2312" w:eastAsia="仿宋_GB2312" w:cs="仿宋_GB2312"/>
          <w:sz w:val="32"/>
          <w:szCs w:val="32"/>
        </w:rPr>
        <w:t>14.其他支出（类）其他支出（款）其他支出（项）:支出决算数为15.50万元，比上年决算增加5.14万元，增长49.61%，主要原因是：</w:t>
      </w:r>
      <w:r>
        <w:rPr>
          <w:rFonts w:hint="eastAsia" w:ascii="仿宋_GB2312" w:eastAsia="仿宋_GB2312"/>
          <w:sz w:val="32"/>
          <w:szCs w:val="32"/>
        </w:rPr>
        <w:t>2023年支付了2022年专项，塔地财预[2022]16号2022年“为民办实事”经费5.5万元。</w:t>
      </w:r>
    </w:p>
    <w:p w14:paraId="588C95C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15.卫生健康支出（类）其他卫生健康支出（款）其他卫生健康支出（项）:支出决算数为0.00万元，比上年决算减少95.43万元，下降100%，主要原因是：</w:t>
      </w:r>
      <w:r>
        <w:rPr>
          <w:rFonts w:hint="eastAsia" w:ascii="仿宋_GB2312" w:eastAsia="仿宋_GB2312"/>
          <w:sz w:val="32"/>
          <w:szCs w:val="32"/>
        </w:rPr>
        <w:t>此项是塔地财建[2020]118号-上年专项沙湾县医疗垃圾分类、收集、转运一体化项目资金，2022年按照工程进度已100%完成，2023年无此项目。</w:t>
      </w:r>
    </w:p>
    <w:p w14:paraId="634AD42E">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B0F4679">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402.40万元，其中：人员经费370.79万元，包括：基本工资、津贴补贴、奖金、绩效工资、机关事业单位基本养老保险缴费、职工基本医疗保险缴费、公务员医疗补助缴费、其他社会保障缴费、住房公积金、退休费、抚恤金。</w:t>
      </w:r>
    </w:p>
    <w:p w14:paraId="78D998E7">
      <w:pPr>
        <w:ind w:firstLine="640" w:firstLineChars="200"/>
        <w:jc w:val="left"/>
        <w:rPr>
          <w:rFonts w:ascii="仿宋_GB2312" w:eastAsia="仿宋_GB2312"/>
          <w:sz w:val="32"/>
          <w:szCs w:val="32"/>
        </w:rPr>
      </w:pPr>
      <w:r>
        <w:rPr>
          <w:rFonts w:hint="eastAsia" w:ascii="仿宋_GB2312" w:eastAsia="仿宋_GB2312"/>
          <w:sz w:val="32"/>
          <w:szCs w:val="32"/>
        </w:rPr>
        <w:t>公用经费31.61万元，包括：办公费、印刷费、电费、邮电费、取暖费、差旅费、维修（护）费、公务接待费、工会经费、公务用车运行维护费、其他交通费用、其他商品和服务支出、信息网络及软件购置更新。</w:t>
      </w:r>
    </w:p>
    <w:p w14:paraId="654EA095">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F1520D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“三公”经费支出0.51万元，</w:t>
      </w:r>
      <w:r>
        <w:rPr>
          <w:rFonts w:hint="eastAsia" w:ascii="仿宋_GB2312" w:eastAsia="仿宋_GB2312"/>
          <w:sz w:val="32"/>
          <w:szCs w:val="32"/>
        </w:rPr>
        <w:t>比上年</w:t>
      </w:r>
      <w:r>
        <w:rPr>
          <w:rFonts w:hint="eastAsia" w:ascii="仿宋_GB2312" w:eastAsia="仿宋_GB2312"/>
          <w:sz w:val="32"/>
          <w:szCs w:val="32"/>
          <w:lang w:val="zh-CN"/>
        </w:rPr>
        <w:t>减少2.89万元，</w:t>
      </w:r>
      <w:r>
        <w:rPr>
          <w:rFonts w:hint="eastAsia" w:ascii="仿宋_GB2312" w:eastAsia="仿宋_GB2312"/>
          <w:sz w:val="32"/>
          <w:szCs w:val="32"/>
        </w:rPr>
        <w:t>下降85.00%,</w:t>
      </w:r>
      <w:r>
        <w:rPr>
          <w:rFonts w:hint="eastAsia" w:ascii="仿宋_GB2312" w:eastAsia="仿宋_GB2312"/>
          <w:sz w:val="32"/>
          <w:szCs w:val="32"/>
          <w:lang w:val="zh-CN"/>
        </w:rPr>
        <w:t>主要原因是：压缩“三公”经费，厉行节约，杜绝铺张浪费，保障人员支出。其中：因公出国（境）费支出0.00万元，占0.00%，比上年增加0.00万元，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主要原因是：我单位年初未安排此项支出，本年未发生此项费用；公务用车购置及运行维护费支出0.44万元，占86.27%，比上年减少2.96万元，</w:t>
      </w:r>
      <w:r>
        <w:rPr>
          <w:rFonts w:hint="eastAsia" w:ascii="仿宋_GB2312" w:eastAsia="仿宋_GB2312"/>
          <w:sz w:val="32"/>
          <w:szCs w:val="32"/>
        </w:rPr>
        <w:t>下降87.06%,</w:t>
      </w:r>
      <w:r>
        <w:rPr>
          <w:rFonts w:hint="eastAsia" w:ascii="仿宋_GB2312" w:eastAsia="仿宋_GB2312"/>
          <w:sz w:val="32"/>
          <w:szCs w:val="32"/>
          <w:lang w:val="zh-CN"/>
        </w:rPr>
        <w:t>主要原因是：</w:t>
      </w:r>
      <w:r>
        <w:rPr>
          <w:rFonts w:hint="eastAsia" w:ascii="仿宋_GB2312" w:eastAsia="仿宋_GB2312"/>
          <w:sz w:val="32"/>
          <w:szCs w:val="32"/>
        </w:rPr>
        <w:t>2023年公务车由机关事务局统一管理，仅</w:t>
      </w:r>
      <w:r>
        <w:rPr>
          <w:rFonts w:hint="eastAsia" w:ascii="仿宋_GB2312" w:eastAsia="仿宋_GB2312"/>
          <w:sz w:val="32"/>
          <w:szCs w:val="32"/>
          <w:lang w:val="zh-CN"/>
        </w:rPr>
        <w:t>运行维护费</w:t>
      </w:r>
      <w:r>
        <w:rPr>
          <w:rFonts w:hint="eastAsia" w:ascii="仿宋_GB2312" w:eastAsia="仿宋_GB2312"/>
          <w:sz w:val="32"/>
          <w:szCs w:val="32"/>
        </w:rPr>
        <w:t>等支出，因此下降87.06%</w:t>
      </w:r>
      <w:r>
        <w:rPr>
          <w:rFonts w:hint="eastAsia" w:ascii="仿宋_GB2312" w:eastAsia="仿宋_GB2312"/>
          <w:sz w:val="32"/>
          <w:szCs w:val="32"/>
          <w:lang w:val="zh-CN"/>
        </w:rPr>
        <w:t>；公务接待费支出0.07万元，占13.73%，比上年增加0.07万元，</w:t>
      </w:r>
      <w:r>
        <w:rPr>
          <w:rFonts w:hint="eastAsia" w:ascii="仿宋_GB2312" w:eastAsia="仿宋_GB2312"/>
          <w:sz w:val="32"/>
          <w:szCs w:val="32"/>
        </w:rPr>
        <w:t>增长100.00%,</w:t>
      </w:r>
      <w:r>
        <w:rPr>
          <w:rFonts w:hint="eastAsia" w:ascii="仿宋_GB2312" w:eastAsia="仿宋_GB2312"/>
          <w:sz w:val="32"/>
          <w:szCs w:val="32"/>
          <w:lang w:val="zh-CN"/>
        </w:rPr>
        <w:t>主要原因是：2023年发生2批次公务接待，接待人次11人次，共发生费用0.07万元。</w:t>
      </w:r>
    </w:p>
    <w:p w14:paraId="66FFEB8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4EB098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因公出国（境）费支出0.00万元，开支内容包括我单位年初未安排此项支出，本年未发生此项费用。单位全年安排的因公出国（境）团组0个，因公出国（境）0人次。</w:t>
      </w:r>
    </w:p>
    <w:p w14:paraId="6979B39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公务用车购置及运行维护费0.44万元，其中：公务用车购置费0.00万元，公务用车运行维护费0.44万元。公务用车运行维护费开支内容包括</w:t>
      </w:r>
      <w:r>
        <w:rPr>
          <w:rFonts w:hint="eastAsia" w:ascii="仿宋_GB2312" w:eastAsia="仿宋_GB2312"/>
          <w:sz w:val="32"/>
          <w:szCs w:val="32"/>
        </w:rPr>
        <w:t>车辆加油、车辆充电、车辆保险、车辆年审和过路费。</w:t>
      </w:r>
      <w:r>
        <w:rPr>
          <w:rFonts w:hint="eastAsia" w:ascii="仿宋_GB2312" w:eastAsia="仿宋_GB2312"/>
          <w:sz w:val="32"/>
          <w:szCs w:val="32"/>
          <w:lang w:val="zh-CN"/>
        </w:rPr>
        <w:t>公务用车购置数0辆，公务用车保有量4辆。国有资产占用情况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原因是：不存在差异。</w:t>
      </w:r>
    </w:p>
    <w:p w14:paraId="232C641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公务接待费0.07万元，开支内容包括：2023年接待自治区，地区卫健委调研，督导托育服务项目2次，费用0.07万元。单位全年安排的国内公务接待2批次，11人次。</w:t>
      </w:r>
    </w:p>
    <w:p w14:paraId="4636790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预算数0.90万元，决算数0.51万元，预决算差异率-43.33%，主要原因是：压缩“三公”经费，厉行节约，杜绝铺张浪费，保障人员支出。其中：因公出国（境）费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0.00万元，决算数0.00万元，预决算差异率0.00%，主要原因是：我单位年初未安排此项支出，本年未发生此项费用；公务用车购置费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预算数0.00万元，决算数0.00万元，预决算差异率0.00%，主要原因是：我单位年初未安排此项支出，本年未发生此项费用；公务用车运行费</w:t>
      </w:r>
      <w:r>
        <w:rPr>
          <w:rFonts w:hint="eastAsia" w:ascii="仿宋_GB2312" w:eastAsia="仿宋_GB2312"/>
          <w:sz w:val="32"/>
          <w:szCs w:val="32"/>
        </w:rPr>
        <w:t>全年</w:t>
      </w:r>
      <w:r>
        <w:rPr>
          <w:rFonts w:hint="eastAsia" w:ascii="仿宋_GB2312" w:eastAsia="仿宋_GB2312"/>
          <w:sz w:val="32"/>
          <w:szCs w:val="32"/>
          <w:lang w:val="zh-CN"/>
        </w:rPr>
        <w:t>预算数0.50万元，决算数0.44万元，预决算差异率-12.00%，主要原因是：压缩“三公”经费，厉行节约；公务接待费</w:t>
      </w:r>
      <w:r>
        <w:rPr>
          <w:rFonts w:hint="eastAsia" w:ascii="仿宋_GB2312" w:eastAsia="仿宋_GB2312"/>
          <w:sz w:val="32"/>
          <w:szCs w:val="32"/>
        </w:rPr>
        <w:t>全年</w:t>
      </w:r>
      <w:r>
        <w:rPr>
          <w:rFonts w:hint="eastAsia" w:ascii="仿宋_GB2312" w:eastAsia="仿宋_GB2312"/>
          <w:sz w:val="32"/>
          <w:szCs w:val="32"/>
          <w:lang w:val="zh-CN"/>
        </w:rPr>
        <w:t>预算数0.40万元，决算数0.07万元，预决算差异率-82.50%，主要原因是：压缩“三公”经费，厉行节约，杜绝铺张浪费，保障人员支出。</w:t>
      </w:r>
    </w:p>
    <w:p w14:paraId="3B849E42">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5C1DEEE">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25D6B92">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662E40D">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8EECFC7">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63AB596">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DBE61AA">
      <w:pPr>
        <w:ind w:firstLine="640" w:firstLineChars="200"/>
        <w:rPr>
          <w:rFonts w:ascii="仿宋_GB2312" w:hAnsi="仿宋_GB2312" w:eastAsia="仿宋_GB2312" w:cs="仿宋_GB2312"/>
          <w:sz w:val="32"/>
          <w:szCs w:val="32"/>
          <w:lang w:val="zh-CN"/>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沙湾市卫生健康委员会（行政单位和参照公务员法管理事业单位）机关运行经费支出31.61万元，</w:t>
      </w:r>
      <w:r>
        <w:rPr>
          <w:rFonts w:hint="eastAsia" w:ascii="仿宋_GB2312" w:hAnsi="仿宋_GB2312" w:eastAsia="仿宋_GB2312" w:cs="仿宋_GB2312"/>
          <w:sz w:val="32"/>
          <w:szCs w:val="32"/>
          <w:lang w:val="zh-CN"/>
        </w:rPr>
        <w:t>比上年增加18.94万元，增长149.49%，主要原因是：</w:t>
      </w:r>
      <w:r>
        <w:rPr>
          <w:rFonts w:hint="eastAsia" w:ascii="仿宋_GB2312" w:eastAsia="仿宋_GB2312"/>
          <w:sz w:val="32"/>
          <w:szCs w:val="32"/>
        </w:rPr>
        <w:t>2023年增加车辆租赁费用(其他交通费)3.98万元，差旅费比2022年增加2万元， 信息网络及软件购置更新费用增加13万元公用经费额度增加，因此增长149.49%</w:t>
      </w:r>
      <w:r>
        <w:rPr>
          <w:rFonts w:hint="eastAsia" w:ascii="仿宋_GB2312" w:hAnsi="仿宋_GB2312" w:eastAsia="仿宋_GB2312" w:cs="仿宋_GB2312"/>
          <w:sz w:val="32"/>
          <w:szCs w:val="32"/>
          <w:lang w:val="zh-CN"/>
        </w:rPr>
        <w:t>。</w:t>
      </w:r>
    </w:p>
    <w:p w14:paraId="297797FC">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B68ADB8">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2023年度政府采购支出总额11.58万元，其中：政府采购货物支出3.96万元、政府采购工程支出0.00万元、政府采购服务支出7.63万元。</w:t>
      </w:r>
    </w:p>
    <w:p w14:paraId="59035958">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授予中小企业合同金额11.58万元，占政府采购支出总额的100.00%，其中：授予小微企业合同金额11.58万元，占政府采购支出总额的100.00%</w:t>
      </w:r>
      <w:r>
        <w:rPr>
          <w:rFonts w:hint="eastAsia" w:ascii="仿宋_GB2312" w:hAnsi="仿宋_GB2312" w:eastAsia="仿宋_GB2312" w:cs="仿宋_GB2312"/>
          <w:sz w:val="32"/>
          <w:szCs w:val="32"/>
        </w:rPr>
        <w:t>。</w:t>
      </w:r>
    </w:p>
    <w:p w14:paraId="28DD5067">
      <w:pPr>
        <w:ind w:firstLine="640" w:firstLineChars="200"/>
        <w:jc w:val="left"/>
        <w:rPr>
          <w:rFonts w:ascii="仿宋_GB2312" w:hAnsi="仿宋_GB2312" w:eastAsia="仿宋_GB2312" w:cs="仿宋_GB2312"/>
          <w:sz w:val="32"/>
          <w:szCs w:val="30"/>
          <w:lang w:val="zh-CN"/>
        </w:rPr>
      </w:pPr>
      <w:bookmarkStart w:id="26" w:name="_Toc8391"/>
      <w:bookmarkStart w:id="27" w:name="_Toc4591"/>
      <w:r>
        <w:rPr>
          <w:rFonts w:hint="eastAsia" w:ascii="仿宋_GB2312" w:hAnsi="仿宋_GB2312" w:eastAsia="仿宋_GB2312" w:cs="仿宋_GB2312"/>
          <w:sz w:val="32"/>
          <w:szCs w:val="30"/>
          <w:lang w:val="zh-CN"/>
        </w:rPr>
        <w:t>（三）国有资产占用情况说明</w:t>
      </w:r>
      <w:bookmarkEnd w:id="26"/>
      <w:bookmarkEnd w:id="27"/>
    </w:p>
    <w:p w14:paraId="2793C2A5">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264.27</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屋20.00平方米，价值1.64万元。车辆4辆，价值74.59万元，其中：副部（省）级及以上领导用车0辆、主要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用车0辆、机要通信用车0辆、应急保障用车0辆、执法执勤用车0辆、特种专业技术用车2辆、离退休干部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用车0辆、其他用车2辆，其他用车主要是：</w:t>
      </w:r>
      <w:r>
        <w:rPr>
          <w:rFonts w:hint="eastAsia" w:ascii="仿宋_GB2312" w:eastAsia="仿宋_GB2312"/>
          <w:sz w:val="32"/>
          <w:szCs w:val="32"/>
          <w:lang w:val="en-US" w:eastAsia="zh-CN"/>
        </w:rPr>
        <w:t>单位业务用车</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14:paraId="43755A78">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1E8068C">
      <w:pPr>
        <w:ind w:firstLine="640" w:firstLineChars="200"/>
        <w:jc w:val="left"/>
        <w:rPr>
          <w:rFonts w:ascii="仿宋_GB2312" w:eastAsia="仿宋_GB2312"/>
          <w:sz w:val="32"/>
          <w:szCs w:val="32"/>
        </w:rPr>
      </w:pPr>
      <w:r>
        <w:rPr>
          <w:rFonts w:hint="eastAsia" w:ascii="仿宋_GB2312" w:eastAsia="仿宋_GB2312"/>
          <w:color w:val="000000" w:themeColor="text1"/>
          <w:sz w:val="32"/>
          <w:szCs w:val="32"/>
        </w:rPr>
        <w:t>根据预算绩效管理要求，我单位2023年度</w:t>
      </w:r>
      <w:r>
        <w:rPr>
          <w:rFonts w:hint="eastAsia" w:ascii="仿宋_GB2312" w:hAnsi="仿宋_GB2312" w:eastAsia="仿宋_GB2312" w:cs="仿宋_GB2312"/>
          <w:color w:val="000000" w:themeColor="text1"/>
          <w:kern w:val="0"/>
          <w:sz w:val="32"/>
          <w:szCs w:val="32"/>
        </w:rPr>
        <w:t>预算绩效管理整体支出绩效自评表</w:t>
      </w:r>
      <w:r>
        <w:rPr>
          <w:rFonts w:hint="eastAsia" w:ascii="仿宋_GB2312" w:eastAsia="仿宋_GB2312"/>
          <w:color w:val="000000" w:themeColor="text1"/>
          <w:sz w:val="32"/>
          <w:szCs w:val="32"/>
        </w:rPr>
        <w:t>1张</w:t>
      </w:r>
      <w:r>
        <w:rPr>
          <w:rFonts w:hint="eastAsia" w:ascii="仿宋_GB2312" w:hAnsi="仿宋_GB2312" w:eastAsia="仿宋_GB2312" w:cs="仿宋_GB2312"/>
          <w:color w:val="000000" w:themeColor="text1"/>
          <w:kern w:val="0"/>
          <w:sz w:val="32"/>
          <w:szCs w:val="32"/>
        </w:rPr>
        <w:t>，全年</w:t>
      </w:r>
      <w:r>
        <w:rPr>
          <w:rFonts w:hint="eastAsia" w:ascii="仿宋_GB2312" w:eastAsia="仿宋_GB2312"/>
          <w:color w:val="000000" w:themeColor="text1"/>
          <w:sz w:val="32"/>
          <w:szCs w:val="32"/>
        </w:rPr>
        <w:t>预算总额5167.03万元，实际执行总额5012.55万元</w:t>
      </w:r>
      <w:r>
        <w:rPr>
          <w:rFonts w:hint="eastAsia" w:ascii="仿宋_GB2312" w:hAnsi="仿宋_GB2312" w:eastAsia="仿宋_GB2312" w:cs="仿宋_GB2312"/>
          <w:color w:val="000000" w:themeColor="text1"/>
          <w:kern w:val="0"/>
          <w:sz w:val="32"/>
          <w:szCs w:val="32"/>
        </w:rPr>
        <w:t>；</w:t>
      </w:r>
      <w:r>
        <w:rPr>
          <w:rFonts w:hint="eastAsia" w:ascii="仿宋_GB2312" w:eastAsia="仿宋_GB2312"/>
          <w:color w:val="000000" w:themeColor="text1"/>
          <w:sz w:val="32"/>
          <w:szCs w:val="32"/>
        </w:rPr>
        <w:t>预算绩效评价项目8个，全年预算数46</w:t>
      </w:r>
      <w:r>
        <w:rPr>
          <w:rFonts w:hint="eastAsia" w:ascii="仿宋_GB2312" w:eastAsia="仿宋_GB2312"/>
          <w:color w:val="000000" w:themeColor="text1"/>
          <w:sz w:val="32"/>
          <w:szCs w:val="32"/>
          <w:lang w:val="en-US" w:eastAsia="zh-CN"/>
        </w:rPr>
        <w:t>30</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3</w:t>
      </w:r>
      <w:bookmarkStart w:id="48" w:name="_GoBack"/>
      <w:bookmarkEnd w:id="48"/>
      <w:r>
        <w:rPr>
          <w:rFonts w:hint="eastAsia" w:ascii="仿宋_GB2312" w:eastAsia="仿宋_GB2312"/>
          <w:color w:val="000000" w:themeColor="text1"/>
          <w:sz w:val="32"/>
          <w:szCs w:val="32"/>
        </w:rPr>
        <w:t>7万元，全年执行数4610.16万元，其中sm项目6个，全年预算数4325.37万元，全年执行数4325.37万元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不予以公开。预算绩效管理取得的成效：一是保障了单位51人的工资、社保、公积金及生活补助等支出的正常发放，促进卫生健康事业的发展；保障了300平</w:t>
      </w:r>
      <w:r>
        <w:rPr>
          <w:rFonts w:hint="eastAsia" w:ascii="仿宋_GB2312" w:eastAsia="仿宋_GB2312"/>
          <w:sz w:val="32"/>
          <w:szCs w:val="32"/>
        </w:rPr>
        <w:t>方米办公用房的冬季供暖，5个科室的正常运转，2辆车正常出行，提高了单位日常工作运转效能；二是保障项目有效实施，为人民群众提供全方位全周期健康服务。发现的问题及原因：一是预算绩效管理水平仍有欠缺，项目管理不及时，项目进度更新掌握不到位；二是项目多为下属单位实施，资金也分配到下属单位，导致绩效监控不及时，对于资金使用情况不明。下一步改进措施：一是加强各个业务科室的衔接和配合，明确分工，及时上报项目实施进度和开展情况；二是明确项目实施单位，绩效目标由资金执行单位列入并监控，使本单位的项目支出产生的效益最大化。具体项目自评情况附绩效自评表及自评报告。</w:t>
      </w:r>
    </w:p>
    <w:p w14:paraId="61AC2B3D">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B294D9E">
      <w:pPr>
        <w:ind w:firstLine="640" w:firstLineChars="200"/>
        <w:jc w:val="left"/>
        <w:rPr>
          <w:rFonts w:hint="eastAsia" w:ascii="仿宋_GB2312" w:eastAsia="仿宋_GB2312"/>
          <w:color w:val="000000" w:themeColor="text1"/>
          <w:sz w:val="32"/>
          <w:szCs w:val="32"/>
        </w:rPr>
      </w:pPr>
      <w:r>
        <w:rPr>
          <w:rFonts w:hint="eastAsia" w:ascii="仿宋_GB2312" w:eastAsia="仿宋_GB2312"/>
          <w:color w:val="000000" w:themeColor="text1"/>
          <w:sz w:val="32"/>
          <w:szCs w:val="32"/>
        </w:rPr>
        <w:t>本单位sm项目</w:t>
      </w:r>
      <w:r>
        <w:rPr>
          <w:rFonts w:hint="eastAsia" w:ascii="仿宋_GB2312" w:eastAsia="仿宋_GB2312"/>
          <w:color w:val="000000" w:themeColor="text1"/>
          <w:sz w:val="32"/>
          <w:szCs w:val="32"/>
          <w:lang w:val="en-US" w:eastAsia="zh-CN"/>
        </w:rPr>
        <w:t>6</w:t>
      </w:r>
      <w:r>
        <w:rPr>
          <w:rFonts w:hint="eastAsia" w:ascii="仿宋_GB2312" w:eastAsia="仿宋_GB2312"/>
          <w:color w:val="000000" w:themeColor="text1"/>
          <w:sz w:val="32"/>
          <w:szCs w:val="32"/>
        </w:rPr>
        <w:t>个，全年预算数4459.67万元，全年执行数4459.67万元，不予以公开绩效自评表。</w:t>
      </w:r>
    </w:p>
    <w:p w14:paraId="0319BAE8">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4D2001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29FCEB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30426C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3FD5A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3875D0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6E1B44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E0199A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C4BBF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097EA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5DB90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03B561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8F0368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5CFC56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A1A8E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DAF9A9A">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56C1A0D">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561F9C18">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75F5593A">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75A42D0">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A7C299E">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0DF7F90">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C60455E">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0E5E6912">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71C6EAD2">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438717A">
      <w:pPr>
        <w:ind w:firstLine="640" w:firstLineChars="200"/>
        <w:rPr>
          <w:rFonts w:ascii="仿宋_GB2312" w:eastAsia="仿宋_GB2312"/>
          <w:sz w:val="32"/>
          <w:szCs w:val="32"/>
        </w:rPr>
      </w:pPr>
    </w:p>
    <w:p w14:paraId="19CA8A18">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F8637">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1DE0B1">
                <w:pPr>
                  <w:pStyle w:val="4"/>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ZiYzE1YzQ3YmE2ZTE0OWU4YzlhMGJmYzRjNzYzNTAifQ=="/>
    <w:docVar w:name="KSO_WPS_MARK_KEY" w:val="41ee2a61-2d54-4f93-83be-afdb9a40d732"/>
  </w:docVars>
  <w:rsids>
    <w:rsidRoot w:val="00152C2D"/>
    <w:rsid w:val="00003B8F"/>
    <w:rsid w:val="00012FE6"/>
    <w:rsid w:val="00042356"/>
    <w:rsid w:val="00075712"/>
    <w:rsid w:val="000A38C0"/>
    <w:rsid w:val="000C4126"/>
    <w:rsid w:val="000C5F44"/>
    <w:rsid w:val="00102EB5"/>
    <w:rsid w:val="0010508F"/>
    <w:rsid w:val="00152C2D"/>
    <w:rsid w:val="001A48B8"/>
    <w:rsid w:val="002022FF"/>
    <w:rsid w:val="00213C59"/>
    <w:rsid w:val="002156D9"/>
    <w:rsid w:val="00247883"/>
    <w:rsid w:val="00277000"/>
    <w:rsid w:val="00294C59"/>
    <w:rsid w:val="00297B4E"/>
    <w:rsid w:val="002A5B9D"/>
    <w:rsid w:val="002F06B3"/>
    <w:rsid w:val="003210CE"/>
    <w:rsid w:val="00376EB7"/>
    <w:rsid w:val="004514E0"/>
    <w:rsid w:val="00462C9C"/>
    <w:rsid w:val="00472F1E"/>
    <w:rsid w:val="004E2DFD"/>
    <w:rsid w:val="00531EC7"/>
    <w:rsid w:val="00535321"/>
    <w:rsid w:val="00561605"/>
    <w:rsid w:val="00567254"/>
    <w:rsid w:val="005A2BC8"/>
    <w:rsid w:val="005C2EE5"/>
    <w:rsid w:val="00602D2A"/>
    <w:rsid w:val="00643DF7"/>
    <w:rsid w:val="0069016B"/>
    <w:rsid w:val="006C3BAA"/>
    <w:rsid w:val="00753154"/>
    <w:rsid w:val="00783F9D"/>
    <w:rsid w:val="00786C30"/>
    <w:rsid w:val="007B2367"/>
    <w:rsid w:val="007C07D9"/>
    <w:rsid w:val="007C1806"/>
    <w:rsid w:val="00822306"/>
    <w:rsid w:val="00863CE3"/>
    <w:rsid w:val="00887532"/>
    <w:rsid w:val="008A1AD8"/>
    <w:rsid w:val="008A1BEF"/>
    <w:rsid w:val="008B0DA1"/>
    <w:rsid w:val="009B0E68"/>
    <w:rsid w:val="009C7E8C"/>
    <w:rsid w:val="009D178C"/>
    <w:rsid w:val="00A51AF3"/>
    <w:rsid w:val="00A81CF0"/>
    <w:rsid w:val="00B24CC7"/>
    <w:rsid w:val="00B31B90"/>
    <w:rsid w:val="00B70D59"/>
    <w:rsid w:val="00B73D95"/>
    <w:rsid w:val="00BA0C2C"/>
    <w:rsid w:val="00C063BA"/>
    <w:rsid w:val="00C26F06"/>
    <w:rsid w:val="00C35371"/>
    <w:rsid w:val="00C446E5"/>
    <w:rsid w:val="00C8384F"/>
    <w:rsid w:val="00CC22A3"/>
    <w:rsid w:val="00D04C28"/>
    <w:rsid w:val="00D30612"/>
    <w:rsid w:val="00D40D1D"/>
    <w:rsid w:val="00D77841"/>
    <w:rsid w:val="00DA420D"/>
    <w:rsid w:val="00DC0DAF"/>
    <w:rsid w:val="00DE0EAB"/>
    <w:rsid w:val="00DF6E25"/>
    <w:rsid w:val="00E30CCB"/>
    <w:rsid w:val="00E44A01"/>
    <w:rsid w:val="00E75727"/>
    <w:rsid w:val="00EC54D7"/>
    <w:rsid w:val="00F52A8D"/>
    <w:rsid w:val="00F611BB"/>
    <w:rsid w:val="00F925B0"/>
    <w:rsid w:val="019404F8"/>
    <w:rsid w:val="01C30B6B"/>
    <w:rsid w:val="01ED22F2"/>
    <w:rsid w:val="023A0779"/>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FA7208"/>
    <w:rsid w:val="0B61769D"/>
    <w:rsid w:val="0B8C3ECC"/>
    <w:rsid w:val="0B9C639D"/>
    <w:rsid w:val="0BB052B2"/>
    <w:rsid w:val="0BC37F65"/>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AF6D4E"/>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AF11982"/>
    <w:rsid w:val="1B36328E"/>
    <w:rsid w:val="1B39345B"/>
    <w:rsid w:val="1B91678A"/>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1FF7100B"/>
    <w:rsid w:val="2064678E"/>
    <w:rsid w:val="20DC1AB9"/>
    <w:rsid w:val="20DD6197"/>
    <w:rsid w:val="212631E0"/>
    <w:rsid w:val="2138666F"/>
    <w:rsid w:val="21742080"/>
    <w:rsid w:val="21A53757"/>
    <w:rsid w:val="21B343D2"/>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7B1672"/>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587819"/>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B01A6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293E1C"/>
    <w:rsid w:val="405470BD"/>
    <w:rsid w:val="40794A29"/>
    <w:rsid w:val="40834692"/>
    <w:rsid w:val="41431AD5"/>
    <w:rsid w:val="414B3C0F"/>
    <w:rsid w:val="417C1CE7"/>
    <w:rsid w:val="41900018"/>
    <w:rsid w:val="41944406"/>
    <w:rsid w:val="41CE128F"/>
    <w:rsid w:val="41DA6F12"/>
    <w:rsid w:val="42171FB1"/>
    <w:rsid w:val="42A06468"/>
    <w:rsid w:val="42C10D7B"/>
    <w:rsid w:val="434E6957"/>
    <w:rsid w:val="43501676"/>
    <w:rsid w:val="43BA0E31"/>
    <w:rsid w:val="43C15147"/>
    <w:rsid w:val="43E14DD2"/>
    <w:rsid w:val="43F800E9"/>
    <w:rsid w:val="44246D58"/>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08326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283E2E"/>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A17BE8"/>
    <w:rsid w:val="74CE04EC"/>
    <w:rsid w:val="74E76DCD"/>
    <w:rsid w:val="751D7C0A"/>
    <w:rsid w:val="75722D56"/>
    <w:rsid w:val="75DB5477"/>
    <w:rsid w:val="75FC6AC3"/>
    <w:rsid w:val="7616619B"/>
    <w:rsid w:val="76660D7C"/>
    <w:rsid w:val="766C5968"/>
    <w:rsid w:val="76BE0C8F"/>
    <w:rsid w:val="76CD53B2"/>
    <w:rsid w:val="76E6594C"/>
    <w:rsid w:val="770719AC"/>
    <w:rsid w:val="77413D39"/>
    <w:rsid w:val="776526CC"/>
    <w:rsid w:val="77A262E1"/>
    <w:rsid w:val="77B13C33"/>
    <w:rsid w:val="77DC095A"/>
    <w:rsid w:val="77ED6F44"/>
    <w:rsid w:val="77F45548"/>
    <w:rsid w:val="77FC440B"/>
    <w:rsid w:val="784E7CA6"/>
    <w:rsid w:val="78574801"/>
    <w:rsid w:val="7873527F"/>
    <w:rsid w:val="790840BF"/>
    <w:rsid w:val="790A6425"/>
    <w:rsid w:val="790E2D96"/>
    <w:rsid w:val="791B54B2"/>
    <w:rsid w:val="793C0F89"/>
    <w:rsid w:val="795A0A34"/>
    <w:rsid w:val="797339C3"/>
    <w:rsid w:val="79D57D57"/>
    <w:rsid w:val="79F00650"/>
    <w:rsid w:val="7A1D2529"/>
    <w:rsid w:val="7A6242BF"/>
    <w:rsid w:val="7A794513"/>
    <w:rsid w:val="7A9B3811"/>
    <w:rsid w:val="7AB467DA"/>
    <w:rsid w:val="7AB9318D"/>
    <w:rsid w:val="7AE952D2"/>
    <w:rsid w:val="7B9F26AF"/>
    <w:rsid w:val="7BB607FE"/>
    <w:rsid w:val="7C1B5DA4"/>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7044</Words>
  <Characters>8031</Characters>
  <Lines>63</Lines>
  <Paragraphs>17</Paragraphs>
  <TotalTime>17</TotalTime>
  <ScaleCrop>false</ScaleCrop>
  <LinksUpToDate>false</LinksUpToDate>
  <CharactersWithSpaces>8063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2024-09-25T08:20:00Z</dcterms:created>
  <dc:creator>GXR</dc:creator>
  <cp:lastModifiedBy>雯雯酱</cp:lastModifiedBy>
  <dcterms:modified xsi:type="dcterms:W3CDTF">2025-03-28T07:31:43Z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