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沙湾市博尔通古乡哈拉干德卫生院</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bookmarkStart w:id="4" w:name="_Toc31238"/>
      <w:bookmarkStart w:id="5" w:name="_Toc2151"/>
      <w:r>
        <w:rPr>
          <w:rFonts w:hint="eastAsia" w:ascii="仿宋_GB2312" w:eastAsia="仿宋_GB2312"/>
          <w:sz w:val="32"/>
          <w:szCs w:val="32"/>
          <w:highlight w:val="none"/>
        </w:rPr>
        <w:t>1.承担本乡镇农村居民健康档案规范建档指导、管理及服务;</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2.普及卫生保健常识,在重点人群和重点场所开展健康教育,帮助居民形成有利于维护和增进健康的行为方式;指导开展爱国卫生工作;</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3.提供并组织实施本乡镇预防接种服务,落实国家免疫规划;</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4.及时发现、登记并报告本乡镇内发现的传染病病例和疑似病例参与现场疫情处理;</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5开展新生儿访视及儿童保健系统管理,进行体格检查和生长发育监测及评价,开展健康指导;</w:t>
      </w:r>
    </w:p>
    <w:p>
      <w:pPr>
        <w:keepNext w:val="0"/>
        <w:keepLines w:val="0"/>
        <w:pageBreakBefore w:val="0"/>
        <w:widowControl w:val="0"/>
        <w:numPr>
          <w:ilvl w:val="0"/>
          <w:numId w:val="0"/>
        </w:numPr>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6.</w:t>
      </w:r>
      <w:r>
        <w:rPr>
          <w:rFonts w:hint="eastAsia" w:ascii="仿宋_GB2312" w:eastAsia="仿宋_GB2312"/>
          <w:sz w:val="32"/>
          <w:szCs w:val="32"/>
          <w:highlight w:val="none"/>
        </w:rPr>
        <w:t>开展孕产妇保健系统管理和产后访视,进行一般体格检查及孕期营养、心理等健康指导;</w:t>
      </w:r>
    </w:p>
    <w:p>
      <w:pPr>
        <w:keepNext w:val="0"/>
        <w:keepLines w:val="0"/>
        <w:pageBreakBefore w:val="0"/>
        <w:widowControl w:val="0"/>
        <w:numPr>
          <w:ilvl w:val="0"/>
          <w:numId w:val="0"/>
        </w:numPr>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7.对本乡镇65岁及以上老年人进行登记管理,进行健康危险因素调查和一般体格检查,开展健康指导;</w:t>
      </w:r>
    </w:p>
    <w:p>
      <w:pPr>
        <w:keepNext w:val="0"/>
        <w:keepLines w:val="0"/>
        <w:pageBreakBefore w:val="0"/>
        <w:widowControl w:val="0"/>
        <w:numPr>
          <w:ilvl w:val="0"/>
          <w:numId w:val="0"/>
        </w:numPr>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8.对高血压、糖尿病等慢性病高危人群进行指导,对确诊高血压糖尿病等慢性病病例进行登记管理、定期随访和健康指导;</w:t>
      </w:r>
    </w:p>
    <w:p>
      <w:pPr>
        <w:keepNext w:val="0"/>
        <w:keepLines w:val="0"/>
        <w:pageBreakBefore w:val="0"/>
        <w:widowControl w:val="0"/>
        <w:numPr>
          <w:ilvl w:val="0"/>
          <w:numId w:val="0"/>
        </w:numPr>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9.对本乡镇重性精神疾病患者进行登记管理、治疗随访和康复指导;</w:t>
      </w:r>
    </w:p>
    <w:p>
      <w:pPr>
        <w:keepNext w:val="0"/>
        <w:keepLines w:val="0"/>
        <w:pageBreakBefore w:val="0"/>
        <w:widowControl w:val="0"/>
        <w:numPr>
          <w:ilvl w:val="0"/>
          <w:numId w:val="0"/>
        </w:numPr>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10.负责本乡镇内突发公共卫生事件的报告并协助处理;</w:t>
      </w:r>
    </w:p>
    <w:p>
      <w:pPr>
        <w:keepNext w:val="0"/>
        <w:keepLines w:val="0"/>
        <w:pageBreakBefore w:val="0"/>
        <w:widowControl w:val="0"/>
        <w:numPr>
          <w:ilvl w:val="0"/>
          <w:numId w:val="0"/>
        </w:numPr>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1l.做好卫生行政部门规定的其他公共卫生服务;</w:t>
      </w:r>
    </w:p>
    <w:p>
      <w:pPr>
        <w:keepNext w:val="0"/>
        <w:keepLines w:val="0"/>
        <w:pageBreakBefore w:val="0"/>
        <w:widowControl w:val="0"/>
        <w:numPr>
          <w:ilvl w:val="0"/>
          <w:numId w:val="1"/>
        </w:numPr>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使用农村适宜医疗技术和中医药技术,正确处理常见病、多发病,对疑难重症进行恰当的处理并转诊。承担乡村现场应急救护、转诊服务和康复服务;</w:t>
      </w:r>
    </w:p>
    <w:p>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能完成外科的止血、缝合、包扎、骨折固定等处置;</w:t>
      </w:r>
    </w:p>
    <w:p>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健全消毒、隔离制度,遵守无菌操作规程,加强医疗质量管理。做好医疗废物处理和污水、污物无害化处理;</w:t>
      </w:r>
    </w:p>
    <w:p>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执行国家基本药物制度药品集中采购、零差率销售等政策,为实施一体化管理的村卫生室统一代购药品;</w:t>
      </w:r>
    </w:p>
    <w:p>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提供政府卫生行政部门批准的其他适宜的医疗服务;</w:t>
      </w:r>
    </w:p>
    <w:p>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对本乡镇内传染病防治、学校卫生、食品卫生、饮水卫生、职业卫生,以及村级预防保健工作进行指导、培训、考核与监督;</w:t>
      </w:r>
    </w:p>
    <w:p>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严格执行医疗保险政策规定,履行定点医疗机构职责,做好有关的政策宣传、监督及服务工作;</w:t>
      </w:r>
    </w:p>
    <w:p>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深入推进乡村卫生服务一体化管理,对村卫生室实行以行政、服务一体化管理,对村卫生室实行以行政、人员、业务、药品、财产为基本内容的“五统一”规范管理;负责村卫生室的技术指导和乡村医生培训等工作;</w:t>
      </w:r>
    </w:p>
    <w:p>
      <w:pPr>
        <w:keepNext w:val="0"/>
        <w:keepLines w:val="0"/>
        <w:pageBreakBefore w:val="0"/>
        <w:widowControl w:val="0"/>
        <w:numPr>
          <w:ilvl w:val="0"/>
          <w:numId w:val="0"/>
        </w:numPr>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20.</w:t>
      </w:r>
      <w:r>
        <w:rPr>
          <w:rFonts w:hint="eastAsia" w:ascii="仿宋_GB2312" w:eastAsia="仿宋_GB2312"/>
          <w:sz w:val="32"/>
          <w:szCs w:val="32"/>
          <w:highlight w:val="none"/>
        </w:rPr>
        <w:t>在本乡镇政府和卫健委领导下,依据当地社会经济发展规划,协助制定和实施本乡镇的初级卫生规划;</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highlight w:val="none"/>
        </w:rPr>
      </w:pPr>
      <w:r>
        <w:rPr>
          <w:rFonts w:hint="eastAsia" w:ascii="仿宋_GB2312" w:eastAsia="仿宋_GB2312"/>
          <w:sz w:val="32"/>
          <w:szCs w:val="32"/>
          <w:highlight w:val="none"/>
          <w:lang w:val="en-US" w:eastAsia="zh-CN"/>
        </w:rPr>
        <w:t>21.</w:t>
      </w:r>
      <w:r>
        <w:rPr>
          <w:rFonts w:hint="eastAsia" w:ascii="仿宋_GB2312" w:eastAsia="仿宋_GB2312"/>
          <w:sz w:val="32"/>
          <w:szCs w:val="32"/>
          <w:highlight w:val="none"/>
        </w:rPr>
        <w:t>配合有关部门动员组织群众开展爱国卫生活动,逐步改善本乡镇卫生状况。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沙湾市博尔通古乡哈拉干德卫生院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13</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r>
        <w:rPr>
          <w:rFonts w:hint="eastAsia" w:ascii="仿宋_GB2312" w:hAnsi="黑体" w:eastAsia="仿宋_GB2312" w:cs="宋体"/>
          <w:bCs/>
          <w:color w:val="auto"/>
          <w:kern w:val="0"/>
          <w:sz w:val="32"/>
          <w:szCs w:val="32"/>
          <w:highlight w:val="none"/>
          <w:lang w:val="en-US" w:eastAsia="zh-CN"/>
        </w:rPr>
        <w:t>该</w:t>
      </w:r>
      <w:r>
        <w:rPr>
          <w:rFonts w:hint="eastAsia" w:ascii="仿宋_GB2312" w:hAnsi="黑体" w:eastAsia="仿宋_GB2312" w:cs="宋体"/>
          <w:bCs/>
          <w:color w:val="auto"/>
          <w:kern w:val="0"/>
          <w:sz w:val="32"/>
          <w:szCs w:val="32"/>
          <w:highlight w:val="none"/>
        </w:rPr>
        <w:t>单位无下属预算单位，</w:t>
      </w:r>
      <w:r>
        <w:rPr>
          <w:rFonts w:hint="eastAsia" w:ascii="仿宋_GB2312" w:eastAsia="仿宋_GB2312"/>
          <w:sz w:val="32"/>
          <w:szCs w:val="32"/>
          <w:highlight w:val="none"/>
          <w:lang w:eastAsia="zh-CN"/>
        </w:rPr>
        <w:t>下设5个处室，分别是：医生办公室、护士办公室、预防保健室、公共卫生办公室、药房。</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241.07万元，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241.07万元，使用非财政拨款结余0.00万元，年初结转和结余0.00万元。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241.07万元，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240.93万元，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0.00万元，年末结转和结余0.14万元。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增加25.00万元</w:t>
      </w:r>
      <w:r>
        <w:rPr>
          <w:rFonts w:hint="eastAsia" w:ascii="仿宋_GB2312" w:eastAsia="仿宋_GB2312"/>
          <w:color w:val="auto"/>
          <w:spacing w:val="0"/>
          <w:sz w:val="32"/>
          <w:szCs w:val="32"/>
          <w:highlight w:val="none"/>
          <w:lang w:eastAsia="zh-CN"/>
        </w:rPr>
        <w:t>，增长11.57%，主要原因是：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sz w:val="32"/>
          <w:szCs w:val="32"/>
          <w:highlight w:val="none"/>
          <w:lang w:val="en-US" w:eastAsia="zh-CN"/>
        </w:rPr>
        <w:t>2023年发放2018年及2020年绩效工资；三是新增基本公共卫生服务-65岁以上老年人服务项目资金；四</w:t>
      </w:r>
      <w:r>
        <w:rPr>
          <w:rFonts w:hint="eastAsia" w:ascii="仿宋_GB2312" w:eastAsia="仿宋_GB2312"/>
          <w:color w:val="auto"/>
          <w:spacing w:val="0"/>
          <w:sz w:val="32"/>
          <w:szCs w:val="32"/>
          <w:highlight w:val="none"/>
          <w:lang w:val="en-US" w:eastAsia="zh-CN"/>
        </w:rPr>
        <w:t>是2023年单位医疗收入-诊察收入增加。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241.07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240.81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99.89%</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0.26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0.11%</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本年支出240.93万元，其中：基本支出201.7</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zh-CN" w:eastAsia="zh-CN"/>
        </w:rPr>
        <w:t>万元，占83.7</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eastAsia="zh-CN"/>
        </w:rPr>
        <w:t>；项目支出39.17万元，占16.2</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zh-CN" w:eastAsia="zh-CN"/>
        </w:rPr>
        <w:t>%；上缴上级支出0.00万元，占0.00%；经营支出0.00万元，占0.00%；对附属单位补助支出0.00万元，占0.00%。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240.81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240.81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240.81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240.81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增加24.74万元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增长11.45%,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sz w:val="32"/>
          <w:szCs w:val="32"/>
          <w:highlight w:val="none"/>
          <w:lang w:val="en-US" w:eastAsia="zh-CN"/>
        </w:rPr>
        <w:t>2023年发放2018年及2020年绩效工资；三是新增基本公共卫生服务-65岁以上老年人服务项目资金</w:t>
      </w:r>
      <w:r>
        <w:rPr>
          <w:rFonts w:hint="eastAsia" w:ascii="仿宋_GB2312" w:eastAsia="仿宋_GB2312"/>
          <w:color w:val="auto"/>
          <w:spacing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176.29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240.81</w:t>
      </w:r>
      <w:r>
        <w:rPr>
          <w:rFonts w:hint="eastAsia" w:ascii="仿宋_GB2312" w:eastAsia="仿宋_GB2312"/>
          <w:color w:val="auto"/>
          <w:spacing w:val="0"/>
          <w:sz w:val="32"/>
          <w:szCs w:val="32"/>
          <w:highlight w:val="none"/>
          <w:lang w:eastAsia="zh-CN"/>
        </w:rPr>
        <w:t>万元，预决算差异率36.60%，主要原因是：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sz w:val="32"/>
          <w:szCs w:val="32"/>
          <w:highlight w:val="none"/>
          <w:lang w:val="en-US" w:eastAsia="zh-CN"/>
        </w:rPr>
        <w:t>2023年发放2018年及2020年绩效工资；三是新增基本公共卫生服务-65岁以上老年人服务项目资金</w:t>
      </w:r>
      <w:r>
        <w:rPr>
          <w:rFonts w:hint="eastAsia" w:ascii="仿宋_GB2312" w:eastAsia="仿宋_GB2312"/>
          <w:color w:val="auto"/>
          <w:spacing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2023年度一般公共预算财政拨款支出240.81万元，占本年支出合计的</w:t>
      </w:r>
      <w:r>
        <w:rPr>
          <w:rFonts w:hint="eastAsia" w:ascii="仿宋_GB2312" w:eastAsia="仿宋_GB2312"/>
          <w:color w:val="auto"/>
          <w:spacing w:val="0"/>
          <w:sz w:val="32"/>
          <w:szCs w:val="32"/>
          <w:highlight w:val="none"/>
          <w:lang w:val="zh-CN" w:eastAsia="zh-CN"/>
        </w:rPr>
        <w:t>99.95%</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增加24.74万元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增长11.45%,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sz w:val="32"/>
          <w:szCs w:val="32"/>
          <w:highlight w:val="none"/>
          <w:lang w:val="en-US" w:eastAsia="zh-CN"/>
        </w:rPr>
        <w:t>2023年发放2018年及2020年绩效工资；三是新增基本公共卫生服务-65岁以上老年人服务项目资金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176.29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240.81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36.60%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sz w:val="32"/>
          <w:szCs w:val="32"/>
          <w:highlight w:val="none"/>
          <w:lang w:val="en-US" w:eastAsia="zh-CN"/>
        </w:rPr>
        <w:t>2023年发放2018年及2020年绩效工资；三是新增基本公共卫生服务-65岁以上老年人服务项目资金</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18.68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7.76%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207.48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86.16%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ind w:right="0" w:rightChars="0"/>
        <w:jc w:val="left"/>
        <w:textAlignment w:val="auto"/>
        <w:rPr>
          <w:rFonts w:hint="default" w:ascii="仿宋_GB2312" w:hAnsi="Times New Roman" w:eastAsia="仿宋_GB2312" w:cs="Times New Roman"/>
          <w:color w:val="auto"/>
          <w:spacing w:val="0"/>
          <w:kern w:val="2"/>
          <w:sz w:val="32"/>
          <w:szCs w:val="32"/>
          <w:highlight w:val="red"/>
          <w:lang w:val="zh-CN" w:eastAsia="zh-CN" w:bidi="ar-SA"/>
        </w:rPr>
      </w:pPr>
      <w:r>
        <w:rPr>
          <w:rFonts w:hint="eastAsia" w:ascii="仿宋_GB2312" w:eastAsia="仿宋_GB2312" w:cs="Times New Roman"/>
          <w:color w:val="auto"/>
          <w:spacing w:val="0"/>
          <w:kern w:val="2"/>
          <w:sz w:val="32"/>
          <w:szCs w:val="32"/>
          <w:highlight w:val="none"/>
          <w:lang w:val="zh-CN" w:eastAsia="zh-CN" w:bidi="ar-SA"/>
        </w:rPr>
        <w:t>　　</w:t>
      </w:r>
      <w:r>
        <w:rPr>
          <w:rFonts w:hint="default" w:ascii="仿宋_GB2312" w:hAnsi="Times New Roman" w:eastAsia="仿宋_GB2312" w:cs="Times New Roman"/>
          <w:color w:val="auto"/>
          <w:spacing w:val="0"/>
          <w:kern w:val="2"/>
          <w:sz w:val="32"/>
          <w:szCs w:val="32"/>
          <w:highlight w:val="none"/>
          <w:lang w:val="zh-CN" w:eastAsia="zh-CN" w:bidi="ar-SA"/>
        </w:rPr>
        <w:t>3.住房保障支出（类）</w:t>
      </w:r>
      <w:r>
        <w:rPr>
          <w:rFonts w:hint="eastAsia" w:ascii="仿宋_GB2312" w:hAnsi="Times New Roman" w:eastAsia="仿宋_GB2312" w:cs="Times New Roman"/>
          <w:color w:val="auto"/>
          <w:spacing w:val="0"/>
          <w:kern w:val="2"/>
          <w:sz w:val="32"/>
          <w:szCs w:val="32"/>
          <w:highlight w:val="none"/>
          <w:lang w:val="zh-CN" w:eastAsia="zh-CN" w:bidi="ar-SA"/>
        </w:rPr>
        <w:t>14.64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6.08%。</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1.卫生健康支出（类）行政事业单位医疗（款）事业单位医疗（项）:支出决算数为7.91万元，比上年决算增加1.48万元，增长23.02%，主要原因是：2023</w:t>
      </w:r>
      <w:r>
        <w:rPr>
          <w:rFonts w:hint="eastAsia" w:ascii="仿宋_GB2312" w:eastAsia="仿宋_GB2312"/>
          <w:sz w:val="32"/>
          <w:szCs w:val="32"/>
          <w:highlight w:val="none"/>
          <w:lang w:val="en-US" w:eastAsia="zh-CN"/>
        </w:rPr>
        <w:t>年在职人员工资普调，职工基本医疗保险缴费基数提高，</w:t>
      </w:r>
      <w:r>
        <w:rPr>
          <w:rFonts w:hint="eastAsia" w:ascii="仿宋_GB2312" w:hAnsi="仿宋_GB2312" w:eastAsia="仿宋_GB2312" w:cs="仿宋_GB2312"/>
          <w:color w:val="auto"/>
          <w:kern w:val="2"/>
          <w:sz w:val="32"/>
          <w:szCs w:val="32"/>
          <w:highlight w:val="none"/>
          <w:lang w:val="en-US" w:eastAsia="zh-CN" w:bidi="ar-SA"/>
        </w:rPr>
        <w:t>事业单位医疗支出增加。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2.卫生健康支出（类）基层医疗卫生机构（款）其他基层医疗卫生机构支出（项）:支出决算数为10.13万元，比上年决算增加0.12万元，增长1.20%，主要原因是：2023年新增2017年新建村卫生室建设项目资金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3.卫生健康支出（类）基层医疗卫生机构（款）乡镇卫生院（项）:支出决算数为160.41万元，比上年决算增加31.32万元，增长24.26%，主要原因是：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sz w:val="32"/>
          <w:szCs w:val="32"/>
          <w:highlight w:val="none"/>
          <w:lang w:val="en-US" w:eastAsia="zh-CN"/>
        </w:rPr>
        <w:t>2023年发放2018年及2020年绩效工资。</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4.住房保障支出（类）住房改革支出（款）住房公积金（项）:支出决算数为14.64万元，比上年决算增加2.93万元，增长25.02%，主要原因是：2023</w:t>
      </w:r>
      <w:r>
        <w:rPr>
          <w:rFonts w:hint="eastAsia" w:ascii="仿宋_GB2312" w:eastAsia="仿宋_GB2312"/>
          <w:sz w:val="32"/>
          <w:szCs w:val="32"/>
          <w:highlight w:val="none"/>
          <w:lang w:val="en-US" w:eastAsia="zh-CN"/>
        </w:rPr>
        <w:t>年在职人员工资普调，职工住房公积金缴费基数提高，单位住房公积金缴费支出增加。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卫生健康支出（类）公共卫生（款）基本公共卫生服务（项）:支出决算数为29.04万元，比上年决算增加0.56万元，增长1.97%，主要原因是：2023年基本公共卫生服务项目人均补助标准提高，乡村医生基本公共卫生服务补助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6.社会保障和就业支出（类）行政事业单位养老支出（款）机关事业单位基本养老保险缴费支出（项）:支出决算数为18.68万元，比上年决算增加5.68万元，增长43.69%，主要原因是：2023年</w:t>
      </w:r>
      <w:r>
        <w:rPr>
          <w:rFonts w:hint="eastAsia" w:ascii="仿宋_GB2312" w:eastAsia="仿宋_GB2312"/>
          <w:sz w:val="32"/>
          <w:szCs w:val="32"/>
          <w:highlight w:val="none"/>
          <w:lang w:val="en-US" w:eastAsia="zh-CN"/>
        </w:rPr>
        <w:t>在职人员工资普调，职工基本养老保险缴费基数提高，单位基本养老保险缴费支出增加。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7.卫生健康支出（类）公立医院（款）其他公立医院支出（项）:支出决算数为0.00万元，比上年决算减少6.35万元，下降100%，主要原因是：2023年未安排医疗设备购置项目资金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8.卫生健康支出（类）公共卫生（款）其他公共卫生支出（项）:支出决算数为0.00万元，比上年决算减少10.99万元，下降100%，主要原因是：2023年未安排健康体检用医用耗材试剂等项目资金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201.64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201.16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0.48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w:t>
      </w:r>
      <w:r>
        <w:rPr>
          <w:rFonts w:hint="eastAsia" w:ascii="仿宋_GB2312" w:eastAsia="仿宋_GB2312"/>
          <w:color w:val="auto"/>
          <w:sz w:val="32"/>
          <w:szCs w:val="32"/>
          <w:highlight w:val="none"/>
          <w:lang w:val="zh-CN" w:eastAsia="zh-CN"/>
        </w:rPr>
        <w:t>“三公”</w:t>
      </w:r>
      <w:r>
        <w:rPr>
          <w:rFonts w:hint="eastAsia" w:ascii="仿宋_GB2312" w:eastAsia="仿宋_GB2312"/>
          <w:sz w:val="32"/>
          <w:szCs w:val="32"/>
          <w:highlight w:val="none"/>
        </w:rPr>
        <w:t>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我单位无公务用车购置及运行维护费支出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我单位无公务接待费支出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我单位无公务用车运行维护费开支</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w:t>
      </w:r>
      <w:r>
        <w:rPr>
          <w:rFonts w:hint="eastAsia" w:ascii="仿宋_GB2312" w:eastAsia="仿宋_GB2312"/>
          <w:color w:val="auto"/>
          <w:sz w:val="32"/>
          <w:szCs w:val="32"/>
          <w:highlight w:val="none"/>
          <w:lang w:val="en-US" w:eastAsia="zh-CN"/>
        </w:rPr>
        <w:t>固定资产车辆</w:t>
      </w:r>
      <w:r>
        <w:rPr>
          <w:rFonts w:hint="eastAsia" w:ascii="仿宋_GB2312" w:eastAsia="仿宋_GB2312"/>
          <w:color w:val="auto"/>
          <w:sz w:val="32"/>
          <w:szCs w:val="32"/>
          <w:highlight w:val="none"/>
          <w:lang w:val="zh-CN" w:eastAsia="zh-CN"/>
        </w:rPr>
        <w:t>1辆为救护车，属于特种专业技术用车。</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highlight w:val="none"/>
        </w:rPr>
        <w:t>我单位无公务接待费</w:t>
      </w:r>
      <w:r>
        <w:rPr>
          <w:rFonts w:hint="eastAsia" w:ascii="仿宋_GB2312" w:eastAsia="仿宋_GB2312"/>
          <w:sz w:val="32"/>
          <w:szCs w:val="32"/>
          <w:highlight w:val="none"/>
          <w:lang w:eastAsia="zh-CN"/>
        </w:rPr>
        <w:t>开支</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我单位未安排财政拨款“三公”经费支出，预决算无差异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lang w:eastAsia="zh-CN"/>
        </w:rPr>
        <w:t>我单位未安排因公出国（境）费，预决算无差异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我单位未安排公务用车购置费，预决算无差异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宋体" w:eastAsia="仿宋_GB2312" w:cs="宋体"/>
          <w:kern w:val="0"/>
          <w:sz w:val="32"/>
          <w:szCs w:val="32"/>
          <w:highlight w:val="none"/>
        </w:rPr>
        <w:t>我单位未安排公务用车运行费，预决算无差异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我单位未安排公务接待费，预决算无差异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沙湾市博尔通古乡哈拉干德卫生院（事业单位）公用经费支出0.48万元，</w:t>
      </w:r>
      <w:r>
        <w:rPr>
          <w:rFonts w:hint="eastAsia" w:ascii="仿宋_GB2312" w:hAnsi="仿宋_GB2312" w:eastAsia="仿宋_GB2312" w:cs="仿宋_GB2312"/>
          <w:color w:val="auto"/>
          <w:sz w:val="32"/>
          <w:szCs w:val="32"/>
          <w:highlight w:val="none"/>
          <w:lang w:val="zh-CN" w:eastAsia="zh-CN"/>
        </w:rPr>
        <w:t>比上年增加0.48万元，增长100.00%，主要原因是：</w:t>
      </w:r>
      <w:r>
        <w:rPr>
          <w:rFonts w:hint="eastAsia" w:ascii="仿宋_GB2312" w:hAnsi="仿宋_GB2312" w:eastAsia="仿宋_GB2312" w:cs="仿宋_GB2312"/>
          <w:sz w:val="32"/>
          <w:szCs w:val="32"/>
          <w:highlight w:val="none"/>
          <w:lang w:val="en-US" w:eastAsia="zh-CN"/>
        </w:rPr>
        <w:t>本单位</w:t>
      </w:r>
      <w:r>
        <w:rPr>
          <w:rFonts w:hint="eastAsia" w:ascii="仿宋_GB2312" w:hAnsi="仿宋_GB2312" w:eastAsia="仿宋_GB2312" w:cs="仿宋_GB2312"/>
          <w:color w:val="auto"/>
          <w:sz w:val="32"/>
          <w:szCs w:val="32"/>
          <w:highlight w:val="none"/>
          <w:lang w:val="en-US" w:eastAsia="zh-CN"/>
        </w:rPr>
        <w:t>2023年拨付0.48万元为工会经费，2022年未拨付此项费用</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3.93万元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其中：政府采购货物支出1.40万元、政府采购工程支出0.00万元、政府采购服务支出2.53万元。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授予中小企业合同金额3.93万元，占政府采购支出总额的100.00%，其中：授予小微企业合同金额2.26万元，占政府采购支出总额的57.51%</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270.61</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屋999.74平方米，价值161.16万元。车辆1辆，价值15.51万元，其中：副部（省）级及以上领导用车0辆、主要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用车0辆、机要通信用车0辆、应急保障用车0辆、执法执勤用车0辆、特种专业技术用车1辆、离退休干部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eastAsia="仿宋_GB2312"/>
          <w:sz w:val="32"/>
          <w:szCs w:val="32"/>
          <w:highlight w:val="none"/>
          <w:lang w:eastAsia="zh-CN"/>
        </w:rPr>
        <w:t>无其他用车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台（套）</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预算总额249.38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实际执行总额240.81</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全年预算数39.17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全年执行数39.17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预算绩效管理取得的成效：一是对照部门整体支出与项目资金绩效目标，对预算执行过程中的资金使用和管理等情况进行分析，及时掌握绩效目标的完成情况、实施进程；二是根据年中整体绩效完成情况，对照年初设定目标，查找单位整体绩效执行过程中存在的问题，并分析存在问题的原因，及时采取了有效的纠偏措施。</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发现的问题及原因：一是在部门整体绩效评价工作中，由于单位绩效管理意识还没有完全树立起来，在绩效目标设定时未进行充分的调研和论证，有的项目绩效目标的设定和产出的数量指标、质量指标缺乏对应性，关联性和可操作性不强；二是目标设定不够合理，部分项目效益指标缺乏相对应的数量、质量资料，以致无法衡量项目效果，影响绩效评价。</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下一步改进措施：一是提高对预算绩效管理的认识，充分理解财政绩效评价指标体系，加强预算的约束力；二是强化全过程预算绩效管理理念，突出绩效指标的重要性和综合性。</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具体项目自评情况附项目支出绩效自评表。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bookmarkStart w:id="48" w:name="_GoBack"/>
      <w:bookmarkEnd w:id="48"/>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abstractNum w:abstractNumId="1">
    <w:nsid w:val="2ABACEC1"/>
    <w:multiLevelType w:val="singleLevel"/>
    <w:tmpl w:val="2ABACEC1"/>
    <w:lvl w:ilvl="0" w:tentative="0">
      <w:start w:val="1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4YjkzNDc4ODgxYjUxYTExNjJhOTEwZTJkYThhMDU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0FCD784F"/>
    <w:rsid w:val="105B0B5E"/>
    <w:rsid w:val="112E58D0"/>
    <w:rsid w:val="11731CAC"/>
    <w:rsid w:val="119500A0"/>
    <w:rsid w:val="11C0733B"/>
    <w:rsid w:val="11D50D17"/>
    <w:rsid w:val="120E0809"/>
    <w:rsid w:val="125B660E"/>
    <w:rsid w:val="127F665A"/>
    <w:rsid w:val="12F7068C"/>
    <w:rsid w:val="14207DC0"/>
    <w:rsid w:val="14B932DA"/>
    <w:rsid w:val="150A66AF"/>
    <w:rsid w:val="154C1139"/>
    <w:rsid w:val="158C5B77"/>
    <w:rsid w:val="15E82DA4"/>
    <w:rsid w:val="160D1149"/>
    <w:rsid w:val="163563C0"/>
    <w:rsid w:val="164315EF"/>
    <w:rsid w:val="16557DFE"/>
    <w:rsid w:val="167268FB"/>
    <w:rsid w:val="167269F6"/>
    <w:rsid w:val="16770D0A"/>
    <w:rsid w:val="169A0039"/>
    <w:rsid w:val="16D50C50"/>
    <w:rsid w:val="16E120E1"/>
    <w:rsid w:val="17385A05"/>
    <w:rsid w:val="173B3901"/>
    <w:rsid w:val="176747F9"/>
    <w:rsid w:val="17954A6E"/>
    <w:rsid w:val="17BE2C86"/>
    <w:rsid w:val="180059E9"/>
    <w:rsid w:val="184510FD"/>
    <w:rsid w:val="190648B0"/>
    <w:rsid w:val="19071D6C"/>
    <w:rsid w:val="19D26CD4"/>
    <w:rsid w:val="19D770A5"/>
    <w:rsid w:val="19E60D19"/>
    <w:rsid w:val="1A3E3450"/>
    <w:rsid w:val="1AD807E5"/>
    <w:rsid w:val="1B39345B"/>
    <w:rsid w:val="1BFB2A1F"/>
    <w:rsid w:val="1C015D4A"/>
    <w:rsid w:val="1C290ED5"/>
    <w:rsid w:val="1C317E4F"/>
    <w:rsid w:val="1C472464"/>
    <w:rsid w:val="1CE05C85"/>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0F5864"/>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B6033B"/>
    <w:rsid w:val="34C13589"/>
    <w:rsid w:val="353369E3"/>
    <w:rsid w:val="35B21E0B"/>
    <w:rsid w:val="35E00D72"/>
    <w:rsid w:val="364A03BC"/>
    <w:rsid w:val="36513E81"/>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735092"/>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4FF268C9"/>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A34541"/>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6253</Words>
  <Characters>6991</Characters>
  <Lines>0</Lines>
  <Paragraphs>0</Paragraphs>
  <TotalTime>130</TotalTime>
  <ScaleCrop>false</ScaleCrop>
  <LinksUpToDate>false</LinksUpToDate>
  <CharactersWithSpaces>7004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2024-12-02T09:26:27Z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BC241148875940EA9B1951C34A01E30A_13</vt:lpwstr>
  </property>
</Properties>
</file>