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沙湾市博尔通古乡卫生院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（一）主要负责辖区内广大农牧民的基本医疗、预防保健。</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（二）公共卫生事件的处理；承担乡村现场应急救护、转诊服务和康复服务。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三）做好基本公共卫生服务等项目：1、提供公共卫生承担农村居民健康档案规范建档指导、管理及服务普及卫生保健常识，在重点人群和重点场所开展健康教育，帮助居民形成有利于维护和增进健康的行为方式。2、提供并组织实施辖区预防接种服务，落实国家免疫规划。3、开展新生儿访视及儿童保健系统管理，进行体格检查和生长发育监测及评价，开展健康指导。开展孕产妇保健系统管理和产后访视，进行一般体格检查及孕期营养、心理等健康指导。4、对辖区65岁及以上老年人进行登记管理，进行健康危险因素调查和一般体格检查，开展健康指导。5、对确诊高血压、糖尿病等慢性病病例进行指导、登记管理、定期随访和健康指导。6、对辖区重性精神疾病患者进行登记管理、康复指导。7、做好体检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(四）执行国家基本药物制度药品</w:t>
      </w:r>
      <w:r>
        <w:rPr>
          <w:rFonts w:hint="eastAsia" w:ascii="仿宋_GB2312" w:eastAsia="仿宋_GB2312"/>
          <w:color w:val="auto"/>
          <w:sz w:val="32"/>
          <w:szCs w:val="32"/>
          <w:highlight w:val="none"/>
          <w:lang w:eastAsia="zh-CN"/>
        </w:rPr>
        <w:t>集中采购</w:t>
      </w:r>
      <w:r>
        <w:rPr>
          <w:rFonts w:hint="eastAsia" w:ascii="仿宋_GB2312" w:eastAsia="仿宋_GB2312"/>
          <w:color w:val="auto"/>
          <w:sz w:val="32"/>
          <w:szCs w:val="32"/>
          <w:highlight w:val="none"/>
        </w:rPr>
        <w:t>、零差率销售等政策，为实施一体化管理的村卫生室统一代购药品。</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（五）做好卫生监督协管各项工作，对村卫生室工作进行指导，培训，考核。严格执行</w:t>
      </w:r>
      <w:r>
        <w:rPr>
          <w:rFonts w:hint="eastAsia" w:ascii="仿宋_GB2312" w:eastAsia="仿宋_GB2312"/>
          <w:color w:val="auto"/>
          <w:sz w:val="32"/>
          <w:szCs w:val="32"/>
          <w:highlight w:val="none"/>
          <w:lang w:eastAsia="zh-CN"/>
        </w:rPr>
        <w:t>城乡居民基本医疗保险</w:t>
      </w:r>
      <w:r>
        <w:rPr>
          <w:rFonts w:hint="eastAsia" w:ascii="仿宋_GB2312" w:eastAsia="仿宋_GB2312"/>
          <w:color w:val="auto"/>
          <w:sz w:val="32"/>
          <w:szCs w:val="32"/>
          <w:highlight w:val="none"/>
        </w:rPr>
        <w:t>政策。</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（六）深入推进乡村卫生服务一体化管理，对村卫生室实行以行政、人员、业务、药品、财产为基本内容的“五统一”规范管理；负责村卫生室的技术指导和乡村医生培训等工作。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沙湾市博尔通古乡卫生院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单位无下属预算单位，</w:t>
      </w:r>
      <w:r>
        <w:rPr>
          <w:rFonts w:hint="eastAsia" w:ascii="仿宋_GB2312" w:eastAsia="仿宋_GB2312"/>
          <w:color w:val="auto"/>
          <w:sz w:val="32"/>
          <w:szCs w:val="32"/>
          <w:highlight w:val="none"/>
          <w:lang w:eastAsia="zh-CN"/>
        </w:rPr>
        <w:t>下设9个处室，分别是：药房、医生办公室、公共卫生办公室、化验室、防疫办公室、妇幼办公室、B超办公室、护士办公室、财务室。</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499.43万元，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499.43万元，使用非财政拨款结余0.00万元，年初结转和结余0.00万元。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499.43万元，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467.03万元，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0.00万元，年末结转和结余32.40万元。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增加102.77万元</w:t>
      </w:r>
      <w:r>
        <w:rPr>
          <w:rFonts w:hint="eastAsia" w:ascii="仿宋_GB2312" w:eastAsia="仿宋_GB2312"/>
          <w:color w:val="auto"/>
          <w:spacing w:val="0"/>
          <w:sz w:val="32"/>
          <w:szCs w:val="32"/>
          <w:highlight w:val="none"/>
          <w:lang w:eastAsia="zh-CN"/>
        </w:rPr>
        <w:t>，增长25.91%，主要原因是：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2023年发放2018年及2020年绩效工资；三是新增基本公共卫生服务-65岁以上老年人服务项目资金；四</w:t>
      </w:r>
      <w:r>
        <w:rPr>
          <w:rFonts w:hint="eastAsia" w:ascii="仿宋_GB2312" w:eastAsia="仿宋_GB2312"/>
          <w:color w:val="auto"/>
          <w:spacing w:val="0"/>
          <w:sz w:val="32"/>
          <w:szCs w:val="32"/>
          <w:highlight w:val="none"/>
          <w:lang w:val="en-US" w:eastAsia="zh-CN"/>
        </w:rPr>
        <w:t>是2023年单位医疗收入-住院收入增加。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499.43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401.46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80.38%</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97.87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19.60%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本年支出467.03万元，其中：基本支出363.37万元，占77.80%；项目支出103.66万元，占22.20%；上缴上级支出0.00万元，占0.00%；经营支出0.00万元，占0.00%；对附属单位补助支出0.00万元，占0.00%。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2023年发放2018年及2020年绩效工资；三是新增基本公共卫生服务-65岁以上老年人服务项目资金。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287.94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万元，预决算差异率39.42%，主要原因是：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2023年发放2018年及2020年绩效工资；三是新增基本公共卫生服务-65岁以上老年人服务项目资金。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2023年度一般公共预算财政拨款支出401.46万元，占本年支出合计的</w:t>
      </w:r>
      <w:r>
        <w:rPr>
          <w:rFonts w:hint="eastAsia" w:ascii="仿宋_GB2312" w:eastAsia="仿宋_GB2312"/>
          <w:color w:val="auto"/>
          <w:spacing w:val="0"/>
          <w:sz w:val="32"/>
          <w:szCs w:val="32"/>
          <w:highlight w:val="none"/>
          <w:lang w:val="zh-CN" w:eastAsia="zh-CN"/>
        </w:rPr>
        <w:t>85.96%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2023年发放2018年及2020年绩效工资；三是新增基本公共卫生服务-65岁以上老年人服务项目资金。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287.94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401.46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39.42%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color w:val="auto"/>
          <w:sz w:val="32"/>
          <w:szCs w:val="32"/>
          <w:highlight w:val="none"/>
          <w:lang w:val="en-US" w:eastAsia="zh-CN"/>
        </w:rPr>
        <w:t>2023年发放2018年及2020年绩效工资；三是新增基本公共卫生服务-65岁以上老年人服务项目资金。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31.51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348.99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3.住房保障支出（类）</w:t>
      </w:r>
      <w:r>
        <w:rPr>
          <w:rFonts w:hint="eastAsia" w:ascii="仿宋_GB2312" w:hAnsi="Times New Roman" w:eastAsia="仿宋_GB2312" w:cs="Times New Roman"/>
          <w:color w:val="auto"/>
          <w:spacing w:val="0"/>
          <w:kern w:val="2"/>
          <w:sz w:val="32"/>
          <w:szCs w:val="32"/>
          <w:highlight w:val="none"/>
          <w:lang w:val="zh-CN" w:eastAsia="zh-CN" w:bidi="ar-SA"/>
        </w:rPr>
        <w:t>20.95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1.卫生健康支出（类）行政事业单位医疗（款）事业单位医疗（项）:支出决算数为11.06万元，比上年决算减少4.16万元，下降27.33%，主要原因是：本年度退休人员不缴基本医疗保险，一人停发部分</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工资。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2.卫生健康支出（类）基层医疗卫生机构（款）其他基层医疗卫生机构支出（项）:支出决算数为34.61万元，比上年决算增加13.92万元，增长67.28%，主要原因是：2023年支付</w:t>
      </w:r>
      <w:r>
        <w:rPr>
          <w:rFonts w:hint="eastAsia" w:ascii="仿宋_GB2312" w:hAnsi="仿宋_GB2312" w:eastAsia="仿宋_GB2312" w:cs="仿宋_GB2312"/>
          <w:color w:val="auto"/>
          <w:kern w:val="2"/>
          <w:sz w:val="32"/>
          <w:szCs w:val="32"/>
          <w:highlight w:val="none"/>
          <w:lang w:val="zh-CN" w:eastAsia="zh-CN" w:bidi="ar-SA"/>
        </w:rPr>
        <w:t>2015-2017年卫生院门诊综合楼、村卫生室建设工程款</w:t>
      </w:r>
      <w:r>
        <w:rPr>
          <w:rFonts w:hint="eastAsia" w:ascii="仿宋_GB2312" w:hAnsi="仿宋_GB2312" w:eastAsia="仿宋_GB2312" w:cs="仿宋_GB2312"/>
          <w:color w:val="auto"/>
          <w:kern w:val="2"/>
          <w:sz w:val="32"/>
          <w:szCs w:val="32"/>
          <w:highlight w:val="none"/>
          <w:lang w:val="en-US" w:eastAsia="zh-CN" w:bidi="ar-SA"/>
        </w:rPr>
        <w:t>比上年增加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3.卫生健康支出（类）公共卫生（款）其他公共卫生支出（项）:支出决算数为22.87万元，比上年决算减少0.05万元，下降0.22%，主要原因是：</w:t>
      </w:r>
      <w:r>
        <w:rPr>
          <w:rFonts w:hint="eastAsia" w:ascii="仿宋_GB2312" w:eastAsia="仿宋_GB2312"/>
          <w:color w:val="auto"/>
          <w:sz w:val="32"/>
          <w:szCs w:val="32"/>
          <w:highlight w:val="none"/>
          <w:lang w:val="en-US" w:eastAsia="zh-CN"/>
        </w:rPr>
        <w:t>2023年门诊楼房屋维修项目未完成验收，项目资金未支付结转下年。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基层医疗卫生机构（款）乡镇卫生院（项）:支出决算数为234.28万元，比上年决算减少3.37万元，下降1.42%，主要原因是：人员经费减少。主要原因是：2023年在职1人经沙湾市人力资源和社会保障局审批后只发放基本工资的75%，人员经费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20.95万元，比上年决算减少0.19万元，下降0.90%，主要原因是：主要原因是：2023年在职1人经沙湾市人力资源和社会保障局审批后停缴本年度住房公积金，住房公积金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6.社会保障和就业支出（类）行政事业单位养老支出（款）事业单位离退休（项）:支出决算数为5.28万元，比上年决算增加1.89万元，增长55.75%，主要原因是：2023年退休人员基础绩效增资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46.17万元，比上年决算增加3.94万元，增长9.33%，主要原因是：2023年基本公共卫生服务项目人均补助标准提高，乡村医生基本公共卫生服务补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8.社会保障和就业支出（类）行政事业单位养老支出（款）机关事业单位基本养老保险缴费支出（项）:支出决算数为26.24万元，比上年决算增加3.95万元，增长17.72%，主要原因是：2023年在职人员工资普调</w:t>
      </w:r>
      <w:r>
        <w:rPr>
          <w:rFonts w:hint="eastAsia" w:ascii="仿宋_GB2312" w:eastAsia="仿宋_GB2312"/>
          <w:color w:val="auto"/>
          <w:sz w:val="32"/>
          <w:szCs w:val="32"/>
          <w:highlight w:val="none"/>
          <w:lang w:val="en-US" w:eastAsia="zh-CN"/>
        </w:rPr>
        <w:t>，职工基本养老保险缴费基数提高，单位基本养老保险缴费支出增加。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0.00万元，比上年决算减少5.00万元，下降100%，主要原因是：2023年无在职转退休人员，未发生职业年金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10.卫生健康支出（类）公立医院（款）其他公立医院支出（项）:支出决算数为0.00万元，比上年决算减少6.12万元，下降100%，主要原因是：2023年未安排医疗设备购置项目资金。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297.80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297.07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0.73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1辆为救护车，属于特种专业技术用车。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color w:val="auto"/>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沙湾市博尔通古乡卫生院（事业单位）公用经费支出0.73万元，</w:t>
      </w:r>
      <w:r>
        <w:rPr>
          <w:rFonts w:hint="eastAsia" w:ascii="仿宋_GB2312" w:hAnsi="仿宋_GB2312" w:eastAsia="仿宋_GB2312" w:cs="仿宋_GB2312"/>
          <w:color w:val="auto"/>
          <w:sz w:val="32"/>
          <w:szCs w:val="32"/>
          <w:highlight w:val="none"/>
          <w:lang w:val="zh-CN" w:eastAsia="zh-CN"/>
        </w:rPr>
        <w:t>比上年增加0.73万元，增长100.00%，主要原因是：</w:t>
      </w:r>
      <w:r>
        <w:rPr>
          <w:rFonts w:hint="eastAsia" w:ascii="仿宋_GB2312" w:hAnsi="仿宋_GB2312" w:eastAsia="仿宋_GB2312" w:cs="仿宋_GB2312"/>
          <w:color w:val="auto"/>
          <w:sz w:val="32"/>
          <w:szCs w:val="32"/>
          <w:highlight w:val="none"/>
          <w:lang w:val="en-US" w:eastAsia="zh-CN"/>
        </w:rPr>
        <w:t>本单位2023年拨付0.73万元为工会经费，2022年未拨付此项费用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33.04万元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其中：政府采购货物支出4.87万元、政府采购工程支出18.10万元、政府采购服务支出10.08万元。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授予中小企业合同金额33.04万元，占政府采购支出总额的100.00%，其中：授予小微企业合同金额30.29万元，占政府采购支出总额的91.68%</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713.48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屋2,514.07平方米，价值531.69万元。车辆1辆，价值15.51万元，其中：副部（省）级及以上领导用车0辆、主要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color w:val="auto"/>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预算总额423.94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实际执行总额401.46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全年预算数103.66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全年执行数103.66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下一步改进措施：一是提高对预算绩效管理的认识，充分理解财政绩效评价指标体系，加强预算的约束力；二是强化全过程预算绩效管理理念，突出绩效指标的重要性和综合性。</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000000"/>
    <w:rsid w:val="00213C59"/>
    <w:rsid w:val="003210CE"/>
    <w:rsid w:val="00B70D59"/>
    <w:rsid w:val="00F52A8D"/>
    <w:rsid w:val="019404F8"/>
    <w:rsid w:val="01992128"/>
    <w:rsid w:val="01C30B6B"/>
    <w:rsid w:val="01ED22F2"/>
    <w:rsid w:val="02BD3108"/>
    <w:rsid w:val="02F73D26"/>
    <w:rsid w:val="034D4FEF"/>
    <w:rsid w:val="035D1785"/>
    <w:rsid w:val="039F47CE"/>
    <w:rsid w:val="03BD5310"/>
    <w:rsid w:val="03D04485"/>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A2361"/>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105FE"/>
    <w:rsid w:val="190648B0"/>
    <w:rsid w:val="19071D6C"/>
    <w:rsid w:val="19D26CD4"/>
    <w:rsid w:val="19E60D19"/>
    <w:rsid w:val="1A3E3450"/>
    <w:rsid w:val="1ACC646B"/>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240B4C"/>
    <w:rsid w:val="3389023A"/>
    <w:rsid w:val="33CB74FA"/>
    <w:rsid w:val="343642F2"/>
    <w:rsid w:val="343F3010"/>
    <w:rsid w:val="345D0A00"/>
    <w:rsid w:val="34713BFD"/>
    <w:rsid w:val="34C13589"/>
    <w:rsid w:val="34D621FB"/>
    <w:rsid w:val="353369E3"/>
    <w:rsid w:val="35B21E0B"/>
    <w:rsid w:val="35E00D72"/>
    <w:rsid w:val="35FF1509"/>
    <w:rsid w:val="36965B9D"/>
    <w:rsid w:val="36C549FD"/>
    <w:rsid w:val="37A755DD"/>
    <w:rsid w:val="37F33BFE"/>
    <w:rsid w:val="37F94FA0"/>
    <w:rsid w:val="380D3381"/>
    <w:rsid w:val="38115B1F"/>
    <w:rsid w:val="385E3AC3"/>
    <w:rsid w:val="387D6B9E"/>
    <w:rsid w:val="38B75FF0"/>
    <w:rsid w:val="38D45016"/>
    <w:rsid w:val="38D90432"/>
    <w:rsid w:val="3914510A"/>
    <w:rsid w:val="3926770B"/>
    <w:rsid w:val="3966000C"/>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864515"/>
    <w:rsid w:val="46061BDC"/>
    <w:rsid w:val="461404F8"/>
    <w:rsid w:val="46413018"/>
    <w:rsid w:val="464B7E04"/>
    <w:rsid w:val="46604556"/>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9E3A8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A71A77"/>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DA1E82"/>
    <w:rsid w:val="69F47AD7"/>
    <w:rsid w:val="6A2C39D4"/>
    <w:rsid w:val="6AC279D8"/>
    <w:rsid w:val="6B68175F"/>
    <w:rsid w:val="6BFD799F"/>
    <w:rsid w:val="6C4A2E5A"/>
    <w:rsid w:val="6C8138D0"/>
    <w:rsid w:val="6CEF0725"/>
    <w:rsid w:val="6D3D33E9"/>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37C52"/>
    <w:rsid w:val="71DA6992"/>
    <w:rsid w:val="727B234E"/>
    <w:rsid w:val="728A58B0"/>
    <w:rsid w:val="72D068C7"/>
    <w:rsid w:val="72E42ED8"/>
    <w:rsid w:val="72FC34C3"/>
    <w:rsid w:val="735F4CB9"/>
    <w:rsid w:val="73674C62"/>
    <w:rsid w:val="73845865"/>
    <w:rsid w:val="739B6D9E"/>
    <w:rsid w:val="73BC1D76"/>
    <w:rsid w:val="73FB6630"/>
    <w:rsid w:val="747C45EE"/>
    <w:rsid w:val="748D790E"/>
    <w:rsid w:val="749820CC"/>
    <w:rsid w:val="74AF6946"/>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36CF8"/>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6195</Words>
  <Characters>6960</Characters>
  <Lines>0</Lines>
  <Paragraphs>0</Paragraphs>
  <TotalTime>4</TotalTime>
  <ScaleCrop>false</ScaleCrop>
  <LinksUpToDate>false</LinksUpToDate>
  <CharactersWithSpaces>6981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2025-04-10T08:59:58Z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8E2E26C1C63645ABAD6ECA2614F9D177_13</vt:lpwstr>
  </property>
</Properties>
</file>