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沙湾市医疗保障局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kinsoku/>
        <w:wordWrap/>
        <w:overflowPunct/>
        <w:topLinePunct w:val="0"/>
        <w:bidi w:val="0"/>
        <w:adjustRightInd/>
        <w:snapToGrid/>
        <w:spacing w:line="240" w:lineRule="auto"/>
        <w:ind w:firstLine="640" w:firstLineChars="200"/>
        <w:jc w:val="left"/>
        <w:textAlignment w:val="auto"/>
        <w:rPr>
          <w:rFonts w:ascii="仿宋_GB2312" w:hAnsi="宋体" w:eastAsia="仿宋_GB2312" w:cs="宋体"/>
          <w:bCs/>
          <w:kern w:val="0"/>
          <w:sz w:val="32"/>
          <w:szCs w:val="32"/>
        </w:rPr>
      </w:pPr>
      <w:bookmarkStart w:id="4" w:name="_Toc31238"/>
      <w:bookmarkStart w:id="5" w:name="_Toc2151"/>
      <w:r>
        <w:rPr>
          <w:rFonts w:hint="eastAsia" w:ascii="仿宋_GB2312" w:hAnsi="黑体" w:eastAsia="仿宋_GB2312" w:cs="宋体"/>
          <w:bCs/>
          <w:kern w:val="0"/>
          <w:sz w:val="32"/>
          <w:szCs w:val="32"/>
        </w:rPr>
        <w:t>1、贯彻实施国家、自治区、地区医疗保险、生育保险、医疗保障救助等医疗保障的法律法规、政策、规划和标准；落实医疗保险、人身意外伤害保险、大额医疗补助、公务员医疗补助、企事业单位补充医疗保险、享受国务院特殊津贴专家、离休人员和优抚对象医疗保障政策、管理办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2、组织制定并实施医疗保障基金监督管理办法，建立健全医疗保障基金安全防控机制，承担推进医疗保障基金支付方式改革工作，编制沙湾市医疗保障基金预决算草案。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贯彻落实地区医疗保障筹资和待遇政策，完善动态调整和区域调剂平衡机制，统筹城乡医疗保障待遇标准，建立健全与筹资水平相适应的待遇调整机制。拟订沙湾市贯彻长期护理保险制度改革的方案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组织拟订沙湾市药品、医用耗材价格和医疗服务项目、医疗服务设施收费等办法并监督实施，执行自治区制定的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5、组织制定沙湾市药品、医用耗材、医疗服务项目、医疗服务设施等医保目录和支付标准，建立动态调整机制。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6、制定定点医药机构协议和支付管理办法并组织实施，建立健全医疗保障信用评价体系和信息披露制度，监督管理纳入医保范围内的医疗服务行为和医疗费用，依法查处医疗保障、生育保险领域违法违规行为。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负责市医疗保障经办管理、公共服务体系和信息化建设。贯彻落实国家和自治区跨省异地就医管理和费用结算政策，贯彻落实地区疆内异地就医和费用结算政策。建立健全沙湾市医疗保障关系转移接续制度。指导市医疗保障经办机构开展业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8、完成市委、</w:t>
      </w:r>
      <w:r>
        <w:rPr>
          <w:rFonts w:hint="eastAsia" w:ascii="仿宋_GB2312" w:hAnsi="黑体" w:eastAsia="仿宋_GB2312" w:cs="宋体"/>
          <w:bCs/>
          <w:kern w:val="0"/>
          <w:sz w:val="32"/>
          <w:szCs w:val="32"/>
          <w:lang w:val="en-US" w:eastAsia="zh-CN"/>
        </w:rPr>
        <w:t>市</w:t>
      </w:r>
      <w:r>
        <w:rPr>
          <w:rFonts w:hint="eastAsia" w:ascii="仿宋_GB2312" w:hAnsi="黑体" w:eastAsia="仿宋_GB2312" w:cs="宋体"/>
          <w:bCs/>
          <w:kern w:val="0"/>
          <w:sz w:val="32"/>
          <w:szCs w:val="32"/>
        </w:rPr>
        <w:t>政府交办的其他任务。</w:t>
      </w:r>
      <w:r>
        <w:rPr>
          <w:rFonts w:hint="eastAsia" w:ascii="仿宋_GB2312" w:hAnsi="宋体" w:eastAsia="仿宋_GB2312" w:cs="宋体"/>
          <w:bCs/>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kinsoku/>
        <w:wordWrap/>
        <w:overflowPunct/>
        <w:topLinePunct w:val="0"/>
        <w:bidi w:val="0"/>
        <w:adjustRightInd/>
        <w:snapToGrid/>
        <w:spacing w:line="240" w:lineRule="auto"/>
        <w:ind w:firstLine="640" w:firstLineChars="20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lang w:val="en-US" w:eastAsia="zh-CN"/>
        </w:rPr>
        <w:t>沙湾市医疗保障局</w:t>
      </w:r>
      <w:r>
        <w:rPr>
          <w:rFonts w:hint="eastAsia" w:ascii="仿宋_GB2312" w:hAnsi="黑体" w:eastAsia="仿宋_GB2312" w:cs="宋体"/>
          <w:bCs/>
          <w:kern w:val="0"/>
          <w:sz w:val="32"/>
          <w:szCs w:val="32"/>
          <w:lang w:eastAsia="zh-CN"/>
        </w:rPr>
        <w:t>2023年度，</w:t>
      </w:r>
      <w:r>
        <w:rPr>
          <w:rFonts w:hint="eastAsia" w:ascii="仿宋_GB2312" w:hAnsi="黑体" w:eastAsia="仿宋_GB2312" w:cs="宋体"/>
          <w:bCs/>
          <w:kern w:val="0"/>
          <w:sz w:val="32"/>
          <w:szCs w:val="32"/>
        </w:rPr>
        <w:t>实有人数</w:t>
      </w:r>
      <w:r>
        <w:rPr>
          <w:rFonts w:hint="eastAsia" w:ascii="仿宋_GB2312" w:hAnsi="黑体" w:eastAsia="仿宋_GB2312" w:cs="宋体"/>
          <w:bCs/>
          <w:kern w:val="0"/>
          <w:sz w:val="32"/>
          <w:szCs w:val="32"/>
          <w:lang w:val="zh-CN" w:eastAsia="zh-CN"/>
        </w:rPr>
        <w:t>32</w:t>
      </w:r>
      <w:r>
        <w:rPr>
          <w:rFonts w:hint="eastAsia" w:ascii="仿宋_GB2312" w:hAnsi="黑体" w:eastAsia="仿宋_GB2312" w:cs="宋体"/>
          <w:bCs/>
          <w:kern w:val="0"/>
          <w:sz w:val="32"/>
          <w:szCs w:val="32"/>
        </w:rPr>
        <w:t>人，其中：在职人员</w:t>
      </w:r>
      <w:r>
        <w:rPr>
          <w:rFonts w:hint="eastAsia" w:ascii="仿宋_GB2312" w:hAnsi="黑体" w:eastAsia="仿宋_GB2312" w:cs="宋体"/>
          <w:bCs/>
          <w:kern w:val="0"/>
          <w:sz w:val="32"/>
          <w:szCs w:val="32"/>
          <w:lang w:val="zh-CN" w:eastAsia="zh-CN"/>
        </w:rPr>
        <w:t>30</w:t>
      </w:r>
      <w:r>
        <w:rPr>
          <w:rFonts w:hint="eastAsia" w:ascii="仿宋_GB2312" w:hAnsi="黑体" w:eastAsia="仿宋_GB2312" w:cs="宋体"/>
          <w:bCs/>
          <w:kern w:val="0"/>
          <w:sz w:val="32"/>
          <w:szCs w:val="32"/>
        </w:rPr>
        <w:t>人</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离休人员</w:t>
      </w:r>
      <w:r>
        <w:rPr>
          <w:rFonts w:hint="eastAsia" w:ascii="仿宋_GB2312" w:hAnsi="黑体" w:eastAsia="仿宋_GB2312" w:cs="宋体"/>
          <w:bCs/>
          <w:kern w:val="0"/>
          <w:sz w:val="32"/>
          <w:szCs w:val="32"/>
          <w:lang w:val="zh-CN" w:eastAsia="zh-CN"/>
        </w:rPr>
        <w:t>0</w:t>
      </w:r>
      <w:r>
        <w:rPr>
          <w:rFonts w:hint="eastAsia" w:ascii="仿宋_GB2312" w:hAnsi="黑体" w:eastAsia="仿宋_GB2312" w:cs="宋体"/>
          <w:bCs/>
          <w:kern w:val="0"/>
          <w:sz w:val="32"/>
          <w:szCs w:val="32"/>
        </w:rPr>
        <w:t>人，退休人员</w:t>
      </w:r>
      <w:r>
        <w:rPr>
          <w:rFonts w:hint="eastAsia" w:ascii="仿宋_GB2312" w:hAnsi="黑体" w:eastAsia="仿宋_GB2312" w:cs="宋体"/>
          <w:bCs/>
          <w:kern w:val="0"/>
          <w:sz w:val="32"/>
          <w:szCs w:val="32"/>
          <w:lang w:val="zh-CN" w:eastAsia="zh-CN"/>
        </w:rPr>
        <w:t>2</w:t>
      </w:r>
      <w:r>
        <w:rPr>
          <w:rFonts w:hint="eastAsia" w:ascii="仿宋_GB2312" w:hAnsi="黑体" w:eastAsia="仿宋_GB2312" w:cs="宋体"/>
          <w:bCs/>
          <w:kern w:val="0"/>
          <w:sz w:val="32"/>
          <w:szCs w:val="32"/>
        </w:rPr>
        <w:t>人。</w:t>
      </w:r>
    </w:p>
    <w:p>
      <w:pPr>
        <w:keepNext w:val="0"/>
        <w:keepLines w:val="0"/>
        <w:pageBreakBefore w:val="0"/>
        <w:widowControl/>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hAnsi="黑体" w:eastAsia="仿宋_GB2312" w:cs="宋体"/>
          <w:bCs/>
          <w:kern w:val="0"/>
          <w:sz w:val="32"/>
          <w:szCs w:val="32"/>
          <w:lang w:val="en-US" w:eastAsia="zh-CN"/>
        </w:rPr>
        <w:t>单位</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8</w:t>
      </w:r>
      <w:r>
        <w:rPr>
          <w:rFonts w:hint="eastAsia" w:ascii="仿宋_GB2312" w:hAnsi="黑体" w:eastAsia="仿宋_GB2312" w:cs="宋体"/>
          <w:bCs/>
          <w:kern w:val="0"/>
          <w:sz w:val="32"/>
          <w:szCs w:val="32"/>
        </w:rPr>
        <w:t>个处室，分别是：办公室、综合业务科、财务科、基金监管科、</w:t>
      </w:r>
      <w:bookmarkStart w:id="6" w:name="_Toc29374"/>
      <w:bookmarkStart w:id="7" w:name="_Toc3092"/>
      <w:r>
        <w:rPr>
          <w:rFonts w:hint="eastAsia" w:ascii="仿宋_GB2312" w:hAnsi="黑体" w:eastAsia="仿宋_GB2312" w:cs="宋体"/>
          <w:bCs/>
          <w:kern w:val="0"/>
          <w:sz w:val="32"/>
          <w:szCs w:val="32"/>
          <w:lang w:val="en-US" w:eastAsia="zh-CN"/>
        </w:rPr>
        <w:t>参保登记科、复核科、待遇结算科、综合科。</w:t>
      </w: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485.48万元，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485.48万元，使用非财政拨款结余0.00万元，年初结转和结余0.00万元。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485.48万元，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485.48万元，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55.13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12.81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新增2人，同时工资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等工资增长，基本支出增加；2、2023年新增“</w:t>
      </w:r>
      <w:r>
        <w:rPr>
          <w:rFonts w:hint="eastAsia" w:ascii="仿宋_GB2312" w:hAnsi="宋体" w:eastAsia="仿宋_GB2312" w:cs="宋体"/>
          <w:kern w:val="0"/>
          <w:sz w:val="32"/>
          <w:szCs w:val="32"/>
          <w:highlight w:val="none"/>
        </w:rPr>
        <w:t>塔地财社[2022]102号沙财社[2022]066号--提前下达2023年中央财政医疗服务与保障能力提升补助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资金10万元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3、</w:t>
      </w:r>
      <w:r>
        <w:rPr>
          <w:rFonts w:hint="eastAsia" w:ascii="仿宋_GB2312" w:hAnsi="仿宋_GB2312" w:eastAsia="仿宋_GB2312" w:cs="仿宋_GB2312"/>
          <w:color w:val="auto"/>
          <w:kern w:val="2"/>
          <w:sz w:val="32"/>
          <w:szCs w:val="32"/>
          <w:highlight w:val="none"/>
          <w:lang w:val="en-US" w:eastAsia="zh-CN" w:bidi="ar-SA"/>
        </w:rPr>
        <w:t>2023年为民办实事项目资金增加3.2万元。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485.48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485.48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本年支出485.48万元，其中：基本支出461.19万元，占95.00%；项目支出24.29万元，占5.00%；上缴上级支出0.00万元，占0.00%；经营支出0.00万元，占0.00%；对附属单位补助支出0.00万元，占0.00%。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485.48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485.48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485.48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485.48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55.13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增长12.81</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等工资增长，基本支出增加；2、2023年新增“</w:t>
      </w:r>
      <w:r>
        <w:rPr>
          <w:rFonts w:hint="eastAsia" w:ascii="仿宋_GB2312" w:hAnsi="宋体" w:eastAsia="仿宋_GB2312" w:cs="宋体"/>
          <w:kern w:val="0"/>
          <w:sz w:val="32"/>
          <w:szCs w:val="32"/>
          <w:highlight w:val="none"/>
        </w:rPr>
        <w:t>塔地财社[2022]102号沙财社[2022]066号--提前下达2023年中央财政医疗服务与保障能力提升补助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资金10万元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3、</w:t>
      </w:r>
      <w:r>
        <w:rPr>
          <w:rFonts w:hint="eastAsia" w:ascii="仿宋_GB2312" w:hAnsi="仿宋_GB2312" w:eastAsia="仿宋_GB2312" w:cs="仿宋_GB2312"/>
          <w:color w:val="auto"/>
          <w:kern w:val="2"/>
          <w:sz w:val="32"/>
          <w:szCs w:val="32"/>
          <w:highlight w:val="none"/>
          <w:lang w:val="en-US" w:eastAsia="zh-CN" w:bidi="ar-SA"/>
        </w:rPr>
        <w:t>2023年为民办实事项目资金支出增加3.2万元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413.53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485.48</w:t>
      </w:r>
      <w:r>
        <w:rPr>
          <w:rFonts w:hint="eastAsia" w:ascii="仿宋_GB2312" w:eastAsia="仿宋_GB2312"/>
          <w:color w:val="auto"/>
          <w:spacing w:val="0"/>
          <w:sz w:val="32"/>
          <w:szCs w:val="32"/>
          <w:highlight w:val="none"/>
          <w:lang w:eastAsia="zh-CN"/>
        </w:rPr>
        <w:t>万元，预决算差异率17.40%，主要原因是：</w:t>
      </w:r>
      <w:r>
        <w:rPr>
          <w:rFonts w:hint="eastAsia" w:ascii="仿宋_GB2312" w:eastAsia="仿宋_GB2312"/>
          <w:color w:val="auto"/>
          <w:spacing w:val="0"/>
          <w:sz w:val="32"/>
          <w:szCs w:val="32"/>
          <w:highlight w:val="none"/>
          <w:lang w:val="en-US" w:eastAsia="zh-CN"/>
        </w:rPr>
        <w:t>1、</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等工资增长，基本支出增加；2、“为民办实事”经费为年中追加项目，年初未做预算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2023年度一般公共预算财政拨款支出485.48万元，占本年支出合计的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55.13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增长12.81%,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等工资增长，基本支出增加；2、2023年新增“</w:t>
      </w:r>
      <w:r>
        <w:rPr>
          <w:rFonts w:hint="eastAsia" w:ascii="仿宋_GB2312" w:hAnsi="宋体" w:eastAsia="仿宋_GB2312" w:cs="宋体"/>
          <w:kern w:val="0"/>
          <w:sz w:val="32"/>
          <w:szCs w:val="32"/>
          <w:highlight w:val="none"/>
        </w:rPr>
        <w:t>塔地财社[2022]102号沙财社[2022]066号--提前下达2023年中央财政医疗服务与保障能力提升补助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资金10万元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3、</w:t>
      </w:r>
      <w:r>
        <w:rPr>
          <w:rFonts w:hint="eastAsia" w:ascii="仿宋_GB2312" w:hAnsi="仿宋_GB2312" w:eastAsia="仿宋_GB2312" w:cs="仿宋_GB2312"/>
          <w:color w:val="auto"/>
          <w:kern w:val="2"/>
          <w:sz w:val="32"/>
          <w:szCs w:val="32"/>
          <w:highlight w:val="none"/>
          <w:lang w:val="en-US" w:eastAsia="zh-CN" w:bidi="ar-SA"/>
        </w:rPr>
        <w:t>2023年为民办实事项目资金支出增加3.2万元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413.53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485.48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17.40%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等工资增长，基本支出增加；2、“为民办实事”经费为年中追加项目，年初未做预算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49.70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393.57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81.07%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32.04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10.1</w:t>
      </w: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w:t>
      </w:r>
      <w:r>
        <w:rPr>
          <w:rFonts w:hint="eastAsia" w:ascii="仿宋_GB2312" w:eastAsia="仿宋_GB2312" w:cs="Times New Roman"/>
          <w:color w:val="auto"/>
          <w:spacing w:val="0"/>
          <w:kern w:val="2"/>
          <w:sz w:val="32"/>
          <w:szCs w:val="32"/>
          <w:highlight w:val="none"/>
          <w:lang w:val="en-US" w:eastAsia="zh-CN" w:bidi="ar-SA"/>
        </w:rPr>
        <w:t>09</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1.其他支出（类）其他支出（款）其他支出（项）:支出决算数为10.18万元，比上年决算增加3.2万元，增长45.85%，主要原因是：</w:t>
      </w:r>
      <w:r>
        <w:rPr>
          <w:rFonts w:hint="eastAsia" w:ascii="仿宋_GB2312" w:hAnsi="宋体" w:eastAsia="仿宋_GB2312" w:cs="宋体"/>
          <w:kern w:val="0"/>
          <w:sz w:val="32"/>
          <w:szCs w:val="32"/>
          <w:highlight w:val="none"/>
          <w:lang w:val="en-US" w:eastAsia="zh-CN"/>
        </w:rPr>
        <w:t>2022年为民办</w:t>
      </w:r>
      <w:r>
        <w:rPr>
          <w:rFonts w:hint="eastAsia" w:ascii="仿宋_GB2312" w:hAnsi="仿宋_GB2312" w:eastAsia="仿宋_GB2312" w:cs="仿宋_GB2312"/>
          <w:color w:val="auto"/>
          <w:kern w:val="2"/>
          <w:sz w:val="32"/>
          <w:szCs w:val="32"/>
          <w:highlight w:val="none"/>
          <w:lang w:val="en-US" w:eastAsia="zh-CN" w:bidi="ar-SA"/>
        </w:rPr>
        <w:t>实事项目未实施完，2023年增加了为民办实事工作经费的支出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4.80万元，比上年决算减少1.57万元，降低24.65%，主要原因是：2023年退休人员基本医疗保险不再缴费，单位2个退休人员均为公务员，所以行政单位医疗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医疗保障管理事务（款）行政运行（项）:支出决算数为117.80万元，比上年决算减少214.02万元，降低64.5%，主要原因是：2022年单位本款支出全部在“行政运行”中，2023年单位本款支出将事业支出从“行政运行”分出来放在“事业运行”中</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4.社会保障和就业支出（类）行政事业单位养老支出（款）行政单位离退休（项）:支出决算数为1.15万元，比上年决算增加0.11万元，增长10.58%，主要原因是：退休人员工资提标</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5.社会保障和就业支出（类）行政事业单位养老支出（款）机关事业单位基本养老保险缴费支出（项）:支出决算数为40.41万元，比上年决算增加8.1万元，增长25.07%，主要原因是：</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在职新增2人，同时工资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等工资增长，养老</w:t>
      </w:r>
      <w:r>
        <w:rPr>
          <w:rFonts w:hint="eastAsia" w:ascii="仿宋_GB2312" w:hAnsi="仿宋_GB2312" w:eastAsia="仿宋_GB2312" w:cs="仿宋_GB2312"/>
          <w:color w:val="auto"/>
          <w:kern w:val="2"/>
          <w:sz w:val="32"/>
          <w:szCs w:val="32"/>
          <w:highlight w:val="none"/>
          <w:lang w:val="en-US" w:eastAsia="zh-CN" w:bidi="ar-SA"/>
        </w:rPr>
        <w:t>保险</w:t>
      </w:r>
      <w:r>
        <w:rPr>
          <w:rFonts w:hint="eastAsia" w:ascii="仿宋_GB2312" w:hAnsi="宋体" w:eastAsia="仿宋_GB2312" w:cs="宋体"/>
          <w:kern w:val="0"/>
          <w:sz w:val="32"/>
          <w:szCs w:val="32"/>
          <w:highlight w:val="none"/>
          <w:lang w:val="en-US" w:eastAsia="zh-CN"/>
        </w:rPr>
        <w:t>基数增加，</w:t>
      </w:r>
      <w:r>
        <w:rPr>
          <w:rFonts w:hint="eastAsia" w:ascii="仿宋_GB2312" w:hAnsi="仿宋_GB2312" w:eastAsia="仿宋_GB2312" w:cs="仿宋_GB2312"/>
          <w:color w:val="auto"/>
          <w:kern w:val="2"/>
          <w:sz w:val="32"/>
          <w:szCs w:val="32"/>
          <w:highlight w:val="none"/>
          <w:lang w:val="en-US" w:eastAsia="zh-CN" w:bidi="ar-SA"/>
        </w:rPr>
        <w:t>机关事业单位基本养老保险缴费支出增加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医疗保障管理事务（款）事业运行（项）:支出决算数为242.06万元，比上年决算增加242.06万元，增长100%，主要原因是：2022年单位本款支出全部在“行政运行”中，2023年单位本款支出将事业支出从“行政运行”分出来放在“事业运行”中</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卫生健康支出（类）行政事业单位医疗（款）公务员医疗补助（项）:支出决算数为2.40万元，比上年决算减少0.71万元，降低22.83%，主要原因是：2023年退休人员公务员医疗补助不再缴费，单位2个退休人员均为公务员，所以公务员医疗补助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8.住房保障支出（类）住房改革支出（款）住房公积金（项）:支出决算数为32.04万元，比上年决算增加2.96万元，增长10.18%，主要原因是：</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在职增加2人同时工资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等工资增长，住房公积金基数增加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9.卫生健康支出（类）医疗保障管理事务（款）医疗保障经办事务（项）:支出决算数为4.11万元，比上年决算增加0.11万元，增长2.75%，主要原因是：增拨了2023年全民参保补助资金项目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10.社会保障和就业支出（类）行政事业单位养老支出（款）机关事业单位职业年金缴费支出（项）:支出决算数为8.14万元，比上年决算增加3.17万元，增长63.78%，主要原因是：</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2人调出，职业年金支出增加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11.卫生健康支出（类）行政事业单位医疗（款）事业单位医疗（项）:支出决算数为12.40万元，比上年决算增加1.72万元，增长16.1%，主要原因是：</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等工资增长，事业单位医疗基数增加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卫生健康支出（类）医疗保障管理事务（款）其他医疗保障管理事务支出（项）:支出决算数为10.00万元，比上年决算增加10.00万元，增长100%，主要原因是：2022年未拨付“医疗服务与保障能力提升补助资金”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461.19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440.97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办公费、电费、邮电费、差旅费、维修（护）费、培训费、公务接待费、工会经费、公务用车运行维护费。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“三公”经费支出2.16万元，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0.71</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增长48.97%,</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lang w:val="en-US" w:eastAsia="zh-CN"/>
        </w:rPr>
        <w:t>2023年支付了2022年欠付的车辆维修费及</w:t>
      </w:r>
      <w:r>
        <w:rPr>
          <w:rFonts w:hint="eastAsia" w:ascii="仿宋_GB2312" w:eastAsia="仿宋_GB2312"/>
          <w:color w:val="auto"/>
          <w:sz w:val="32"/>
          <w:szCs w:val="32"/>
          <w:highlight w:val="none"/>
          <w:lang w:val="zh-CN" w:eastAsia="zh-CN"/>
        </w:rPr>
        <w:t>公务接待费。其中：因公出国（境）费支出0.00万元，占0.00%，比上年增加0.00万元，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；公务用车购置及运行维护费支出1.50万元，占69.44%，比上年增加</w:t>
      </w:r>
      <w:r>
        <w:rPr>
          <w:rFonts w:hint="eastAsia" w:ascii="仿宋_GB2312" w:eastAsia="仿宋_GB2312"/>
          <w:color w:val="auto"/>
          <w:sz w:val="32"/>
          <w:szCs w:val="32"/>
          <w:highlight w:val="none"/>
          <w:lang w:val="en-US" w:eastAsia="zh-CN"/>
        </w:rPr>
        <w:t>0.33</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增长28.21%,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支付了</w:t>
      </w:r>
      <w:r>
        <w:rPr>
          <w:rFonts w:hint="eastAsia" w:ascii="仿宋_GB2312" w:eastAsia="仿宋_GB2312"/>
          <w:color w:val="auto"/>
          <w:sz w:val="32"/>
          <w:szCs w:val="32"/>
          <w:highlight w:val="none"/>
          <w:lang w:val="en-US" w:eastAsia="zh-CN"/>
        </w:rPr>
        <w:t>2022</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欠修理厂</w:t>
      </w:r>
      <w:r>
        <w:rPr>
          <w:rFonts w:hint="eastAsia" w:ascii="仿宋_GB2312" w:eastAsia="仿宋_GB2312"/>
          <w:color w:val="auto"/>
          <w:sz w:val="32"/>
          <w:szCs w:val="32"/>
          <w:highlight w:val="none"/>
          <w:lang w:val="zh-CN" w:eastAsia="zh-CN"/>
        </w:rPr>
        <w:t>维修车辆的费用；公务接待费支出0.66万元，占30.56%，比上年增加</w:t>
      </w:r>
      <w:r>
        <w:rPr>
          <w:rFonts w:hint="eastAsia" w:ascii="仿宋_GB2312" w:eastAsia="仿宋_GB2312"/>
          <w:color w:val="auto"/>
          <w:sz w:val="32"/>
          <w:szCs w:val="32"/>
          <w:highlight w:val="none"/>
          <w:lang w:val="en-US" w:eastAsia="zh-CN"/>
        </w:rPr>
        <w:t>0.38</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增长135.71%,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w:t>
      </w:r>
      <w:r>
        <w:rPr>
          <w:rFonts w:hint="eastAsia" w:ascii="仿宋_GB2312" w:eastAsia="仿宋_GB2312"/>
          <w:color w:val="auto"/>
          <w:sz w:val="32"/>
          <w:szCs w:val="32"/>
          <w:highlight w:val="none"/>
          <w:lang w:val="zh-CN" w:eastAsia="zh-CN"/>
        </w:rPr>
        <w:t>年支付了</w:t>
      </w:r>
      <w:r>
        <w:rPr>
          <w:rFonts w:hint="eastAsia" w:ascii="仿宋_GB2312" w:eastAsia="仿宋_GB2312"/>
          <w:color w:val="auto"/>
          <w:sz w:val="32"/>
          <w:szCs w:val="32"/>
          <w:highlight w:val="none"/>
          <w:lang w:val="en-US" w:eastAsia="zh-CN"/>
        </w:rPr>
        <w:t>2022</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欠的公务接待费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公务用车购置及运行维护费1.50万元，其中：公务用车购置费0.00万元，公务用车运行维护费1.50万元。公务用车运行维护费开支内容包括</w:t>
      </w:r>
      <w:r>
        <w:rPr>
          <w:rFonts w:hint="eastAsia" w:ascii="仿宋_GB2312" w:eastAsia="仿宋_GB2312"/>
          <w:sz w:val="32"/>
          <w:szCs w:val="32"/>
          <w:highlight w:val="none"/>
        </w:rPr>
        <w:t>过路费和检测费0.1</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万元；保险费0.38万元；</w:t>
      </w:r>
      <w:r>
        <w:rPr>
          <w:rFonts w:hint="eastAsia" w:ascii="仿宋_GB2312" w:eastAsia="仿宋_GB2312"/>
          <w:sz w:val="32"/>
          <w:szCs w:val="32"/>
          <w:highlight w:val="none"/>
          <w:lang w:val="en-US" w:eastAsia="zh-CN"/>
        </w:rPr>
        <w:t>加油</w:t>
      </w:r>
      <w:r>
        <w:rPr>
          <w:rFonts w:hint="eastAsia" w:ascii="仿宋_GB2312" w:eastAsia="仿宋_GB2312"/>
          <w:sz w:val="32"/>
          <w:szCs w:val="32"/>
          <w:highlight w:val="none"/>
        </w:rPr>
        <w:t>费0.</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万元；维修费0.</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万元。公务用车购置数0辆，公务用车保有量1辆。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公务接待费0.66万元，</w:t>
      </w:r>
      <w:bookmarkStart w:id="48" w:name="_GoBack"/>
      <w:bookmarkEnd w:id="48"/>
      <w:r>
        <w:rPr>
          <w:rFonts w:hint="eastAsia" w:ascii="仿宋_GB2312" w:eastAsia="仿宋_GB2312"/>
          <w:color w:val="auto"/>
          <w:sz w:val="32"/>
          <w:szCs w:val="32"/>
          <w:highlight w:val="none"/>
          <w:lang w:val="zh-CN" w:eastAsia="zh-CN"/>
        </w:rPr>
        <w:t>开支内容包括</w:t>
      </w:r>
      <w:r>
        <w:rPr>
          <w:rFonts w:hint="eastAsia" w:ascii="仿宋_GB2312" w:eastAsia="仿宋_GB2312"/>
          <w:color w:val="auto"/>
          <w:sz w:val="32"/>
          <w:szCs w:val="32"/>
          <w:highlight w:val="none"/>
          <w:lang w:val="en-US" w:eastAsia="zh-CN"/>
        </w:rPr>
        <w:t>地州、县市来交流学习公务活动发生的餐费，</w:t>
      </w:r>
      <w:r>
        <w:rPr>
          <w:rFonts w:hint="eastAsia" w:ascii="仿宋_GB2312" w:eastAsia="仿宋_GB2312"/>
          <w:color w:val="auto"/>
          <w:sz w:val="32"/>
          <w:szCs w:val="32"/>
          <w:highlight w:val="none"/>
          <w:lang w:val="zh-CN" w:eastAsia="zh-CN"/>
        </w:rPr>
        <w:t>单位全年安排的国内公务接待</w:t>
      </w:r>
      <w:r>
        <w:rPr>
          <w:rFonts w:hint="eastAsia" w:ascii="仿宋_GB2312" w:eastAsia="仿宋_GB2312"/>
          <w:color w:val="auto"/>
          <w:sz w:val="32"/>
          <w:szCs w:val="32"/>
          <w:highlight w:val="none"/>
          <w:lang w:val="en-US" w:eastAsia="zh-CN"/>
        </w:rPr>
        <w:t>70</w:t>
      </w:r>
      <w:r>
        <w:rPr>
          <w:rFonts w:hint="eastAsia" w:ascii="仿宋_GB2312" w:eastAsia="仿宋_GB2312"/>
          <w:color w:val="auto"/>
          <w:sz w:val="32"/>
          <w:szCs w:val="32"/>
          <w:highlight w:val="none"/>
          <w:lang w:val="zh-CN" w:eastAsia="zh-CN"/>
        </w:rPr>
        <w:t>批次，</w:t>
      </w:r>
      <w:r>
        <w:rPr>
          <w:rFonts w:hint="eastAsia" w:ascii="仿宋_GB2312" w:eastAsia="仿宋_GB2312"/>
          <w:color w:val="auto"/>
          <w:sz w:val="32"/>
          <w:szCs w:val="32"/>
          <w:highlight w:val="none"/>
          <w:lang w:val="en-US" w:eastAsia="zh-CN"/>
        </w:rPr>
        <w:t>304</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预算数2.16万元，决算数2.16万元，预决算差异率0.00%，主要原因是：</w:t>
      </w:r>
      <w:r>
        <w:rPr>
          <w:rFonts w:hint="eastAsia" w:ascii="仿宋_GB2312" w:eastAsia="仿宋_GB2312"/>
          <w:sz w:val="32"/>
          <w:szCs w:val="32"/>
          <w:highlight w:val="none"/>
        </w:rPr>
        <w:t>财政拨款“三公”经费支出预算数和决算数无变化，预决算无差异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预算数1.50万元，决算数1.50万元，预决算差异率0.00%，主要原因是：</w:t>
      </w:r>
      <w:r>
        <w:rPr>
          <w:rFonts w:hint="eastAsia" w:ascii="仿宋_GB2312" w:hAnsi="宋体" w:eastAsia="仿宋_GB2312" w:cs="宋体"/>
          <w:kern w:val="0"/>
          <w:sz w:val="32"/>
          <w:szCs w:val="32"/>
          <w:highlight w:val="none"/>
        </w:rPr>
        <w:t>公务用车运行费预算数和决算数无变化，预决算无差异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0.66</w:t>
      </w:r>
      <w:r>
        <w:rPr>
          <w:rFonts w:hint="eastAsia" w:ascii="仿宋_GB2312" w:eastAsia="仿宋_GB2312"/>
          <w:color w:val="auto"/>
          <w:sz w:val="32"/>
          <w:szCs w:val="32"/>
          <w:highlight w:val="none"/>
          <w:lang w:val="zh-CN" w:eastAsia="zh-CN"/>
        </w:rPr>
        <w:t>万元，决算数0.66万元，预决算差异率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%，主要原因是：公务接待费</w:t>
      </w:r>
      <w:r>
        <w:rPr>
          <w:rFonts w:hint="eastAsia" w:ascii="仿宋_GB2312" w:hAnsi="宋体" w:eastAsia="仿宋_GB2312" w:cs="宋体"/>
          <w:kern w:val="0"/>
          <w:sz w:val="32"/>
          <w:szCs w:val="32"/>
          <w:highlight w:val="none"/>
        </w:rPr>
        <w:t>预算数和决算数无变化，预决算无差异</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yellow"/>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沙湾市医疗保障局</w:t>
      </w:r>
      <w:r>
        <w:rPr>
          <w:rFonts w:hint="eastAsia" w:ascii="仿宋_GB2312" w:eastAsia="仿宋_GB2312"/>
          <w:sz w:val="32"/>
          <w:szCs w:val="32"/>
          <w:highlight w:val="none"/>
        </w:rPr>
        <w:t>（行政单位和参照公务员法管理事业单位）</w:t>
      </w:r>
      <w:r>
        <w:rPr>
          <w:rFonts w:hint="eastAsia" w:ascii="仿宋_GB2312" w:hAnsi="仿宋_GB2312" w:eastAsia="仿宋_GB2312" w:cs="仿宋_GB2312"/>
          <w:color w:val="auto"/>
          <w:sz w:val="32"/>
          <w:szCs w:val="32"/>
          <w:highlight w:val="none"/>
          <w:lang w:val="en-US" w:eastAsia="zh-CN"/>
        </w:rPr>
        <w:t>机关运行经费支出20.22万元，</w:t>
      </w:r>
      <w:r>
        <w:rPr>
          <w:rFonts w:hint="eastAsia" w:ascii="仿宋_GB2312" w:hAnsi="仿宋_GB2312" w:eastAsia="仿宋_GB2312" w:cs="仿宋_GB2312"/>
          <w:color w:val="auto"/>
          <w:sz w:val="32"/>
          <w:szCs w:val="32"/>
          <w:highlight w:val="none"/>
          <w:lang w:val="zh-CN" w:eastAsia="zh-CN"/>
        </w:rPr>
        <w:t>比上年</w:t>
      </w:r>
      <w:r>
        <w:rPr>
          <w:rFonts w:hint="eastAsia" w:ascii="仿宋_GB2312" w:hAnsi="仿宋_GB2312" w:eastAsia="仿宋_GB2312" w:cs="仿宋_GB2312"/>
          <w:color w:val="auto"/>
          <w:sz w:val="32"/>
          <w:szCs w:val="32"/>
          <w:highlight w:val="none"/>
          <w:lang w:val="en-US" w:eastAsia="zh-CN"/>
        </w:rPr>
        <w:t>减少0.97</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降低4.58</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本单位</w:t>
      </w:r>
      <w:r>
        <w:rPr>
          <w:rFonts w:hint="eastAsia" w:ascii="仿宋_GB2312" w:eastAsia="仿宋_GB2312"/>
          <w:sz w:val="32"/>
          <w:szCs w:val="32"/>
          <w:highlight w:val="none"/>
          <w:lang w:val="en-US" w:eastAsia="zh-CN"/>
        </w:rPr>
        <w:t>厉行节约，减少开支</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23.24万元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其中：政府采购货物支出16.58万元、政府采购工程支出0.00万元、政府采购服务支出6.66万元。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授予中小企业合同金额23.24万元，占政府采购支出总额的100.00%，其中：授予小微企业合同金额22.86万元，占政府采购支出总额的98.36%</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76.13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屋0.00平方米，价值0.00万元。车辆1辆，价值14.70万元，其中：副部（省）级及以上领导用车0辆、主要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eastAsia="仿宋_GB2312"/>
          <w:sz w:val="32"/>
          <w:szCs w:val="32"/>
          <w:highlight w:val="none"/>
          <w:lang w:val="en-US" w:eastAsia="zh-CN"/>
        </w:rPr>
        <w:t>业务</w:t>
      </w:r>
      <w:r>
        <w:rPr>
          <w:rFonts w:hint="eastAsia" w:ascii="仿宋_GB2312" w:eastAsia="仿宋_GB2312"/>
          <w:sz w:val="32"/>
          <w:szCs w:val="32"/>
          <w:highlight w:val="none"/>
          <w:lang w:eastAsia="zh-CN"/>
        </w:rPr>
        <w:t>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预算总额491.06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实际执行总额485.47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全年执行数24.29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一是对照部门整体支出与项目资金绩效目标，对预算执行过程中的资金使用和管理等情况进行分析，及时掌握绩效目标的完成情况、实施进程；二是根据年中整体绩效完成情</w:t>
      </w:r>
      <w:r>
        <w:rPr>
          <w:rFonts w:hint="eastAsia" w:ascii="仿宋_GB2312" w:eastAsia="仿宋_GB2312"/>
          <w:sz w:val="32"/>
          <w:szCs w:val="32"/>
          <w:highlight w:val="none"/>
          <w:lang w:val="en-US" w:eastAsia="zh-CN"/>
        </w:rPr>
        <w:t>况</w:t>
      </w:r>
      <w:r>
        <w:rPr>
          <w:rFonts w:hint="eastAsia" w:ascii="仿宋_GB2312" w:eastAsia="仿宋_GB2312"/>
          <w:sz w:val="32"/>
          <w:szCs w:val="32"/>
          <w:highlight w:val="none"/>
          <w:lang w:eastAsia="zh-CN"/>
        </w:rPr>
        <w:t>对照年初设定目标，查找单位整体绩效执行过程中存在的问题，并分析存在问题的原因，及时采取了有效的纠偏措施。</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下一步改进措施：一是提高对预算绩效管理的认识，充分理解财政绩效评价指标体系，加强预算的约束力：二是强化全过程预算绩效管理理念，突出绩效指标的重要性和综合性。</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650306"/>
    <w:rsid w:val="019404F8"/>
    <w:rsid w:val="01C30B6B"/>
    <w:rsid w:val="01ED22F2"/>
    <w:rsid w:val="026B121E"/>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E449A3"/>
    <w:rsid w:val="06FD75CA"/>
    <w:rsid w:val="07093795"/>
    <w:rsid w:val="07804730"/>
    <w:rsid w:val="079052BE"/>
    <w:rsid w:val="079A47AA"/>
    <w:rsid w:val="08145C21"/>
    <w:rsid w:val="08422688"/>
    <w:rsid w:val="085854ED"/>
    <w:rsid w:val="0879188F"/>
    <w:rsid w:val="08A0354D"/>
    <w:rsid w:val="08CD4C49"/>
    <w:rsid w:val="09114954"/>
    <w:rsid w:val="09446362"/>
    <w:rsid w:val="095A5B83"/>
    <w:rsid w:val="096466E3"/>
    <w:rsid w:val="0968304D"/>
    <w:rsid w:val="09AF3D17"/>
    <w:rsid w:val="0A00042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06907A7"/>
    <w:rsid w:val="112E58D0"/>
    <w:rsid w:val="11731CAC"/>
    <w:rsid w:val="117B1E64"/>
    <w:rsid w:val="119500A0"/>
    <w:rsid w:val="11C0733B"/>
    <w:rsid w:val="11D50D17"/>
    <w:rsid w:val="120E0809"/>
    <w:rsid w:val="127F665A"/>
    <w:rsid w:val="12825A4D"/>
    <w:rsid w:val="12F7068C"/>
    <w:rsid w:val="14207DC0"/>
    <w:rsid w:val="14B932DA"/>
    <w:rsid w:val="150A66AF"/>
    <w:rsid w:val="154C1139"/>
    <w:rsid w:val="158C5B77"/>
    <w:rsid w:val="15BD7ABA"/>
    <w:rsid w:val="160D1149"/>
    <w:rsid w:val="163563C0"/>
    <w:rsid w:val="164315EF"/>
    <w:rsid w:val="16557DFE"/>
    <w:rsid w:val="167268FB"/>
    <w:rsid w:val="16770D0A"/>
    <w:rsid w:val="168E1558"/>
    <w:rsid w:val="169A0039"/>
    <w:rsid w:val="16D50C50"/>
    <w:rsid w:val="16E120E1"/>
    <w:rsid w:val="17385A05"/>
    <w:rsid w:val="173B3901"/>
    <w:rsid w:val="176747F9"/>
    <w:rsid w:val="17954A6E"/>
    <w:rsid w:val="17BE2C86"/>
    <w:rsid w:val="180059E9"/>
    <w:rsid w:val="182B7833"/>
    <w:rsid w:val="184510FD"/>
    <w:rsid w:val="190648B0"/>
    <w:rsid w:val="19071D6C"/>
    <w:rsid w:val="19D26CD4"/>
    <w:rsid w:val="19E60D19"/>
    <w:rsid w:val="1A2B127B"/>
    <w:rsid w:val="1A3E3450"/>
    <w:rsid w:val="1AD807E5"/>
    <w:rsid w:val="1B39345B"/>
    <w:rsid w:val="1B3B63FA"/>
    <w:rsid w:val="1B5732A8"/>
    <w:rsid w:val="1BFB2A1F"/>
    <w:rsid w:val="1C015D4A"/>
    <w:rsid w:val="1C290ED5"/>
    <w:rsid w:val="1C317E4F"/>
    <w:rsid w:val="1C472464"/>
    <w:rsid w:val="1D22799A"/>
    <w:rsid w:val="1D5C1A72"/>
    <w:rsid w:val="1DAF458D"/>
    <w:rsid w:val="1DCB5C55"/>
    <w:rsid w:val="1E086ACE"/>
    <w:rsid w:val="1E62130A"/>
    <w:rsid w:val="1E97358B"/>
    <w:rsid w:val="1EAA4A5F"/>
    <w:rsid w:val="1EE869A7"/>
    <w:rsid w:val="1F3F37CF"/>
    <w:rsid w:val="1FA15E62"/>
    <w:rsid w:val="1FED69B6"/>
    <w:rsid w:val="200A6F6A"/>
    <w:rsid w:val="2064678E"/>
    <w:rsid w:val="207948B5"/>
    <w:rsid w:val="20DC1AB9"/>
    <w:rsid w:val="20DD6197"/>
    <w:rsid w:val="212631E0"/>
    <w:rsid w:val="2138666F"/>
    <w:rsid w:val="21742080"/>
    <w:rsid w:val="21A53757"/>
    <w:rsid w:val="21C72021"/>
    <w:rsid w:val="21F879E1"/>
    <w:rsid w:val="221236C6"/>
    <w:rsid w:val="22D7662C"/>
    <w:rsid w:val="23326B7F"/>
    <w:rsid w:val="2380045B"/>
    <w:rsid w:val="23917001"/>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3D37DD"/>
    <w:rsid w:val="275277C7"/>
    <w:rsid w:val="27B401B9"/>
    <w:rsid w:val="27CF2642"/>
    <w:rsid w:val="27E777F5"/>
    <w:rsid w:val="27EA1D4C"/>
    <w:rsid w:val="27EA2E41"/>
    <w:rsid w:val="282459E2"/>
    <w:rsid w:val="283A7FE5"/>
    <w:rsid w:val="285F51FF"/>
    <w:rsid w:val="28DA4193"/>
    <w:rsid w:val="28DF2665"/>
    <w:rsid w:val="29072599"/>
    <w:rsid w:val="291029F3"/>
    <w:rsid w:val="29151DE7"/>
    <w:rsid w:val="29CB58F0"/>
    <w:rsid w:val="2A053397"/>
    <w:rsid w:val="2A120D45"/>
    <w:rsid w:val="2A145E96"/>
    <w:rsid w:val="2A2131BB"/>
    <w:rsid w:val="2A372CED"/>
    <w:rsid w:val="2AF5378F"/>
    <w:rsid w:val="2BB94DBF"/>
    <w:rsid w:val="2BF37410"/>
    <w:rsid w:val="2C6F314E"/>
    <w:rsid w:val="2CC206BE"/>
    <w:rsid w:val="2CDB2158"/>
    <w:rsid w:val="2D1136DF"/>
    <w:rsid w:val="2D1F11BF"/>
    <w:rsid w:val="2D20606D"/>
    <w:rsid w:val="2D6729FE"/>
    <w:rsid w:val="2DB87198"/>
    <w:rsid w:val="2DB93C54"/>
    <w:rsid w:val="2E3D144C"/>
    <w:rsid w:val="2E891204"/>
    <w:rsid w:val="2F3F0A28"/>
    <w:rsid w:val="2F6F34DE"/>
    <w:rsid w:val="2FBF7029"/>
    <w:rsid w:val="2FD0187F"/>
    <w:rsid w:val="2FD27414"/>
    <w:rsid w:val="2FFE4BB0"/>
    <w:rsid w:val="300E7B60"/>
    <w:rsid w:val="300F6E18"/>
    <w:rsid w:val="30862F5F"/>
    <w:rsid w:val="30A4775A"/>
    <w:rsid w:val="30B80628"/>
    <w:rsid w:val="314029C9"/>
    <w:rsid w:val="31C63837"/>
    <w:rsid w:val="31C82E39"/>
    <w:rsid w:val="32601BAD"/>
    <w:rsid w:val="329F6389"/>
    <w:rsid w:val="32D10A44"/>
    <w:rsid w:val="3389023A"/>
    <w:rsid w:val="33CB74FA"/>
    <w:rsid w:val="343642F2"/>
    <w:rsid w:val="343F3010"/>
    <w:rsid w:val="345D0A00"/>
    <w:rsid w:val="34713BFD"/>
    <w:rsid w:val="34C13589"/>
    <w:rsid w:val="353369E3"/>
    <w:rsid w:val="35B21E0B"/>
    <w:rsid w:val="35CA5BEC"/>
    <w:rsid w:val="35E00D72"/>
    <w:rsid w:val="36536EC5"/>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0E515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3A108C"/>
    <w:rsid w:val="42C10D7B"/>
    <w:rsid w:val="434E6957"/>
    <w:rsid w:val="43BA0E31"/>
    <w:rsid w:val="43C15147"/>
    <w:rsid w:val="43E14DD2"/>
    <w:rsid w:val="43F800E9"/>
    <w:rsid w:val="443A7E4B"/>
    <w:rsid w:val="443C7104"/>
    <w:rsid w:val="444A7D08"/>
    <w:rsid w:val="452F5B3A"/>
    <w:rsid w:val="454E7FD2"/>
    <w:rsid w:val="458C11A3"/>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993369"/>
    <w:rsid w:val="4BDB3730"/>
    <w:rsid w:val="4C200F7A"/>
    <w:rsid w:val="4CEE3180"/>
    <w:rsid w:val="4D0F4AF6"/>
    <w:rsid w:val="4D66216F"/>
    <w:rsid w:val="4DF94F37"/>
    <w:rsid w:val="4E0A1DD5"/>
    <w:rsid w:val="4E3160E5"/>
    <w:rsid w:val="4E4D37AF"/>
    <w:rsid w:val="4E8C6496"/>
    <w:rsid w:val="4EFD18DE"/>
    <w:rsid w:val="4F144236"/>
    <w:rsid w:val="4F663C87"/>
    <w:rsid w:val="4F7E29A8"/>
    <w:rsid w:val="4F9E1FFC"/>
    <w:rsid w:val="4FA14D41"/>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66238F"/>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121650"/>
    <w:rsid w:val="5A5D23AA"/>
    <w:rsid w:val="5A60780B"/>
    <w:rsid w:val="5AB34579"/>
    <w:rsid w:val="5AB40E78"/>
    <w:rsid w:val="5AF80B40"/>
    <w:rsid w:val="5AFC6609"/>
    <w:rsid w:val="5B113480"/>
    <w:rsid w:val="5BD456CE"/>
    <w:rsid w:val="5C0D1F49"/>
    <w:rsid w:val="5CA30903"/>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6F54AF"/>
    <w:rsid w:val="637D586B"/>
    <w:rsid w:val="63A5560B"/>
    <w:rsid w:val="63E9091F"/>
    <w:rsid w:val="64322AF9"/>
    <w:rsid w:val="64D6010D"/>
    <w:rsid w:val="64D82665"/>
    <w:rsid w:val="64E47C96"/>
    <w:rsid w:val="651E5741"/>
    <w:rsid w:val="655D7702"/>
    <w:rsid w:val="657464AB"/>
    <w:rsid w:val="658A4877"/>
    <w:rsid w:val="65A00902"/>
    <w:rsid w:val="65AC6EDD"/>
    <w:rsid w:val="65D97752"/>
    <w:rsid w:val="66085536"/>
    <w:rsid w:val="66105BF7"/>
    <w:rsid w:val="66150023"/>
    <w:rsid w:val="6628010D"/>
    <w:rsid w:val="669B4528"/>
    <w:rsid w:val="66CC12D7"/>
    <w:rsid w:val="67041537"/>
    <w:rsid w:val="67134CEF"/>
    <w:rsid w:val="671F1ABD"/>
    <w:rsid w:val="67521A59"/>
    <w:rsid w:val="67C304AB"/>
    <w:rsid w:val="683F0658"/>
    <w:rsid w:val="689C6793"/>
    <w:rsid w:val="68A70F3F"/>
    <w:rsid w:val="68DB0208"/>
    <w:rsid w:val="68FB170C"/>
    <w:rsid w:val="691B3D98"/>
    <w:rsid w:val="693748F0"/>
    <w:rsid w:val="697B5626"/>
    <w:rsid w:val="69846A0E"/>
    <w:rsid w:val="69AA1366"/>
    <w:rsid w:val="69AD798C"/>
    <w:rsid w:val="69D005C0"/>
    <w:rsid w:val="69D80B96"/>
    <w:rsid w:val="69F47AD7"/>
    <w:rsid w:val="6A2C39D4"/>
    <w:rsid w:val="6B68175F"/>
    <w:rsid w:val="6BFD799F"/>
    <w:rsid w:val="6C4A2E5A"/>
    <w:rsid w:val="6C7A7226"/>
    <w:rsid w:val="6C8138D0"/>
    <w:rsid w:val="6CEA3EF8"/>
    <w:rsid w:val="6CEF0725"/>
    <w:rsid w:val="6D4B2604"/>
    <w:rsid w:val="6D77358F"/>
    <w:rsid w:val="6D8030E4"/>
    <w:rsid w:val="6DAE2362"/>
    <w:rsid w:val="6E0E35C4"/>
    <w:rsid w:val="6E0F7A08"/>
    <w:rsid w:val="6E1B50CF"/>
    <w:rsid w:val="6E3947F5"/>
    <w:rsid w:val="6E6733A0"/>
    <w:rsid w:val="6E6E3938"/>
    <w:rsid w:val="6E9C74ED"/>
    <w:rsid w:val="6EA1078E"/>
    <w:rsid w:val="6EF72976"/>
    <w:rsid w:val="6F795A80"/>
    <w:rsid w:val="6F7C1D2E"/>
    <w:rsid w:val="6F8E0407"/>
    <w:rsid w:val="6FDD069F"/>
    <w:rsid w:val="702B4D16"/>
    <w:rsid w:val="70AA6621"/>
    <w:rsid w:val="710A75B7"/>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5E3FF9"/>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1E2966"/>
    <w:rsid w:val="793C0F89"/>
    <w:rsid w:val="795A0A34"/>
    <w:rsid w:val="797339C3"/>
    <w:rsid w:val="79D57D57"/>
    <w:rsid w:val="79F00650"/>
    <w:rsid w:val="7A6242BF"/>
    <w:rsid w:val="7A794513"/>
    <w:rsid w:val="7A910FA6"/>
    <w:rsid w:val="7A9B3811"/>
    <w:rsid w:val="7AB467DA"/>
    <w:rsid w:val="7AB9318D"/>
    <w:rsid w:val="7AE952D2"/>
    <w:rsid w:val="7B9F26AF"/>
    <w:rsid w:val="7BB607FE"/>
    <w:rsid w:val="7C7248A0"/>
    <w:rsid w:val="7C976D69"/>
    <w:rsid w:val="7CD752DA"/>
    <w:rsid w:val="7CDC2AEC"/>
    <w:rsid w:val="7CDE40AB"/>
    <w:rsid w:val="7CF057E2"/>
    <w:rsid w:val="7D1548B5"/>
    <w:rsid w:val="7D7E478C"/>
    <w:rsid w:val="7DF84014"/>
    <w:rsid w:val="7E207949"/>
    <w:rsid w:val="7E5C0A47"/>
    <w:rsid w:val="7E670C75"/>
    <w:rsid w:val="7EE24272"/>
    <w:rsid w:val="7EEA6053"/>
    <w:rsid w:val="7F38480A"/>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6769</Words>
  <Characters>7613</Characters>
  <Lines>0</Lines>
  <Paragraphs>0</Paragraphs>
  <TotalTime>155</TotalTime>
  <ScaleCrop>false</ScaleCrop>
  <LinksUpToDate>false</LinksUpToDate>
  <CharactersWithSpaces>7639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2025-04-11T04:57:17Z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