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沙湾市人民医院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sz w:val="32"/>
          <w:szCs w:val="32"/>
          <w:highlight w:val="none"/>
          <w:lang w:eastAsia="zh-CN"/>
        </w:rPr>
      </w:pPr>
      <w:bookmarkStart w:id="4" w:name="_Toc31238"/>
      <w:bookmarkStart w:id="5" w:name="_Toc2151"/>
      <w:r>
        <w:rPr>
          <w:rFonts w:hint="eastAsia" w:ascii="仿宋_GB2312" w:eastAsia="仿宋_GB2312"/>
          <w:sz w:val="32"/>
          <w:szCs w:val="32"/>
          <w:highlight w:val="none"/>
          <w:lang w:val="en-US" w:eastAsia="zh-CN"/>
        </w:rPr>
        <w:t>1、为沙湾具城多各族人民群众的身体健康提供医疗与护理保健服务；2、坚持以医疗工作为中心，救死扶伤，医治疾病，最大限度地满足人民群众对医疗服务的需求；3、贯彻预防为主的方针，做好对社会健康教育、医学知识普及、康复指导以及健康咨询工作；4、做好医学研究工作，大力开展临床科学研究和技术革新活动，努力创造条件，进行基础理论的研究；5、帮助乡镇基层医院培训卫生技术人员；承担大、中专院校学生的实习培训工作；做好医学继续教育工作；6、进行计生技术指导，指导各种计生方法的应用和注意事项，确保计生安全有效；7、指导乡镇基层医院的业务工作，帮助其提高医学基础理论和医疗技术水平以及开展新林术项目，帮助解决疑难重症的诊断和治疗；8、做好社会各类突发事件的应急抢救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沙湾市人民医院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622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408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214</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highlight w:val="none"/>
        </w:rPr>
      </w:pPr>
      <w:bookmarkStart w:id="6" w:name="_Toc29374"/>
      <w:bookmarkStart w:id="7" w:name="_Toc3092"/>
      <w:r>
        <w:rPr>
          <w:rFonts w:hint="eastAsia" w:ascii="仿宋_GB2312" w:eastAsia="仿宋_GB2312"/>
          <w:sz w:val="32"/>
          <w:szCs w:val="32"/>
          <w:highlight w:val="none"/>
        </w:rPr>
        <w:t>单位无下属预算单位，下设38个处室，分别是：儿科、放射科、妇产科、五官科、急诊科、检验科、康复科、门诊、呼吸与危重症医学科、心血管一科、心血管二科、手麻科、功能检查科、骨科、五官口腔科、普外泌尿科、普外胸外肿瘤科、ICU、中医科、病理科、口腔科、神经医学科、消化感染科、内镜中心、肾病透析科、老干科、皮肤肛肠科、药剂科、院办、消毒供应室、洗衣房、病案信息科、保卫科、设备科、财务科、护理外勤、职工餐厅、预防保健中心。</w:t>
      </w: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30,954.29万元，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30,954.29万元，使用非财政拨款结余0.00万元，年初结转和结余0.00万元。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30,954.29万元，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30,237.86万元，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716.43万元，年末结转和结余0.00万元。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highlight w:val="none"/>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减少1,487.15万元</w:t>
      </w:r>
      <w:r>
        <w:rPr>
          <w:rFonts w:hint="eastAsia" w:ascii="仿宋_GB2312" w:eastAsia="仿宋_GB2312"/>
          <w:color w:val="auto"/>
          <w:spacing w:val="0"/>
          <w:sz w:val="32"/>
          <w:szCs w:val="32"/>
          <w:highlight w:val="none"/>
          <w:lang w:eastAsia="zh-CN"/>
        </w:rPr>
        <w:t>，下降4.58%，主要原因是：今年较上年减少了</w:t>
      </w:r>
      <w:r>
        <w:rPr>
          <w:rFonts w:hint="eastAsia" w:ascii="仿宋_GB2312" w:eastAsia="仿宋_GB2312"/>
          <w:color w:val="auto"/>
          <w:spacing w:val="0"/>
          <w:sz w:val="32"/>
          <w:szCs w:val="32"/>
          <w:highlight w:val="none"/>
          <w:lang w:val="en-US" w:eastAsia="zh-CN"/>
        </w:rPr>
        <w:t>医院购置大型医疗设备及医疗器材支出项目，</w:t>
      </w:r>
      <w:r>
        <w:rPr>
          <w:rFonts w:hint="eastAsia" w:ascii="仿宋_GB2312" w:eastAsia="仿宋_GB2312"/>
          <w:color w:val="auto"/>
          <w:sz w:val="32"/>
          <w:szCs w:val="32"/>
          <w:lang w:val="en-US" w:eastAsia="zh-CN"/>
        </w:rPr>
        <w:t>导致收入支出数较上年减少。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30,954.29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7,622.08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24.6</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22,910.14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74.01%</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422.06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1.36%</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本年支出30,237.86万元，其中：基本支出28,496.04万元，占94.24%；项目支出1,741.82万元，占5.76%；上缴上级支出0.00万元，占0.00%；经营支出0.00万元，占0.00%；对附属单位补助支出0.00万元，占0.00%。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7,622.08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7,622.08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7,622.08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7,622.08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减少2,866.36万元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下降27.33%,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本年度减少医院购置大型医疗设备及医疗器材支出项目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6,389.89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7,622.08</w:t>
      </w:r>
      <w:r>
        <w:rPr>
          <w:rFonts w:hint="eastAsia" w:ascii="仿宋_GB2312" w:eastAsia="仿宋_GB2312"/>
          <w:color w:val="auto"/>
          <w:spacing w:val="0"/>
          <w:sz w:val="32"/>
          <w:szCs w:val="32"/>
          <w:highlight w:val="none"/>
          <w:lang w:eastAsia="zh-CN"/>
        </w:rPr>
        <w:t>万元，预决算差异率19.28%，主要原因是：年中</w:t>
      </w:r>
      <w:r>
        <w:rPr>
          <w:rFonts w:hint="eastAsia" w:ascii="仿宋_GB2312" w:eastAsia="仿宋_GB2312"/>
          <w:color w:val="auto"/>
          <w:spacing w:val="0"/>
          <w:sz w:val="32"/>
          <w:szCs w:val="32"/>
          <w:highlight w:val="none"/>
          <w:lang w:val="en-US" w:eastAsia="zh-CN"/>
        </w:rPr>
        <w:t>追加塔地财社[2022]14号-2022年自治区基本公共卫生资金项目、分配塔地财社[2022]118号2023年中央重大传染病资金项目、塔地财社[2023]36号2023年中央重大传染病经费项目、支付购置实验室设备及配套系统项目、2023年自治区医务人员临时性工作补助资金项目、塔地财社[2022]99号2023年中央医疗服务能力项目、（中央直达）塔地财社[2022]10号2022年中央政府医疗服务能力资金项目、塔地财建[2023]18号2022年自治区节能减排资金项目、2022-2023年为民办实事工作经费项目支出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2023年度一般公共预算财政拨款支出7,622.08万元，占本年支出合计的</w:t>
      </w:r>
      <w:r>
        <w:rPr>
          <w:rFonts w:hint="eastAsia" w:ascii="仿宋_GB2312" w:eastAsia="仿宋_GB2312"/>
          <w:color w:val="auto"/>
          <w:spacing w:val="0"/>
          <w:sz w:val="32"/>
          <w:szCs w:val="32"/>
          <w:highlight w:val="none"/>
          <w:lang w:val="zh-CN" w:eastAsia="zh-CN"/>
        </w:rPr>
        <w:t>25.21%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增加133.64万元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2023年调增工资，普调基础绩效奖，补发2022-2023年基础绩效奖，补发2022年绩效考核奖</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6,389.89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7,622.08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19.28%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年中</w:t>
      </w:r>
      <w:r>
        <w:rPr>
          <w:rFonts w:hint="eastAsia" w:ascii="仿宋_GB2312" w:eastAsia="仿宋_GB2312"/>
          <w:color w:val="auto"/>
          <w:spacing w:val="0"/>
          <w:sz w:val="32"/>
          <w:szCs w:val="32"/>
          <w:highlight w:val="none"/>
          <w:lang w:val="en-US" w:eastAsia="zh-CN"/>
        </w:rPr>
        <w:t>追加塔地财社[2022]14号-2022年自治区基本公共卫生资金项目、分配塔地财社[2022]118号2023年中央重大传染病资金项目、塔地财社[2023]36号2023年中央重大传染病经费项目、支付购置实验室设备及配套系统项目、2023年自治区医务人员临时性工作补助资金项目、塔地财社[2022]99号2023年中央医疗服务能力项目、（中央直达）塔地财社[2022]10号2022年中央政府医疗服务能力资金项目、塔地财建[2023]18号2022年自治区节能减排资金项目、2022-2023年为民办实事工作经费项目支出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894.85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11.74%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6,311.64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82.81%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400.09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5.25%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12.50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0.16%。</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1.卫生健康支出（类）公立医院（款）其他公立医院支出（项）:支出决算数为276.00万元，比上年决算减少4.13万元，下降1.47%，主要原因是：根据2023年工作需要，财政减少</w:t>
      </w:r>
      <w:r>
        <w:rPr>
          <w:rFonts w:hint="eastAsia" w:ascii="仿宋_GB2312" w:eastAsia="仿宋_GB2312"/>
          <w:sz w:val="32"/>
          <w:szCs w:val="32"/>
          <w:highlight w:val="none"/>
          <w:lang w:eastAsia="zh-CN"/>
        </w:rPr>
        <w:t>其他公立医院</w:t>
      </w:r>
      <w:r>
        <w:rPr>
          <w:rFonts w:hint="eastAsia" w:ascii="仿宋_GB2312" w:eastAsia="仿宋_GB2312"/>
          <w:sz w:val="32"/>
          <w:szCs w:val="32"/>
          <w:highlight w:val="none"/>
        </w:rPr>
        <w:t>专项支出</w:t>
      </w:r>
      <w:r>
        <w:rPr>
          <w:rFonts w:hint="eastAsia" w:ascii="仿宋_GB2312" w:eastAsia="仿宋_GB2312"/>
          <w:sz w:val="32"/>
          <w:szCs w:val="32"/>
          <w:highlight w:val="none"/>
          <w:lang w:val="en-US" w:eastAsia="zh-CN"/>
        </w:rPr>
        <w:t>4.13万元。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2.卫生健康支出（类）行政事业单位医疗（款）事业单位医疗（项）:支出决算数为224.83万元，比上年决算减少84.14万元，下降27.23%，主要原因是：2023年按相关规定事业</w:t>
      </w:r>
      <w:r>
        <w:rPr>
          <w:rFonts w:hint="eastAsia" w:ascii="仿宋_GB2312" w:hAnsi="仿宋" w:eastAsia="仿宋_GB2312"/>
          <w:sz w:val="32"/>
          <w:szCs w:val="24"/>
          <w:highlight w:val="none"/>
        </w:rPr>
        <w:t>退休人员</w:t>
      </w:r>
      <w:r>
        <w:rPr>
          <w:rFonts w:hint="eastAsia" w:ascii="仿宋_GB2312" w:hAnsi="仿宋" w:eastAsia="仿宋_GB2312"/>
          <w:sz w:val="32"/>
          <w:szCs w:val="24"/>
          <w:highlight w:val="none"/>
          <w:lang w:val="en-US" w:eastAsia="zh-CN"/>
        </w:rPr>
        <w:t>的公务员</w:t>
      </w:r>
      <w:r>
        <w:rPr>
          <w:rFonts w:hint="eastAsia" w:ascii="仿宋_GB2312" w:hAnsi="仿宋" w:eastAsia="仿宋_GB2312"/>
          <w:sz w:val="32"/>
          <w:szCs w:val="24"/>
          <w:highlight w:val="none"/>
        </w:rPr>
        <w:t>医疗</w:t>
      </w:r>
      <w:r>
        <w:rPr>
          <w:rFonts w:hint="eastAsia" w:ascii="仿宋_GB2312" w:hAnsi="仿宋" w:eastAsia="仿宋_GB2312"/>
          <w:sz w:val="32"/>
          <w:szCs w:val="24"/>
          <w:highlight w:val="none"/>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3.卫生健康支出（类）公立医院（款）综合医院（项）:支出决算数为4,360.49万元，比上年决算增加233.75万元，增长5.66%，主要原因是：</w:t>
      </w:r>
      <w:r>
        <w:rPr>
          <w:rFonts w:hint="eastAsia" w:ascii="仿宋_GB2312" w:eastAsia="仿宋_GB2312"/>
          <w:color w:val="auto"/>
          <w:spacing w:val="0"/>
          <w:sz w:val="32"/>
          <w:szCs w:val="32"/>
          <w:highlight w:val="none"/>
          <w:lang w:val="en-US" w:eastAsia="zh-CN"/>
        </w:rPr>
        <w:t>2023年调增工资，普调基础绩效奖，补发了2022-2023年基础绩效奖、2022年绩效考核奖</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4.卫生健康支出（类）公共卫生（款）突发公共卫生事件应急处理（项）:支出决算数为1,406.44万元，比上年决算增加280.35万元，增长24.90%，主要原因是：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年财政加大对医院</w:t>
      </w:r>
      <w:r>
        <w:rPr>
          <w:rFonts w:hint="eastAsia" w:ascii="仿宋_GB2312" w:eastAsia="仿宋_GB2312"/>
          <w:sz w:val="32"/>
          <w:szCs w:val="32"/>
          <w:highlight w:val="none"/>
          <w:lang w:eastAsia="zh-CN"/>
        </w:rPr>
        <w:t>的</w:t>
      </w:r>
      <w:r>
        <w:rPr>
          <w:rFonts w:hint="eastAsia" w:ascii="仿宋_GB2312" w:eastAsia="仿宋_GB2312"/>
          <w:sz w:val="32"/>
          <w:szCs w:val="32"/>
          <w:highlight w:val="none"/>
        </w:rPr>
        <w:t>投</w:t>
      </w:r>
      <w:r>
        <w:rPr>
          <w:rFonts w:hint="eastAsia" w:ascii="仿宋_GB2312" w:eastAsia="仿宋_GB2312"/>
          <w:sz w:val="32"/>
          <w:szCs w:val="32"/>
          <w:highlight w:val="none"/>
          <w:lang w:eastAsia="zh-CN"/>
        </w:rPr>
        <w:t>入</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突发公共卫生事件应急处理项目</w:t>
      </w:r>
      <w:r>
        <w:rPr>
          <w:rFonts w:hint="eastAsia" w:ascii="仿宋_GB2312" w:eastAsia="仿宋_GB2312"/>
          <w:sz w:val="32"/>
          <w:szCs w:val="32"/>
          <w:highlight w:val="none"/>
        </w:rPr>
        <w:t>财政拨款较上年增加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ascii="仿宋_GB2312" w:eastAsia="仿宋_GB2312"/>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5.住房保障支出（类）住房改革支出（款）住房公积金（项）:支出决算数为400.09万元，比上年决算增加15.90万元，增长4.14%，主要原因是：</w:t>
      </w:r>
      <w:r>
        <w:rPr>
          <w:rFonts w:hint="eastAsia" w:ascii="仿宋_GB2312" w:eastAsia="仿宋_GB2312"/>
          <w:sz w:val="32"/>
          <w:szCs w:val="32"/>
          <w:highlight w:val="none"/>
        </w:rPr>
        <w:t>在职职工工资增加，公积金基数增大，故住房公积金支出增加。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6.卫生健康支出（类）中医药（款）中医（民族医）药专项（项）:支出决算数为13.04万元，比上年决算增加6.08万元，增长87.36%，主要原因是：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年财政加大对</w:t>
      </w:r>
      <w:r>
        <w:rPr>
          <w:rFonts w:hint="eastAsia" w:ascii="仿宋_GB2312" w:hAnsi="仿宋_GB2312" w:eastAsia="仿宋_GB2312" w:cs="仿宋_GB2312"/>
          <w:color w:val="auto"/>
          <w:kern w:val="2"/>
          <w:sz w:val="32"/>
          <w:szCs w:val="32"/>
          <w:highlight w:val="none"/>
          <w:lang w:val="en-US" w:eastAsia="zh-CN" w:bidi="ar-SA"/>
        </w:rPr>
        <w:t>中医（民族医）药的专项</w:t>
      </w:r>
      <w:r>
        <w:rPr>
          <w:rFonts w:hint="eastAsia" w:ascii="仿宋_GB2312" w:eastAsia="仿宋_GB2312"/>
          <w:sz w:val="32"/>
          <w:szCs w:val="32"/>
          <w:highlight w:val="none"/>
        </w:rPr>
        <w:t>投入，</w:t>
      </w:r>
      <w:r>
        <w:rPr>
          <w:rFonts w:hint="eastAsia" w:ascii="仿宋_GB2312" w:hAnsi="仿宋_GB2312" w:eastAsia="仿宋_GB2312" w:cs="仿宋_GB2312"/>
          <w:color w:val="auto"/>
          <w:kern w:val="2"/>
          <w:sz w:val="32"/>
          <w:szCs w:val="32"/>
          <w:highlight w:val="none"/>
          <w:lang w:val="en-US" w:eastAsia="zh-CN" w:bidi="ar-SA"/>
        </w:rPr>
        <w:t>中医（民族医）药专</w:t>
      </w:r>
      <w:r>
        <w:rPr>
          <w:rFonts w:hint="eastAsia" w:ascii="仿宋_GB2312" w:eastAsia="仿宋_GB2312"/>
          <w:sz w:val="32"/>
          <w:szCs w:val="32"/>
          <w:highlight w:val="none"/>
        </w:rPr>
        <w:t>项财政拨款较上年增加</w:t>
      </w:r>
      <w:r>
        <w:rPr>
          <w:rFonts w:hint="eastAsia" w:ascii="仿宋_GB2312" w:eastAsia="仿宋_GB2312"/>
          <w:sz w:val="32"/>
          <w:szCs w:val="32"/>
          <w:highlight w:val="none"/>
          <w:lang w:eastAsia="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7.社会保障和就业支出（类）行政事业单位养老支出（款）事业单位离退休（项）:支出决算数为126.69万元，比上年决算增加54.03万元，增长74.36%，主要原因是：</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年退休职工增加7人。</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退休职工发放了202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w:t>
      </w:r>
      <w:r>
        <w:rPr>
          <w:rFonts w:hint="eastAsia" w:ascii="仿宋_GB2312" w:eastAsia="仿宋_GB2312"/>
          <w:sz w:val="32"/>
          <w:szCs w:val="32"/>
          <w:highlight w:val="none"/>
          <w:lang w:eastAsia="zh-CN"/>
        </w:rPr>
        <w:t>退休人员生活补贴。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8.节能环保支出（类）能源节约利用（款）能源节约利用（项）:支出决算数为3.00万元，比上年决算增加3.00万元，增长100%，主要原因是：2023年增加了节能环保项目支出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卫生健康支出（类）公共卫生（款）基本公共卫生服务（项）:支出决算数为7.54万元，比上年决算增加7.54万元，增长100%，主要原因是：2023年增加了塔地财社[2022]14号-2022年自治区基本公共卫生资金项目支出7.54万元</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10.社会保障和就业支出（类）行政事业单位养老支出（款）机关事业单位职业年金缴费支出（项）:支出决算数为256.05万元，比上年决算增加41.32万元，增长19.24%，主要原因是：</w:t>
      </w:r>
      <w:r>
        <w:rPr>
          <w:rFonts w:hint="eastAsia" w:ascii="仿宋_GB2312" w:eastAsia="仿宋_GB2312"/>
          <w:sz w:val="32"/>
          <w:szCs w:val="32"/>
          <w:highlight w:val="none"/>
          <w:lang w:val="en-US" w:eastAsia="zh-CN"/>
        </w:rPr>
        <w:t>2023年人员</w:t>
      </w:r>
      <w:r>
        <w:rPr>
          <w:rFonts w:hint="eastAsia" w:ascii="仿宋_GB2312" w:eastAsia="仿宋_GB2312"/>
          <w:sz w:val="32"/>
          <w:szCs w:val="32"/>
          <w:highlight w:val="none"/>
        </w:rPr>
        <w:t>较202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年增加，机关事业</w:t>
      </w:r>
      <w:r>
        <w:rPr>
          <w:rFonts w:hint="eastAsia" w:ascii="仿宋_GB2312" w:eastAsia="仿宋_GB2312"/>
          <w:sz w:val="32"/>
          <w:szCs w:val="32"/>
          <w:highlight w:val="none"/>
          <w:lang w:eastAsia="zh-CN"/>
        </w:rPr>
        <w:t>单位</w:t>
      </w:r>
      <w:r>
        <w:rPr>
          <w:rFonts w:hint="eastAsia" w:ascii="仿宋_GB2312" w:eastAsia="仿宋_GB2312"/>
          <w:sz w:val="32"/>
          <w:szCs w:val="32"/>
          <w:highlight w:val="none"/>
        </w:rPr>
        <w:t>职业年金缴费支出增加。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11.卫生健康支出（类）公共卫生（款）重大公共卫生服务（项）:支出决算数为23.30万元，比上年决算增加15.30万元，增长191.25%，主要原因是：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年财政加大对医院</w:t>
      </w:r>
      <w:r>
        <w:rPr>
          <w:rFonts w:hint="eastAsia" w:ascii="仿宋_GB2312" w:eastAsia="仿宋_GB2312"/>
          <w:sz w:val="32"/>
          <w:szCs w:val="32"/>
          <w:highlight w:val="none"/>
          <w:lang w:eastAsia="zh-CN"/>
        </w:rPr>
        <w:t>的</w:t>
      </w:r>
      <w:r>
        <w:rPr>
          <w:rFonts w:hint="eastAsia" w:ascii="仿宋_GB2312" w:eastAsia="仿宋_GB2312"/>
          <w:sz w:val="32"/>
          <w:szCs w:val="32"/>
          <w:highlight w:val="none"/>
        </w:rPr>
        <w:t>投入，</w:t>
      </w:r>
      <w:r>
        <w:rPr>
          <w:rFonts w:hint="eastAsia" w:ascii="仿宋_GB2312" w:hAnsi="仿宋_GB2312" w:eastAsia="仿宋_GB2312" w:cs="仿宋_GB2312"/>
          <w:color w:val="auto"/>
          <w:kern w:val="2"/>
          <w:sz w:val="32"/>
          <w:szCs w:val="32"/>
          <w:highlight w:val="none"/>
          <w:lang w:val="en-US" w:eastAsia="zh-CN" w:bidi="ar-SA"/>
        </w:rPr>
        <w:t>重大公共卫生服务</w:t>
      </w:r>
      <w:r>
        <w:rPr>
          <w:rFonts w:hint="eastAsia" w:ascii="仿宋_GB2312" w:eastAsia="仿宋_GB2312"/>
          <w:sz w:val="32"/>
          <w:szCs w:val="32"/>
          <w:highlight w:val="none"/>
        </w:rPr>
        <w:t>专项财政拨款较上年增加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ascii="仿宋_GB2312" w:eastAsia="仿宋_GB2312"/>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12.社会保障和就业支出（类）行政事业单位养老支出（款）机关事业单位基本养老保险缴费支出（项）:支出决算数为512.11万元，比上年决算增加82.64万元，增长19.24%，主要原因是：</w:t>
      </w:r>
      <w:r>
        <w:rPr>
          <w:rFonts w:hint="eastAsia" w:ascii="仿宋_GB2312" w:eastAsia="仿宋_GB2312"/>
          <w:sz w:val="32"/>
          <w:szCs w:val="32"/>
          <w:highlight w:val="none"/>
        </w:rPr>
        <w:t>在职职工工资增加，社保基数增大，机关事业养老保险缴费支出增加。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13.其他支出（类）其他支出（款）其他支出（项）:支出决算数为12.50万元，比上年决算增加7.00万元，增长127.27%，主要原因是：根据2023年工作需要，财政增加其他支出</w:t>
      </w:r>
      <w:r>
        <w:rPr>
          <w:rFonts w:hint="eastAsia" w:ascii="仿宋_GB2312" w:eastAsia="仿宋_GB2312"/>
          <w:sz w:val="32"/>
          <w:szCs w:val="32"/>
          <w:highlight w:val="none"/>
          <w:lang w:eastAsia="zh-CN"/>
        </w:rPr>
        <w:t>项目</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7.00万元，</w:t>
      </w:r>
      <w:r>
        <w:rPr>
          <w:rFonts w:hint="eastAsia" w:ascii="仿宋_GB2312" w:eastAsia="仿宋_GB2312"/>
          <w:sz w:val="32"/>
          <w:szCs w:val="32"/>
          <w:highlight w:val="none"/>
          <w:lang w:eastAsia="zh-CN"/>
        </w:rPr>
        <w:t>其中：沙湾市老沙湾镇南梁新村</w:t>
      </w:r>
      <w:r>
        <w:rPr>
          <w:rFonts w:hint="eastAsia" w:ascii="仿宋_GB2312" w:eastAsia="仿宋_GB2312"/>
          <w:sz w:val="32"/>
          <w:szCs w:val="32"/>
          <w:highlight w:val="none"/>
          <w:lang w:val="en-US" w:eastAsia="zh-CN"/>
        </w:rPr>
        <w:t>为民办实事</w:t>
      </w:r>
      <w:r>
        <w:rPr>
          <w:rFonts w:hint="eastAsia" w:ascii="仿宋_GB2312" w:eastAsia="仿宋_GB2312"/>
          <w:sz w:val="32"/>
          <w:szCs w:val="32"/>
          <w:highlight w:val="none"/>
          <w:lang w:eastAsia="zh-CN"/>
        </w:rPr>
        <w:t>经费支出增加</w:t>
      </w:r>
      <w:r>
        <w:rPr>
          <w:rFonts w:hint="eastAsia" w:ascii="仿宋_GB2312" w:eastAsia="仿宋_GB2312"/>
          <w:sz w:val="32"/>
          <w:szCs w:val="32"/>
          <w:highlight w:val="none"/>
          <w:lang w:val="en-US" w:eastAsia="zh-CN"/>
        </w:rPr>
        <w:t>2.00万元；沙湾市商户地乡杨李村为民办实事经费支出增加5.00万元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卫生健康支出（类）其他卫生健康支出（款）其他卫生健康支出（项）:支出决算数为0.00万元，比上年决算减少525.00万元，下降100%，主要原因是：根据2023年工作需要，财政未安排2020年卫生领域中央基建投资预算（拨款）</w:t>
      </w:r>
      <w:r>
        <w:rPr>
          <w:rFonts w:hint="eastAsia" w:ascii="仿宋_GB2312" w:eastAsia="仿宋_GB2312"/>
          <w:sz w:val="32"/>
          <w:szCs w:val="32"/>
          <w:highlight w:val="none"/>
        </w:rPr>
        <w:t>专项支出</w:t>
      </w:r>
      <w:r>
        <w:rPr>
          <w:rFonts w:hint="eastAsia" w:ascii="仿宋_GB2312" w:eastAsia="仿宋_GB2312"/>
          <w:sz w:val="32"/>
          <w:szCs w:val="32"/>
          <w:highlight w:val="none"/>
          <w:lang w:val="en-US" w:eastAsia="zh-CN"/>
        </w:rPr>
        <w:t>525.00万元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5,880.26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5,859.58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20.68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w:t>
      </w:r>
      <w:r>
        <w:rPr>
          <w:rFonts w:hint="eastAsia" w:ascii="仿宋_GB2312" w:eastAsia="仿宋_GB2312"/>
          <w:sz w:val="32"/>
          <w:szCs w:val="32"/>
          <w:highlight w:val="none"/>
        </w:rPr>
        <w:t>年我单位无财政拨款</w:t>
      </w:r>
      <w:r>
        <w:rPr>
          <w:rFonts w:hint="eastAsia" w:ascii="仿宋_GB2312" w:eastAsia="仿宋_GB2312"/>
          <w:sz w:val="32"/>
          <w:szCs w:val="32"/>
          <w:highlight w:val="none"/>
          <w:lang w:eastAsia="zh-CN"/>
        </w:rPr>
        <w:t>“三公”经费</w:t>
      </w:r>
      <w:r>
        <w:rPr>
          <w:rFonts w:hint="eastAsia" w:ascii="仿宋_GB2312" w:eastAsia="仿宋_GB2312"/>
          <w:sz w:val="32"/>
          <w:szCs w:val="32"/>
          <w:highlight w:val="none"/>
        </w:rPr>
        <w:t>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14辆车，其中特种专业技术用车12辆，其他用车2辆，无公务用车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ascii="仿宋_GB2312" w:eastAsia="仿宋_GB2312"/>
          <w:sz w:val="32"/>
          <w:szCs w:val="32"/>
          <w:highlight w:val="none"/>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政府性基金预算财政拨款收入支出与上年相比，减少3000.00万元,下降100.00%,主要原因是：</w:t>
      </w:r>
      <w:r>
        <w:rPr>
          <w:rFonts w:hint="eastAsia" w:ascii="仿宋_GB2312" w:eastAsia="仿宋_GB2312"/>
          <w:color w:val="auto"/>
          <w:sz w:val="32"/>
          <w:szCs w:val="32"/>
          <w:highlight w:val="none"/>
          <w:lang w:val="en-US" w:eastAsia="zh-CN"/>
        </w:rPr>
        <w:t>本年度本院没有安排购置大型医疗设备及医疗器材支出</w:t>
      </w:r>
      <w:r>
        <w:rPr>
          <w:rFonts w:hint="eastAsia" w:ascii="仿宋_GB2312" w:eastAsia="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政府性基金预算财政拨款支出0.00万元。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1.其他支出（类）其他政府性基金及对应专项债务收入安排的支出（款）其他地方自行试点项目收益专项债券收入安排的支出（项）:支出决算数为0.00万元，比上年决算减少3,000.00万元，下降100%，主要原因是：</w:t>
      </w:r>
      <w:r>
        <w:rPr>
          <w:rFonts w:hint="eastAsia" w:ascii="仿宋_GB2312" w:eastAsia="仿宋_GB2312"/>
          <w:color w:val="auto"/>
          <w:sz w:val="32"/>
          <w:szCs w:val="32"/>
          <w:highlight w:val="none"/>
          <w:lang w:val="en-US" w:eastAsia="zh-CN"/>
        </w:rPr>
        <w:t>本年度本院没有安排购置大型医疗设备及医疗器材支出</w:t>
      </w:r>
      <w:bookmarkStart w:id="48" w:name="_GoBack"/>
      <w:bookmarkEnd w:id="48"/>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沙湾市人民医院（事业单位）公用经费支出20.68万元，</w:t>
      </w:r>
      <w:r>
        <w:rPr>
          <w:rFonts w:hint="eastAsia" w:ascii="仿宋_GB2312" w:hAnsi="仿宋_GB2312" w:eastAsia="仿宋_GB2312" w:cs="仿宋_GB2312"/>
          <w:color w:val="auto"/>
          <w:sz w:val="32"/>
          <w:szCs w:val="32"/>
          <w:highlight w:val="none"/>
          <w:lang w:val="zh-CN" w:eastAsia="zh-CN"/>
        </w:rPr>
        <w:t>比上年增加20.68万元，增长100.00%，主要原因是：</w:t>
      </w:r>
      <w:r>
        <w:rPr>
          <w:rFonts w:hint="eastAsia" w:ascii="仿宋_GB2312" w:hAnsi="仿宋_GB2312" w:eastAsia="仿宋_GB2312" w:cs="仿宋_GB2312"/>
          <w:color w:val="auto"/>
          <w:sz w:val="32"/>
          <w:szCs w:val="32"/>
          <w:highlight w:val="none"/>
          <w:lang w:val="en-US" w:eastAsia="zh-CN"/>
        </w:rPr>
        <w:t>2022年无公用经费支出，2023年增加了工会经费支出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11,846.14万元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其中：政府采购货物支出11,606.64万元、政府采购工程支出35.00万元、政府采购服务支出204.50万元。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授予中小企业合同金额11,846.14万元，占政府采购支出总额的100.00%，其中：授予小微企业合同金额634.75万元，占政府采购支出总额的5.36%</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color w:val="auto"/>
          <w:sz w:val="32"/>
          <w:szCs w:val="30"/>
          <w:highlight w:val="none"/>
          <w:lang w:val="zh-CN" w:eastAsia="zh-CN"/>
        </w:rPr>
      </w:pPr>
      <w:bookmarkStart w:id="26" w:name="_Toc8391"/>
      <w:bookmarkStart w:id="27" w:name="_Toc4591"/>
      <w:r>
        <w:rPr>
          <w:rFonts w:hint="eastAsia" w:ascii="黑体" w:hAnsi="黑体" w:eastAsia="黑体" w:cs="黑体"/>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47,157.54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屋61,347.89平方米，价值22,974.88万元。车辆14辆，价值423.79万元，其中：副部（省）级及以上领导用车0辆、主要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用车0辆、机要通信用车0辆、应急保障用车0辆、执法执勤用车0辆、特种专业技术用车12辆、离退休干部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eastAsia="仿宋_GB2312"/>
          <w:sz w:val="32"/>
          <w:szCs w:val="32"/>
          <w:highlight w:val="none"/>
        </w:rPr>
        <w:t>为我院接送上级专家及本院医疗下乡组医生、护理人员车辆</w:t>
      </w:r>
      <w:r>
        <w:rPr>
          <w:rFonts w:hint="eastAsia" w:ascii="仿宋_GB2312" w:hAnsi="仿宋_GB2312" w:eastAsia="仿宋_GB2312" w:cs="仿宋_GB2312"/>
          <w:color w:val="auto"/>
          <w:sz w:val="32"/>
          <w:szCs w:val="32"/>
          <w:highlight w:val="none"/>
          <w:lang w:val="zh-CN" w:eastAsia="zh-CN"/>
        </w:rPr>
        <w:t>；单价100万元（含）以上设备（不含车辆）34</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预算总额7622.08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实际执行总额7622.08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全年预算数1741.82万元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全年执行数1741.82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w:t>
      </w:r>
      <w:r>
        <w:rPr>
          <w:rFonts w:hint="eastAsia" w:ascii="仿宋_GB2312" w:eastAsia="仿宋_GB2312"/>
          <w:color w:val="auto"/>
          <w:sz w:val="32"/>
          <w:szCs w:val="32"/>
          <w:lang w:eastAsia="zh-CN"/>
        </w:rPr>
        <w:t>本单位sm项目</w:t>
      </w:r>
      <w:r>
        <w:rPr>
          <w:rFonts w:hint="eastAsia" w:ascii="仿宋_GB2312" w:eastAsia="仿宋_GB2312"/>
          <w:color w:val="auto"/>
          <w:sz w:val="32"/>
          <w:szCs w:val="32"/>
          <w:lang w:val="en-US" w:eastAsia="zh-CN"/>
        </w:rPr>
        <w:t>3</w:t>
      </w:r>
      <w:r>
        <w:rPr>
          <w:rFonts w:hint="eastAsia" w:ascii="仿宋_GB2312" w:eastAsia="仿宋_GB2312"/>
          <w:color w:val="auto"/>
          <w:sz w:val="32"/>
          <w:szCs w:val="32"/>
          <w:lang w:eastAsia="zh-CN"/>
        </w:rPr>
        <w:t>个，全年预算数</w:t>
      </w:r>
      <w:r>
        <w:rPr>
          <w:rFonts w:hint="eastAsia" w:ascii="仿宋_GB2312" w:eastAsia="仿宋_GB2312"/>
          <w:color w:val="auto"/>
          <w:sz w:val="32"/>
          <w:szCs w:val="32"/>
          <w:lang w:val="en-US" w:eastAsia="zh-CN"/>
        </w:rPr>
        <w:t>37.3</w:t>
      </w:r>
      <w:r>
        <w:rPr>
          <w:rFonts w:hint="eastAsia" w:ascii="仿宋_GB2312" w:eastAsia="仿宋_GB2312"/>
          <w:color w:val="auto"/>
          <w:sz w:val="32"/>
          <w:szCs w:val="32"/>
          <w:lang w:eastAsia="zh-CN"/>
        </w:rPr>
        <w:t>万元，全年执行数</w:t>
      </w:r>
      <w:r>
        <w:rPr>
          <w:rFonts w:hint="eastAsia" w:ascii="仿宋_GB2312" w:eastAsia="仿宋_GB2312"/>
          <w:color w:val="auto"/>
          <w:sz w:val="32"/>
          <w:szCs w:val="32"/>
          <w:lang w:val="en-US" w:eastAsia="zh-CN"/>
        </w:rPr>
        <w:t>37.3</w:t>
      </w:r>
      <w:r>
        <w:rPr>
          <w:rFonts w:hint="eastAsia" w:ascii="仿宋_GB2312" w:eastAsia="仿宋_GB2312"/>
          <w:color w:val="auto"/>
          <w:sz w:val="32"/>
          <w:szCs w:val="32"/>
          <w:lang w:eastAsia="zh-CN"/>
        </w:rPr>
        <w:t>万元，不予以公开。</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rPr>
        <w:t>一是项目绩效理念能够得到进一步强化。医院通过绩效项目工作的开展，加强了医院项目预算绩效管理，有效解决传统财政拨款资金利用率低下的问题，不断提升资金分配的科学合理性，促使医院资金利用发挥出更大的作用价值；二是项目预算管理水平能够得到进一步提升，提高医院资金利用效益</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rPr>
        <w:t>一是</w:t>
      </w:r>
      <w:r>
        <w:rPr>
          <w:rFonts w:hint="eastAsia" w:ascii="仿宋_GB2312" w:hAnsi="仿宋_GB2312" w:eastAsia="仿宋_GB2312" w:cs="仿宋_GB2312"/>
          <w:sz w:val="32"/>
          <w:szCs w:val="32"/>
          <w:highlight w:val="none"/>
        </w:rPr>
        <w:t>预算绩效管理缺乏系统的培训，造成预算绩效管理指导不到位、认识不到位，理解不充分，对预算绩效管理工作重点把握不到位</w:t>
      </w:r>
      <w:r>
        <w:rPr>
          <w:rFonts w:hint="eastAsia" w:ascii="仿宋_GB2312" w:eastAsia="仿宋_GB2312"/>
          <w:sz w:val="32"/>
          <w:szCs w:val="32"/>
          <w:highlight w:val="none"/>
        </w:rPr>
        <w:t>；二是</w:t>
      </w:r>
      <w:r>
        <w:rPr>
          <w:rFonts w:hint="eastAsia" w:ascii="仿宋_GB2312" w:hAnsi="仿宋_GB2312" w:eastAsia="仿宋_GB2312" w:cs="仿宋_GB2312"/>
          <w:sz w:val="32"/>
          <w:szCs w:val="32"/>
          <w:highlight w:val="none"/>
        </w:rPr>
        <w:t>落实预算执行分析、了解预算执行差异不够科学,不能及时调整、纠正预算执行偏差，需逐步提高部门预算收支管理水平</w:t>
      </w:r>
      <w:r>
        <w:rPr>
          <w:rFonts w:hint="eastAsia" w:ascii="仿宋_GB2312" w:eastAsia="仿宋_GB2312"/>
          <w:color w:val="auto"/>
          <w:sz w:val="32"/>
          <w:szCs w:val="32"/>
          <w:highlight w:val="none"/>
          <w:lang w:eastAsia="zh-CN"/>
        </w:rPr>
        <w:t>。下一步改进措施：一是</w:t>
      </w:r>
      <w:r>
        <w:rPr>
          <w:rFonts w:hint="eastAsia" w:ascii="仿宋_GB2312" w:hAnsi="仿宋_GB2312" w:eastAsia="仿宋_GB2312" w:cs="仿宋_GB2312"/>
          <w:sz w:val="32"/>
          <w:szCs w:val="32"/>
          <w:highlight w:val="none"/>
        </w:rPr>
        <w:t>树立绩效理念。院委会、财务科和个临床功能科室相互沟通，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r>
        <w:rPr>
          <w:rFonts w:hint="eastAsia" w:ascii="仿宋_GB2312" w:eastAsia="仿宋_GB2312"/>
          <w:color w:val="auto"/>
          <w:sz w:val="32"/>
          <w:szCs w:val="32"/>
          <w:highlight w:val="none"/>
          <w:lang w:eastAsia="zh-CN"/>
        </w:rPr>
        <w:t>；二是</w:t>
      </w:r>
      <w:r>
        <w:rPr>
          <w:rFonts w:hint="eastAsia" w:ascii="仿宋_GB2312" w:hAnsi="仿宋_GB2312" w:eastAsia="仿宋_GB2312" w:cs="仿宋_GB2312"/>
          <w:sz w:val="32"/>
          <w:szCs w:val="32"/>
          <w:highlight w:val="none"/>
        </w:rPr>
        <w:t>.强化责任意识。通过绩效评价，考核各科室绩效目标实际完成情况和取得的成效，并与下年度预算安排挂钩，用财要问效，无效要问责，在一定程度上强化了单位整体和各科室的自我约束意识和责任意识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ind w:firstLine="640" w:firstLineChars="200"/>
        <w:rPr>
          <w:rFonts w:hint="eastAsia" w:ascii="仿宋_GB2312" w:eastAsia="仿宋_GB2312"/>
          <w:color w:val="auto"/>
          <w:sz w:val="32"/>
          <w:szCs w:val="32"/>
          <w:lang w:val="en-US" w:eastAsia="zh-CN"/>
        </w:rPr>
      </w:pPr>
      <w:bookmarkStart w:id="30" w:name="_Toc24143"/>
      <w:bookmarkStart w:id="31" w:name="_Toc3250"/>
      <w:r>
        <w:rPr>
          <w:rFonts w:hint="eastAsia" w:ascii="仿宋_GB2312" w:eastAsia="仿宋_GB2312"/>
          <w:color w:val="auto"/>
          <w:sz w:val="32"/>
          <w:szCs w:val="32"/>
          <w:lang w:eastAsia="zh-CN"/>
        </w:rPr>
        <w:t>本单位sm项目</w:t>
      </w:r>
      <w:r>
        <w:rPr>
          <w:rFonts w:hint="eastAsia" w:ascii="仿宋_GB2312" w:eastAsia="仿宋_GB2312"/>
          <w:color w:val="auto"/>
          <w:sz w:val="32"/>
          <w:szCs w:val="32"/>
          <w:lang w:val="en-US" w:eastAsia="zh-CN"/>
        </w:rPr>
        <w:t>3</w:t>
      </w:r>
      <w:r>
        <w:rPr>
          <w:rFonts w:hint="eastAsia" w:ascii="仿宋_GB2312" w:eastAsia="仿宋_GB2312"/>
          <w:color w:val="auto"/>
          <w:sz w:val="32"/>
          <w:szCs w:val="32"/>
          <w:lang w:eastAsia="zh-CN"/>
        </w:rPr>
        <w:t>个，全年预算数</w:t>
      </w:r>
      <w:r>
        <w:rPr>
          <w:rFonts w:hint="eastAsia" w:ascii="仿宋_GB2312" w:eastAsia="仿宋_GB2312"/>
          <w:color w:val="auto"/>
          <w:sz w:val="32"/>
          <w:szCs w:val="32"/>
          <w:lang w:val="en-US" w:eastAsia="zh-CN"/>
        </w:rPr>
        <w:t>37.3</w:t>
      </w:r>
      <w:r>
        <w:rPr>
          <w:rFonts w:hint="eastAsia" w:ascii="仿宋_GB2312" w:eastAsia="仿宋_GB2312"/>
          <w:color w:val="auto"/>
          <w:sz w:val="32"/>
          <w:szCs w:val="32"/>
          <w:lang w:eastAsia="zh-CN"/>
        </w:rPr>
        <w:t>万元，全年执行数</w:t>
      </w:r>
      <w:r>
        <w:rPr>
          <w:rFonts w:hint="eastAsia" w:ascii="仿宋_GB2312" w:eastAsia="仿宋_GB2312"/>
          <w:color w:val="auto"/>
          <w:sz w:val="32"/>
          <w:szCs w:val="32"/>
          <w:lang w:val="en-US" w:eastAsia="zh-CN"/>
        </w:rPr>
        <w:t>37.3</w:t>
      </w:r>
      <w:r>
        <w:rPr>
          <w:rFonts w:hint="eastAsia" w:ascii="仿宋_GB2312" w:eastAsia="仿宋_GB2312"/>
          <w:color w:val="auto"/>
          <w:sz w:val="32"/>
          <w:szCs w:val="32"/>
          <w:lang w:eastAsia="zh-CN"/>
        </w:rPr>
        <w:t>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8C4773"/>
    <w:rsid w:val="00B70D59"/>
    <w:rsid w:val="00DB4ACE"/>
    <w:rsid w:val="00F52A8D"/>
    <w:rsid w:val="012E05F1"/>
    <w:rsid w:val="019404F8"/>
    <w:rsid w:val="01C30B6B"/>
    <w:rsid w:val="01ED22F2"/>
    <w:rsid w:val="02BD3108"/>
    <w:rsid w:val="02CC421E"/>
    <w:rsid w:val="02F73D26"/>
    <w:rsid w:val="034D4FEF"/>
    <w:rsid w:val="035D1785"/>
    <w:rsid w:val="039F47CE"/>
    <w:rsid w:val="03BD5310"/>
    <w:rsid w:val="03E05CE8"/>
    <w:rsid w:val="03F973EE"/>
    <w:rsid w:val="040414BE"/>
    <w:rsid w:val="041E2451"/>
    <w:rsid w:val="043E5B56"/>
    <w:rsid w:val="04C04386"/>
    <w:rsid w:val="04D1736D"/>
    <w:rsid w:val="04D96608"/>
    <w:rsid w:val="04DD3204"/>
    <w:rsid w:val="04F210E4"/>
    <w:rsid w:val="04FA68C4"/>
    <w:rsid w:val="05386233"/>
    <w:rsid w:val="053F5AE6"/>
    <w:rsid w:val="057C0B0F"/>
    <w:rsid w:val="05EF4B48"/>
    <w:rsid w:val="05F76ECA"/>
    <w:rsid w:val="06183A24"/>
    <w:rsid w:val="06792773"/>
    <w:rsid w:val="06A94FAB"/>
    <w:rsid w:val="06E26DEB"/>
    <w:rsid w:val="06FD75CA"/>
    <w:rsid w:val="07093795"/>
    <w:rsid w:val="07804730"/>
    <w:rsid w:val="079052BE"/>
    <w:rsid w:val="07D76969"/>
    <w:rsid w:val="08145C21"/>
    <w:rsid w:val="083A7EF1"/>
    <w:rsid w:val="08422688"/>
    <w:rsid w:val="085854ED"/>
    <w:rsid w:val="0879188F"/>
    <w:rsid w:val="08A0354D"/>
    <w:rsid w:val="08A13C26"/>
    <w:rsid w:val="08CD4C49"/>
    <w:rsid w:val="09114954"/>
    <w:rsid w:val="0957472D"/>
    <w:rsid w:val="095A5B83"/>
    <w:rsid w:val="096466E3"/>
    <w:rsid w:val="0968304D"/>
    <w:rsid w:val="097A3962"/>
    <w:rsid w:val="09AF3D17"/>
    <w:rsid w:val="0A7809B7"/>
    <w:rsid w:val="0A7B4867"/>
    <w:rsid w:val="0A840954"/>
    <w:rsid w:val="0A9928ED"/>
    <w:rsid w:val="0B61769D"/>
    <w:rsid w:val="0B8C3ECC"/>
    <w:rsid w:val="0B9C639D"/>
    <w:rsid w:val="0BA431A7"/>
    <w:rsid w:val="0BB052B2"/>
    <w:rsid w:val="0BD33FFC"/>
    <w:rsid w:val="0BE97AC1"/>
    <w:rsid w:val="0C1C4780"/>
    <w:rsid w:val="0C3613A3"/>
    <w:rsid w:val="0C5E519C"/>
    <w:rsid w:val="0C7227A7"/>
    <w:rsid w:val="0CA52EE8"/>
    <w:rsid w:val="0CB56867"/>
    <w:rsid w:val="0CBD6988"/>
    <w:rsid w:val="0CD208AC"/>
    <w:rsid w:val="0D172DAA"/>
    <w:rsid w:val="0D4903E8"/>
    <w:rsid w:val="0D7A4A46"/>
    <w:rsid w:val="0DD6470C"/>
    <w:rsid w:val="0DDD58DF"/>
    <w:rsid w:val="0E052C33"/>
    <w:rsid w:val="0E311532"/>
    <w:rsid w:val="0E640559"/>
    <w:rsid w:val="0E994E2C"/>
    <w:rsid w:val="0F1113DA"/>
    <w:rsid w:val="0F78534A"/>
    <w:rsid w:val="0F89358A"/>
    <w:rsid w:val="0F8C6D51"/>
    <w:rsid w:val="0FCF7D7A"/>
    <w:rsid w:val="10142F30"/>
    <w:rsid w:val="105B0B5E"/>
    <w:rsid w:val="10973F44"/>
    <w:rsid w:val="112E58D0"/>
    <w:rsid w:val="11731CAC"/>
    <w:rsid w:val="119500A0"/>
    <w:rsid w:val="11C0733B"/>
    <w:rsid w:val="11C25C30"/>
    <w:rsid w:val="11D50D17"/>
    <w:rsid w:val="120E0809"/>
    <w:rsid w:val="127D2E4C"/>
    <w:rsid w:val="127F665A"/>
    <w:rsid w:val="12F7068C"/>
    <w:rsid w:val="130F66DC"/>
    <w:rsid w:val="13191A65"/>
    <w:rsid w:val="14207DC0"/>
    <w:rsid w:val="142F76A5"/>
    <w:rsid w:val="145065B5"/>
    <w:rsid w:val="14B932DA"/>
    <w:rsid w:val="150A66AF"/>
    <w:rsid w:val="150C4045"/>
    <w:rsid w:val="154C1139"/>
    <w:rsid w:val="158C5B77"/>
    <w:rsid w:val="15D849FF"/>
    <w:rsid w:val="15EF20C7"/>
    <w:rsid w:val="15F51C7C"/>
    <w:rsid w:val="160D1149"/>
    <w:rsid w:val="163563C0"/>
    <w:rsid w:val="164315EF"/>
    <w:rsid w:val="16557DFE"/>
    <w:rsid w:val="167268FB"/>
    <w:rsid w:val="16770D0A"/>
    <w:rsid w:val="169A0039"/>
    <w:rsid w:val="169B5E23"/>
    <w:rsid w:val="16D50C50"/>
    <w:rsid w:val="16E120E1"/>
    <w:rsid w:val="16FB2182"/>
    <w:rsid w:val="17385A05"/>
    <w:rsid w:val="173B3901"/>
    <w:rsid w:val="176747F9"/>
    <w:rsid w:val="17954A6E"/>
    <w:rsid w:val="17BE2C86"/>
    <w:rsid w:val="17F11DA8"/>
    <w:rsid w:val="180059E9"/>
    <w:rsid w:val="184510FD"/>
    <w:rsid w:val="18D31BC4"/>
    <w:rsid w:val="190648B0"/>
    <w:rsid w:val="19071D6C"/>
    <w:rsid w:val="19463BBA"/>
    <w:rsid w:val="19B2688E"/>
    <w:rsid w:val="19D26CD4"/>
    <w:rsid w:val="19E34C4E"/>
    <w:rsid w:val="19E60D19"/>
    <w:rsid w:val="19FD6DEB"/>
    <w:rsid w:val="1A3E3450"/>
    <w:rsid w:val="1A672EA1"/>
    <w:rsid w:val="1A9D6E7D"/>
    <w:rsid w:val="1ABD2E55"/>
    <w:rsid w:val="1AD807E5"/>
    <w:rsid w:val="1B39345B"/>
    <w:rsid w:val="1B9133C8"/>
    <w:rsid w:val="1BB11F7A"/>
    <w:rsid w:val="1BFB2A1F"/>
    <w:rsid w:val="1C015D4A"/>
    <w:rsid w:val="1C290ED5"/>
    <w:rsid w:val="1C317E4F"/>
    <w:rsid w:val="1C472464"/>
    <w:rsid w:val="1D22799A"/>
    <w:rsid w:val="1D5C1A72"/>
    <w:rsid w:val="1DAF458D"/>
    <w:rsid w:val="1DB72D4D"/>
    <w:rsid w:val="1DB92157"/>
    <w:rsid w:val="1E086ACE"/>
    <w:rsid w:val="1E62130A"/>
    <w:rsid w:val="1E6327CF"/>
    <w:rsid w:val="1E97358B"/>
    <w:rsid w:val="1EAA4A5F"/>
    <w:rsid w:val="1EE869A7"/>
    <w:rsid w:val="1F10022E"/>
    <w:rsid w:val="1F3F37CF"/>
    <w:rsid w:val="1FA15E62"/>
    <w:rsid w:val="1FED69B6"/>
    <w:rsid w:val="2064678E"/>
    <w:rsid w:val="20A976C4"/>
    <w:rsid w:val="20DC1AB9"/>
    <w:rsid w:val="20DD6197"/>
    <w:rsid w:val="212631E0"/>
    <w:rsid w:val="2138666F"/>
    <w:rsid w:val="21742080"/>
    <w:rsid w:val="21A53757"/>
    <w:rsid w:val="21F879E1"/>
    <w:rsid w:val="221236C6"/>
    <w:rsid w:val="22205764"/>
    <w:rsid w:val="22746369"/>
    <w:rsid w:val="22D7662C"/>
    <w:rsid w:val="23326B7F"/>
    <w:rsid w:val="23543055"/>
    <w:rsid w:val="236A59E0"/>
    <w:rsid w:val="2380045B"/>
    <w:rsid w:val="23BC04D2"/>
    <w:rsid w:val="23D0134E"/>
    <w:rsid w:val="23EF1892"/>
    <w:rsid w:val="24513327"/>
    <w:rsid w:val="2483647E"/>
    <w:rsid w:val="24A32D55"/>
    <w:rsid w:val="24CE6D9A"/>
    <w:rsid w:val="251C1704"/>
    <w:rsid w:val="25292727"/>
    <w:rsid w:val="252E5CA9"/>
    <w:rsid w:val="255401AF"/>
    <w:rsid w:val="256F7692"/>
    <w:rsid w:val="25BA2154"/>
    <w:rsid w:val="25C8773F"/>
    <w:rsid w:val="26235823"/>
    <w:rsid w:val="264A7253"/>
    <w:rsid w:val="26960BDD"/>
    <w:rsid w:val="26B32FC4"/>
    <w:rsid w:val="26F0170C"/>
    <w:rsid w:val="26FE3B9A"/>
    <w:rsid w:val="27201D62"/>
    <w:rsid w:val="27286E73"/>
    <w:rsid w:val="27CF2642"/>
    <w:rsid w:val="27E777F5"/>
    <w:rsid w:val="27EA1D4C"/>
    <w:rsid w:val="27EA2E41"/>
    <w:rsid w:val="282459E2"/>
    <w:rsid w:val="283A7FE5"/>
    <w:rsid w:val="285F51FF"/>
    <w:rsid w:val="28863BEA"/>
    <w:rsid w:val="28A061B0"/>
    <w:rsid w:val="28DA4193"/>
    <w:rsid w:val="28DF2665"/>
    <w:rsid w:val="29072599"/>
    <w:rsid w:val="291029F3"/>
    <w:rsid w:val="29CB58F0"/>
    <w:rsid w:val="2A053397"/>
    <w:rsid w:val="2A145E96"/>
    <w:rsid w:val="2A2131BB"/>
    <w:rsid w:val="2A6160D4"/>
    <w:rsid w:val="2A9812A7"/>
    <w:rsid w:val="2AF5378F"/>
    <w:rsid w:val="2BB94DBF"/>
    <w:rsid w:val="2BD87CA9"/>
    <w:rsid w:val="2BF37410"/>
    <w:rsid w:val="2C1F2736"/>
    <w:rsid w:val="2C6F314E"/>
    <w:rsid w:val="2CC206BE"/>
    <w:rsid w:val="2D1136DF"/>
    <w:rsid w:val="2D20606D"/>
    <w:rsid w:val="2D285C57"/>
    <w:rsid w:val="2D6729FE"/>
    <w:rsid w:val="2DB87198"/>
    <w:rsid w:val="2DB93C54"/>
    <w:rsid w:val="2E3D144C"/>
    <w:rsid w:val="2E891204"/>
    <w:rsid w:val="2EA67F5F"/>
    <w:rsid w:val="2EB0799E"/>
    <w:rsid w:val="2F250B8D"/>
    <w:rsid w:val="2F3F0A28"/>
    <w:rsid w:val="2FBF7029"/>
    <w:rsid w:val="2FD0187F"/>
    <w:rsid w:val="2FD27414"/>
    <w:rsid w:val="2FFE4BB0"/>
    <w:rsid w:val="300E7B60"/>
    <w:rsid w:val="300F6E18"/>
    <w:rsid w:val="302A4DC1"/>
    <w:rsid w:val="30862F5F"/>
    <w:rsid w:val="30A4775A"/>
    <w:rsid w:val="30B30F92"/>
    <w:rsid w:val="314029C9"/>
    <w:rsid w:val="31C63837"/>
    <w:rsid w:val="31C82E39"/>
    <w:rsid w:val="321416CA"/>
    <w:rsid w:val="32601BAD"/>
    <w:rsid w:val="32796AC5"/>
    <w:rsid w:val="329F6389"/>
    <w:rsid w:val="336011D5"/>
    <w:rsid w:val="3389023A"/>
    <w:rsid w:val="338B331E"/>
    <w:rsid w:val="33A05842"/>
    <w:rsid w:val="33AA0541"/>
    <w:rsid w:val="33CB74FA"/>
    <w:rsid w:val="343119DC"/>
    <w:rsid w:val="343642F2"/>
    <w:rsid w:val="343F3010"/>
    <w:rsid w:val="345D0A00"/>
    <w:rsid w:val="34713BFD"/>
    <w:rsid w:val="34C13589"/>
    <w:rsid w:val="353369E3"/>
    <w:rsid w:val="35B21E0B"/>
    <w:rsid w:val="35D6317D"/>
    <w:rsid w:val="35E00D72"/>
    <w:rsid w:val="35E27B71"/>
    <w:rsid w:val="36965B9D"/>
    <w:rsid w:val="369A5B85"/>
    <w:rsid w:val="36C52B6C"/>
    <w:rsid w:val="36C549FD"/>
    <w:rsid w:val="36DE1254"/>
    <w:rsid w:val="37A755DD"/>
    <w:rsid w:val="37F33BFE"/>
    <w:rsid w:val="37F94FA0"/>
    <w:rsid w:val="380D3381"/>
    <w:rsid w:val="38115B1F"/>
    <w:rsid w:val="38394C4C"/>
    <w:rsid w:val="385E3AC3"/>
    <w:rsid w:val="387D6B9E"/>
    <w:rsid w:val="38B75FF0"/>
    <w:rsid w:val="38D45016"/>
    <w:rsid w:val="38D90432"/>
    <w:rsid w:val="38EC7A9D"/>
    <w:rsid w:val="38FD39E0"/>
    <w:rsid w:val="390E4110"/>
    <w:rsid w:val="3914510A"/>
    <w:rsid w:val="3926770B"/>
    <w:rsid w:val="395967DC"/>
    <w:rsid w:val="39740E09"/>
    <w:rsid w:val="3982065B"/>
    <w:rsid w:val="398D3668"/>
    <w:rsid w:val="39C329D6"/>
    <w:rsid w:val="39DA0497"/>
    <w:rsid w:val="3A0D71C9"/>
    <w:rsid w:val="3A893816"/>
    <w:rsid w:val="3A893B6D"/>
    <w:rsid w:val="3AD1763A"/>
    <w:rsid w:val="3B0F21EC"/>
    <w:rsid w:val="3B196883"/>
    <w:rsid w:val="3B6716E3"/>
    <w:rsid w:val="3B6C6B2D"/>
    <w:rsid w:val="3C242659"/>
    <w:rsid w:val="3C4C173C"/>
    <w:rsid w:val="3C96719C"/>
    <w:rsid w:val="3CA72BE8"/>
    <w:rsid w:val="3CB2766F"/>
    <w:rsid w:val="3CDC1E1E"/>
    <w:rsid w:val="3CF37F8C"/>
    <w:rsid w:val="3D137554"/>
    <w:rsid w:val="3D211F38"/>
    <w:rsid w:val="3D5275AC"/>
    <w:rsid w:val="3DCC2473"/>
    <w:rsid w:val="3DEB0883"/>
    <w:rsid w:val="3E090464"/>
    <w:rsid w:val="3E2527BF"/>
    <w:rsid w:val="3E70484C"/>
    <w:rsid w:val="3E731662"/>
    <w:rsid w:val="3E8168DD"/>
    <w:rsid w:val="3EA7725F"/>
    <w:rsid w:val="3EB03713"/>
    <w:rsid w:val="3EB97588"/>
    <w:rsid w:val="3EBF1A11"/>
    <w:rsid w:val="3EC52607"/>
    <w:rsid w:val="3EEC6CEF"/>
    <w:rsid w:val="3F183429"/>
    <w:rsid w:val="3FB77A1D"/>
    <w:rsid w:val="3FDC3674"/>
    <w:rsid w:val="3FED7F8A"/>
    <w:rsid w:val="40094AEF"/>
    <w:rsid w:val="400E3644"/>
    <w:rsid w:val="405470BD"/>
    <w:rsid w:val="40794A29"/>
    <w:rsid w:val="40834692"/>
    <w:rsid w:val="408B7913"/>
    <w:rsid w:val="41230F8E"/>
    <w:rsid w:val="412A0477"/>
    <w:rsid w:val="41431AD5"/>
    <w:rsid w:val="414B3C0F"/>
    <w:rsid w:val="417C1CE7"/>
    <w:rsid w:val="41900018"/>
    <w:rsid w:val="41944406"/>
    <w:rsid w:val="41CE128F"/>
    <w:rsid w:val="41DA6F12"/>
    <w:rsid w:val="42171FB1"/>
    <w:rsid w:val="42937435"/>
    <w:rsid w:val="42C10D7B"/>
    <w:rsid w:val="43396589"/>
    <w:rsid w:val="43456B70"/>
    <w:rsid w:val="434E6957"/>
    <w:rsid w:val="438660D8"/>
    <w:rsid w:val="43BA0E31"/>
    <w:rsid w:val="43C15147"/>
    <w:rsid w:val="43E14DD2"/>
    <w:rsid w:val="43F800E9"/>
    <w:rsid w:val="443A7E4B"/>
    <w:rsid w:val="444A7D08"/>
    <w:rsid w:val="447F300D"/>
    <w:rsid w:val="450E6E58"/>
    <w:rsid w:val="45297549"/>
    <w:rsid w:val="452F5B3A"/>
    <w:rsid w:val="454E7FD2"/>
    <w:rsid w:val="45933E8A"/>
    <w:rsid w:val="46061BDC"/>
    <w:rsid w:val="461404F8"/>
    <w:rsid w:val="46413018"/>
    <w:rsid w:val="464B7E04"/>
    <w:rsid w:val="468041AA"/>
    <w:rsid w:val="468123C6"/>
    <w:rsid w:val="46901EEE"/>
    <w:rsid w:val="469C74D2"/>
    <w:rsid w:val="473A6169"/>
    <w:rsid w:val="47445515"/>
    <w:rsid w:val="474B4782"/>
    <w:rsid w:val="47D90D14"/>
    <w:rsid w:val="47DD11F5"/>
    <w:rsid w:val="47DE1152"/>
    <w:rsid w:val="48387FB0"/>
    <w:rsid w:val="483A6114"/>
    <w:rsid w:val="484D53FA"/>
    <w:rsid w:val="485F2F9B"/>
    <w:rsid w:val="488727DB"/>
    <w:rsid w:val="48B82268"/>
    <w:rsid w:val="48C354B3"/>
    <w:rsid w:val="48FB0348"/>
    <w:rsid w:val="490D18E7"/>
    <w:rsid w:val="492C70D7"/>
    <w:rsid w:val="493D58B5"/>
    <w:rsid w:val="494A7A04"/>
    <w:rsid w:val="49605EF7"/>
    <w:rsid w:val="49E36640"/>
    <w:rsid w:val="4A0A26D2"/>
    <w:rsid w:val="4A2019A5"/>
    <w:rsid w:val="4A241A0B"/>
    <w:rsid w:val="4A2879BE"/>
    <w:rsid w:val="4A5C2BD7"/>
    <w:rsid w:val="4A7B2875"/>
    <w:rsid w:val="4A934476"/>
    <w:rsid w:val="4AAA220A"/>
    <w:rsid w:val="4AE12E67"/>
    <w:rsid w:val="4B1035EC"/>
    <w:rsid w:val="4B4C0111"/>
    <w:rsid w:val="4B8553A9"/>
    <w:rsid w:val="4BDB3730"/>
    <w:rsid w:val="4C00513D"/>
    <w:rsid w:val="4C200F7A"/>
    <w:rsid w:val="4C411429"/>
    <w:rsid w:val="4CD20D6B"/>
    <w:rsid w:val="4CEE3180"/>
    <w:rsid w:val="4D084E73"/>
    <w:rsid w:val="4D0F4AF6"/>
    <w:rsid w:val="4D5F1E73"/>
    <w:rsid w:val="4DF94F37"/>
    <w:rsid w:val="4E0A1DD5"/>
    <w:rsid w:val="4E3160E5"/>
    <w:rsid w:val="4E4D37AF"/>
    <w:rsid w:val="4E8C6496"/>
    <w:rsid w:val="4EFD18DE"/>
    <w:rsid w:val="4F144236"/>
    <w:rsid w:val="4F663C87"/>
    <w:rsid w:val="4F7E29A8"/>
    <w:rsid w:val="4F9E1FFC"/>
    <w:rsid w:val="50447CC2"/>
    <w:rsid w:val="50502628"/>
    <w:rsid w:val="50844624"/>
    <w:rsid w:val="50874A7C"/>
    <w:rsid w:val="50895EE7"/>
    <w:rsid w:val="50921B9D"/>
    <w:rsid w:val="50D16158"/>
    <w:rsid w:val="50DB5F45"/>
    <w:rsid w:val="51025EB1"/>
    <w:rsid w:val="51141503"/>
    <w:rsid w:val="513C450E"/>
    <w:rsid w:val="515A1145"/>
    <w:rsid w:val="518B2046"/>
    <w:rsid w:val="518D0ED5"/>
    <w:rsid w:val="520C0506"/>
    <w:rsid w:val="525C687F"/>
    <w:rsid w:val="529A7883"/>
    <w:rsid w:val="52A3740A"/>
    <w:rsid w:val="52F647F7"/>
    <w:rsid w:val="52F92565"/>
    <w:rsid w:val="53636A9A"/>
    <w:rsid w:val="53A25625"/>
    <w:rsid w:val="53AE735E"/>
    <w:rsid w:val="53D03877"/>
    <w:rsid w:val="542F73CA"/>
    <w:rsid w:val="5430786D"/>
    <w:rsid w:val="544653B1"/>
    <w:rsid w:val="545A1D2A"/>
    <w:rsid w:val="54C811C0"/>
    <w:rsid w:val="551321A2"/>
    <w:rsid w:val="556A442D"/>
    <w:rsid w:val="55BD684B"/>
    <w:rsid w:val="55DA564E"/>
    <w:rsid w:val="55E816A3"/>
    <w:rsid w:val="5604127D"/>
    <w:rsid w:val="56044E6C"/>
    <w:rsid w:val="56166703"/>
    <w:rsid w:val="56510474"/>
    <w:rsid w:val="56861525"/>
    <w:rsid w:val="56A158D8"/>
    <w:rsid w:val="56A93273"/>
    <w:rsid w:val="56BD550C"/>
    <w:rsid w:val="56E07045"/>
    <w:rsid w:val="56FF28AF"/>
    <w:rsid w:val="571017D7"/>
    <w:rsid w:val="57540E7D"/>
    <w:rsid w:val="576B4F21"/>
    <w:rsid w:val="577B4878"/>
    <w:rsid w:val="57926973"/>
    <w:rsid w:val="57D1482F"/>
    <w:rsid w:val="58175352"/>
    <w:rsid w:val="581F2200"/>
    <w:rsid w:val="583059FA"/>
    <w:rsid w:val="584A0929"/>
    <w:rsid w:val="5854137A"/>
    <w:rsid w:val="58A03E85"/>
    <w:rsid w:val="58CD2491"/>
    <w:rsid w:val="591B41B2"/>
    <w:rsid w:val="59254A26"/>
    <w:rsid w:val="59326325"/>
    <w:rsid w:val="595C505B"/>
    <w:rsid w:val="595E55C3"/>
    <w:rsid w:val="596E7E20"/>
    <w:rsid w:val="5A5D23AA"/>
    <w:rsid w:val="5A60780B"/>
    <w:rsid w:val="5AB34579"/>
    <w:rsid w:val="5AB40E78"/>
    <w:rsid w:val="5AF80B40"/>
    <w:rsid w:val="5AFC6609"/>
    <w:rsid w:val="5B113480"/>
    <w:rsid w:val="5B4138C2"/>
    <w:rsid w:val="5BD456CE"/>
    <w:rsid w:val="5C0D1F49"/>
    <w:rsid w:val="5CBB0CE2"/>
    <w:rsid w:val="5CC17177"/>
    <w:rsid w:val="5CF306BC"/>
    <w:rsid w:val="5D3F3D64"/>
    <w:rsid w:val="5D833043"/>
    <w:rsid w:val="5DA41EAA"/>
    <w:rsid w:val="5DD92690"/>
    <w:rsid w:val="5DDB1CFD"/>
    <w:rsid w:val="5E242747"/>
    <w:rsid w:val="5E7E6D93"/>
    <w:rsid w:val="5E82459B"/>
    <w:rsid w:val="5ED44800"/>
    <w:rsid w:val="5F350BDE"/>
    <w:rsid w:val="5F61632C"/>
    <w:rsid w:val="5F714C67"/>
    <w:rsid w:val="5FA17648"/>
    <w:rsid w:val="5FE705CB"/>
    <w:rsid w:val="6007714E"/>
    <w:rsid w:val="603D5080"/>
    <w:rsid w:val="606842D0"/>
    <w:rsid w:val="60D0261B"/>
    <w:rsid w:val="614E43D3"/>
    <w:rsid w:val="616A48C4"/>
    <w:rsid w:val="618E3791"/>
    <w:rsid w:val="61947DCA"/>
    <w:rsid w:val="61A46A97"/>
    <w:rsid w:val="61D1382F"/>
    <w:rsid w:val="61F114A2"/>
    <w:rsid w:val="622B0ABA"/>
    <w:rsid w:val="623A0A5E"/>
    <w:rsid w:val="62512BB4"/>
    <w:rsid w:val="625D7D1A"/>
    <w:rsid w:val="62660469"/>
    <w:rsid w:val="62DD7D21"/>
    <w:rsid w:val="632E06E6"/>
    <w:rsid w:val="637D586B"/>
    <w:rsid w:val="63A5560B"/>
    <w:rsid w:val="63E9091F"/>
    <w:rsid w:val="64322AF9"/>
    <w:rsid w:val="64442C2C"/>
    <w:rsid w:val="64D6010D"/>
    <w:rsid w:val="64D82665"/>
    <w:rsid w:val="64E47C96"/>
    <w:rsid w:val="65033347"/>
    <w:rsid w:val="651E5741"/>
    <w:rsid w:val="65453DB0"/>
    <w:rsid w:val="655D7702"/>
    <w:rsid w:val="658A4877"/>
    <w:rsid w:val="65A00902"/>
    <w:rsid w:val="65A279CD"/>
    <w:rsid w:val="65A744D3"/>
    <w:rsid w:val="65AC6EDD"/>
    <w:rsid w:val="65D97752"/>
    <w:rsid w:val="66085536"/>
    <w:rsid w:val="66105BF7"/>
    <w:rsid w:val="66150023"/>
    <w:rsid w:val="6617496E"/>
    <w:rsid w:val="6628010D"/>
    <w:rsid w:val="664B26DE"/>
    <w:rsid w:val="669B4528"/>
    <w:rsid w:val="66CC12D7"/>
    <w:rsid w:val="67134CEF"/>
    <w:rsid w:val="671F1ABD"/>
    <w:rsid w:val="672136C2"/>
    <w:rsid w:val="67521A59"/>
    <w:rsid w:val="67C304AB"/>
    <w:rsid w:val="683F0658"/>
    <w:rsid w:val="68525E58"/>
    <w:rsid w:val="689C6793"/>
    <w:rsid w:val="68DB0208"/>
    <w:rsid w:val="68E63265"/>
    <w:rsid w:val="68FB170C"/>
    <w:rsid w:val="691B3D98"/>
    <w:rsid w:val="693748F0"/>
    <w:rsid w:val="69846A0E"/>
    <w:rsid w:val="69A34868"/>
    <w:rsid w:val="69AA1366"/>
    <w:rsid w:val="69AD798C"/>
    <w:rsid w:val="69D005C0"/>
    <w:rsid w:val="69D80B96"/>
    <w:rsid w:val="69F47AD7"/>
    <w:rsid w:val="6A2C39D4"/>
    <w:rsid w:val="6A587F63"/>
    <w:rsid w:val="6A881455"/>
    <w:rsid w:val="6AA63E8E"/>
    <w:rsid w:val="6AF61BA0"/>
    <w:rsid w:val="6B391278"/>
    <w:rsid w:val="6B5478A4"/>
    <w:rsid w:val="6B68175F"/>
    <w:rsid w:val="6BFD799F"/>
    <w:rsid w:val="6C4A2E5A"/>
    <w:rsid w:val="6C7A0EFD"/>
    <w:rsid w:val="6C8138D0"/>
    <w:rsid w:val="6CEF0725"/>
    <w:rsid w:val="6D0A2C65"/>
    <w:rsid w:val="6D4B2604"/>
    <w:rsid w:val="6D77358F"/>
    <w:rsid w:val="6D8030E4"/>
    <w:rsid w:val="6D8A198C"/>
    <w:rsid w:val="6D9C44AE"/>
    <w:rsid w:val="6DDF2953"/>
    <w:rsid w:val="6E0E35C4"/>
    <w:rsid w:val="6E0F7A08"/>
    <w:rsid w:val="6E3947F5"/>
    <w:rsid w:val="6E6733A0"/>
    <w:rsid w:val="6E690D1C"/>
    <w:rsid w:val="6E6E3938"/>
    <w:rsid w:val="6E86628F"/>
    <w:rsid w:val="6E9C74ED"/>
    <w:rsid w:val="6EF72976"/>
    <w:rsid w:val="6F2614AD"/>
    <w:rsid w:val="6F2B6BEF"/>
    <w:rsid w:val="6F416A7B"/>
    <w:rsid w:val="6F795A80"/>
    <w:rsid w:val="6F7C1D2E"/>
    <w:rsid w:val="6F8E0407"/>
    <w:rsid w:val="6FBA5886"/>
    <w:rsid w:val="6FDD069F"/>
    <w:rsid w:val="702B4D16"/>
    <w:rsid w:val="70AA6621"/>
    <w:rsid w:val="70AC0CEF"/>
    <w:rsid w:val="70BC5E14"/>
    <w:rsid w:val="7111480F"/>
    <w:rsid w:val="71261F49"/>
    <w:rsid w:val="712E6956"/>
    <w:rsid w:val="71473612"/>
    <w:rsid w:val="71504F32"/>
    <w:rsid w:val="7152309F"/>
    <w:rsid w:val="7163526D"/>
    <w:rsid w:val="718F7F65"/>
    <w:rsid w:val="71DA6992"/>
    <w:rsid w:val="727B234E"/>
    <w:rsid w:val="728A58B0"/>
    <w:rsid w:val="72C75D24"/>
    <w:rsid w:val="72D068C7"/>
    <w:rsid w:val="72E42ED8"/>
    <w:rsid w:val="72FC34C3"/>
    <w:rsid w:val="735F4CB9"/>
    <w:rsid w:val="73674C62"/>
    <w:rsid w:val="73845865"/>
    <w:rsid w:val="739B6D9E"/>
    <w:rsid w:val="73BC1D76"/>
    <w:rsid w:val="73FB6630"/>
    <w:rsid w:val="748D790E"/>
    <w:rsid w:val="749820CC"/>
    <w:rsid w:val="74CE04EC"/>
    <w:rsid w:val="74E76DCD"/>
    <w:rsid w:val="751D7C0A"/>
    <w:rsid w:val="751F781B"/>
    <w:rsid w:val="75722D56"/>
    <w:rsid w:val="75C00539"/>
    <w:rsid w:val="75C90BC7"/>
    <w:rsid w:val="75DB5477"/>
    <w:rsid w:val="75FC6AC3"/>
    <w:rsid w:val="7616619B"/>
    <w:rsid w:val="76660D7C"/>
    <w:rsid w:val="766C5968"/>
    <w:rsid w:val="76A806BB"/>
    <w:rsid w:val="76BE0C8F"/>
    <w:rsid w:val="76CD53B2"/>
    <w:rsid w:val="76E6594C"/>
    <w:rsid w:val="770719AC"/>
    <w:rsid w:val="776526CC"/>
    <w:rsid w:val="77A262E1"/>
    <w:rsid w:val="77B13C33"/>
    <w:rsid w:val="77DC095A"/>
    <w:rsid w:val="77EA2B7E"/>
    <w:rsid w:val="77ED6F44"/>
    <w:rsid w:val="77F45548"/>
    <w:rsid w:val="77FC440B"/>
    <w:rsid w:val="784E7CA6"/>
    <w:rsid w:val="78574801"/>
    <w:rsid w:val="7873527F"/>
    <w:rsid w:val="790A6425"/>
    <w:rsid w:val="790E2D96"/>
    <w:rsid w:val="791B54B2"/>
    <w:rsid w:val="793C0F89"/>
    <w:rsid w:val="795A0A34"/>
    <w:rsid w:val="797339C3"/>
    <w:rsid w:val="797D10DD"/>
    <w:rsid w:val="79875270"/>
    <w:rsid w:val="799C3B90"/>
    <w:rsid w:val="79D57D57"/>
    <w:rsid w:val="79F00650"/>
    <w:rsid w:val="7A6242BF"/>
    <w:rsid w:val="7A794513"/>
    <w:rsid w:val="7A9B3811"/>
    <w:rsid w:val="7A9F7A4D"/>
    <w:rsid w:val="7AB467DA"/>
    <w:rsid w:val="7AB9318D"/>
    <w:rsid w:val="7AE952D2"/>
    <w:rsid w:val="7B407D30"/>
    <w:rsid w:val="7B9F26AF"/>
    <w:rsid w:val="7BB607FE"/>
    <w:rsid w:val="7C0B6500"/>
    <w:rsid w:val="7C7248A0"/>
    <w:rsid w:val="7C976D69"/>
    <w:rsid w:val="7CAF559D"/>
    <w:rsid w:val="7CD752DA"/>
    <w:rsid w:val="7CDE40AB"/>
    <w:rsid w:val="7CF057E2"/>
    <w:rsid w:val="7D0564AB"/>
    <w:rsid w:val="7D1548B5"/>
    <w:rsid w:val="7D5939B7"/>
    <w:rsid w:val="7DB936C4"/>
    <w:rsid w:val="7DDF1692"/>
    <w:rsid w:val="7DF84014"/>
    <w:rsid w:val="7E207949"/>
    <w:rsid w:val="7E3731C8"/>
    <w:rsid w:val="7E5C0A47"/>
    <w:rsid w:val="7E670C75"/>
    <w:rsid w:val="7EAE0AC2"/>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2025-04-10T05:15:20Z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