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沙湾市人力资源和社会保障局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（1）贯彻执行国家、自治区、地区人力资源和社会保障事业发展规划、方针、政策、法规、规章；研究拟定全市人力资源和社会保障事业发展规划和年度工作计划并组织实施和监督检查。</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（2）拟定并组织实施全市人力资源市场规划和人力资源流动管理办法，指导监督人力资源服务机构，建立全市统一规范的人力资源市场，促进人力资源合理流动、有效配置。</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3）负责促进就业创业工作。拟订统筹城乡就业创业发展规划，组织实施城乡就业政策，完善公共就业服务体系；组织落实就业援助制度、职业资格制度；统筹实施面向城乡劳动者的就业培训工作；承担职业技能鉴定工作；组织落实高校毕业生就业创业政策，会同有关部门组织落实高技能人才、农村实用人才培养和激励措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4）统筹建立覆盖城乡的社会保障体系。组织落实城乡社会保险及其补充保险政策和标准；统筹实施机关企事业单位基本养老保险政策；会同有关部门拟订社会保险及其补充保险基金管理和监督办法,贯彻落实地区社会保险基金管理制度。</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（5）负责就业、失业、社会保险基金预测预警和信息引导,拟订应对预案,实施预防、调解和控制,保持就业形势稳定和社会保险基金总体收支平衡。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6）贯彻执行自治区企事业单位人员工资收入分配制度改革政策,促进建立企事业单位人员工资正常增长和支付保障机制；贯彻落实国家、自治区企事业单位人员工资福利和离退休政策；参与劳动模范推荐、评定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7）会同有关部门指导事业单位人事制度改革,指导各相关业务主管部门拟订事业单位人员和机关工勤人员管理制度并组织实施,参与人才管理工作,落实专业技术人员管理和继续教育政策；牵头推进深化职称制度改革；健全完善引进人才管理机制；负责全市专业技术人才选拔和培养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（8）会同有关部门协调解决农民工工作重点难点问题,维护农民工合法权益。</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9）统筹实施劳动人事争议调解仲裁制度；组织落实劳动关系政策,完善劳动关系协调机制；监督落实消除非法使用童工政策和女工、未成年工的特殊劳动保护政策;组织实施劳动监察,协调劳动者维权工作,依法査处重大案件。</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（10）受理市人力资源和社会保障方面信访事项,拟订信访工作预案;会同有关部门协调处理有关劳动、人事方面的重大信访事件或突发。</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（11）完成市委、</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政府交办的其他任务。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w:t>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rPr>
        <w:t>(12)</w:t>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rPr>
        <w:t>拟订全市人力资源和社会保障事业发展规划、政策，起草全市农牧民培训工作方案等，通过组织农牧民技能培训，推进城乡居民就业等综合性工作.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(13)</w:t>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rPr>
        <w:t>拟定培训计划、方案，开班审批、培训期间管理与服务，结业、技能鉴定、证书发放、申请补贴。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沙湾市人力资源和社会保障局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p>
    <w:p>
      <w:pPr>
        <w:spacing w:line="540" w:lineRule="exact"/>
        <w:ind w:firstLine="640" w:firstLineChars="200"/>
        <w:rPr>
          <w:rFonts w:hint="eastAsia" w:ascii="仿宋_GB2312" w:eastAsia="仿宋_GB2312"/>
          <w:sz w:val="32"/>
          <w:szCs w:val="32"/>
          <w:lang w:eastAsia="zh-CN"/>
        </w:rPr>
      </w:pPr>
      <w:bookmarkStart w:id="6" w:name="_Toc3092"/>
      <w:bookmarkStart w:id="7" w:name="_Toc29374"/>
      <w:r>
        <w:rPr>
          <w:rFonts w:hint="eastAsia" w:ascii="仿宋_GB2312" w:eastAsia="仿宋_GB2312"/>
          <w:sz w:val="32"/>
          <w:szCs w:val="32"/>
          <w:lang w:val="en-US" w:eastAsia="zh-CN"/>
        </w:rPr>
        <w:t>单位无下属预算单位，</w:t>
      </w:r>
      <w:r>
        <w:rPr>
          <w:rFonts w:hint="eastAsia" w:ascii="仿宋_GB2312" w:eastAsia="仿宋_GB2312"/>
          <w:sz w:val="32"/>
          <w:szCs w:val="32"/>
        </w:rPr>
        <w:t>下设</w:t>
      </w:r>
      <w:r>
        <w:rPr>
          <w:rFonts w:hint="eastAsia" w:ascii="仿宋_GB2312" w:eastAsia="仿宋_GB2312"/>
          <w:sz w:val="32"/>
          <w:szCs w:val="32"/>
          <w:lang w:val="en-US" w:eastAsia="zh-CN"/>
        </w:rPr>
        <w:t>7</w:t>
      </w:r>
      <w:r>
        <w:rPr>
          <w:rFonts w:hint="eastAsia" w:ascii="仿宋_GB2312" w:eastAsia="仿宋_GB2312"/>
          <w:sz w:val="32"/>
          <w:szCs w:val="32"/>
        </w:rPr>
        <w:t>个处室，</w:t>
      </w:r>
      <w:r>
        <w:rPr>
          <w:rFonts w:hint="eastAsia" w:ascii="仿宋_GB2312" w:eastAsia="仿宋_GB2312"/>
          <w:sz w:val="32"/>
          <w:szCs w:val="32"/>
          <w:lang w:eastAsia="zh-CN"/>
        </w:rPr>
        <w:t>劳动人事仲裁院、社会保险中心、人力资源服务中心、就业服务中心、塔城地区第五国家职业技能鉴定所、创业服务中心、劳动保障监察大队。</w:t>
      </w:r>
    </w:p>
    <w:p>
      <w:pPr>
        <w:rPr>
          <w:rFonts w:hint="eastAsia" w:ascii="仿宋_GB2312" w:eastAsia="仿宋_GB2312"/>
          <w:sz w:val="32"/>
          <w:szCs w:val="32"/>
          <w:lang w:eastAsia="zh-CN"/>
        </w:rPr>
      </w:pPr>
      <w:r>
        <w:rPr>
          <w:rFonts w:hint="eastAsia" w:ascii="仿宋_GB2312" w:eastAsia="仿宋_GB2312"/>
          <w:sz w:val="32"/>
          <w:szCs w:val="32"/>
          <w:lang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3,641.24万元，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3,641.24万元，使用非财政拨款结余0.00万元，年初结转和结余0.00万元。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3,641.24万元，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3,641.24万元，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减少1,028.88万元</w:t>
      </w:r>
      <w:r>
        <w:rPr>
          <w:rFonts w:hint="eastAsia" w:ascii="仿宋_GB2312" w:eastAsia="仿宋_GB2312"/>
          <w:color w:val="auto"/>
          <w:spacing w:val="0"/>
          <w:sz w:val="32"/>
          <w:szCs w:val="32"/>
          <w:highlight w:val="none"/>
          <w:lang w:eastAsia="zh-CN"/>
        </w:rPr>
        <w:t>，下降22.03%，主要原因是：</w:t>
      </w:r>
      <w:r>
        <w:rPr>
          <w:rFonts w:hint="eastAsia" w:ascii="仿宋_GB2312" w:eastAsia="仿宋_GB2312"/>
          <w:color w:val="auto"/>
          <w:spacing w:val="0"/>
          <w:sz w:val="32"/>
          <w:szCs w:val="32"/>
          <w:highlight w:val="none"/>
          <w:lang w:val="en-US" w:eastAsia="zh-CN"/>
        </w:rPr>
        <w:t>2023年减少了自治区财政衔接推进乡村振兴补助项目</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3,641.24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3,641.24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本年支出3,641.24万元，其中：基本支出1,145.16万元，占31.45%；项目支出2,496.08万元，占68.55%；上缴上级支出0.00万元，占0.00%；经营支出0.00万元，占0.00%；对附属单位补助支出0.00万元，占0.00%。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3,641.24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3,641.24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3,641.24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3,641.24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减少1,028.88万元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下降22.03%,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2023年减少了自治区财政衔接推进乡村振兴补助项目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3,506.76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3,641.24</w:t>
      </w:r>
      <w:r>
        <w:rPr>
          <w:rFonts w:hint="eastAsia" w:ascii="仿宋_GB2312" w:eastAsia="仿宋_GB2312"/>
          <w:color w:val="auto"/>
          <w:spacing w:val="0"/>
          <w:sz w:val="32"/>
          <w:szCs w:val="32"/>
          <w:highlight w:val="none"/>
          <w:lang w:eastAsia="zh-CN"/>
        </w:rPr>
        <w:t>万元，预决算差异率3.83%，主要原因是：</w:t>
      </w:r>
      <w:r>
        <w:rPr>
          <w:rFonts w:hint="eastAsia" w:ascii="仿宋_GB2312" w:hAnsi="仿宋" w:eastAsia="仿宋_GB2312" w:cs="Times New Roman"/>
          <w:sz w:val="32"/>
          <w:szCs w:val="32"/>
          <w:lang w:val="en-US" w:eastAsia="zh-CN"/>
        </w:rPr>
        <w:t>一方面2023年调增工资，调增并补发了基础绩效，考核性绩效工资，发放了2018年下半年及2020年第一季度大绩效。另一方面增加了就业和社会保障服务设施及人力资源市场项目基础建设及搬迁入住室内装修项目、为民办实事项目、加大就业资金拨付等项目，所以造成决算数比预算数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2023年度一般公共预算财政拨款支出3,641.24万元，占本年支出合计的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减少1,028.88万元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下降22.03%,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2023年减少了自治区财政衔接推进乡村振兴补助项目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3,506.76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3,641.24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3.83%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val="en-US" w:eastAsia="zh-CN"/>
        </w:rPr>
        <w:t>一方面2023年调增工资，调增并补发了基础绩效，考核性绩效工资，发放了2018年下半年及2020年第一季度大绩效，使得预算执行比预算增加。另一方面增加了就业和社会保障服务设施及人力资源市场项目基础建设及搬迁入住室内装修项目、为民办实事项目、加大就业资金拨付等项目，所以造成决算数比预算数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3,494.08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95.96%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3.其他支出（类）</w:t>
      </w:r>
      <w:r>
        <w:rPr>
          <w:rFonts w:hint="eastAsia" w:ascii="仿宋_GB2312" w:hAnsi="Times New Roman" w:eastAsia="仿宋_GB2312" w:cs="Times New Roman"/>
          <w:color w:val="auto"/>
          <w:spacing w:val="0"/>
          <w:kern w:val="2"/>
          <w:sz w:val="32"/>
          <w:szCs w:val="32"/>
          <w:highlight w:val="none"/>
          <w:lang w:val="zh-CN" w:eastAsia="zh-CN" w:bidi="ar-SA"/>
        </w:rPr>
        <w:t>20.05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0.55%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highlight w:val="none"/>
          <w:lang w:val="en-US" w:eastAsia="zh-CN" w:bidi="ar-SA"/>
        </w:rPr>
        <w:t>4.住房保障支出73.01万元，占2%。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1.卫生健康支出（类）行政事业单位医疗（款）行政单位医疗（项）:支出决算数为27.80万元，比上年决算减少19.43万元，下降41.14%，主要原因是：2023年行政人员调出5人，退休3人，基本医疗保险减少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2.卫生健康支出（类）行政事业单位医疗（款）事业单位医疗（项）:支出决算数为13.07万元，比上年决算增加0.57万元，增长4.56%，主要原因是：人员增资，缴费基数增加，单位医疗支出增加</w:t>
      </w:r>
      <w:bookmarkStart w:id="48" w:name="_GoBack"/>
      <w:bookmarkEnd w:id="48"/>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3.卫生健康支出（类）行政事业单位医疗（款）公务员医疗补助（项）:支出决算数为13.24万元，比上年决算减少8.32万元，下降38.59%，主要原因是：2023年行政人员调出5人，退休3人，公务员医疗补助减少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4.住房保障支出（类）住房改革支出（款）住房公积金（项）:支出决算数为73.01万元，比上年决算增加3.86万元，增长5.58%，主要原因是：2023年调入3人，住房公积金支出增加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5.社会保障和就业支出（类）就业补助（款）职业培训补贴（项）:支出决算数为436.64万元，比上年决算增加349.41万元，增长400.56%，主要原因是：2022年优先使用了自治区</w:t>
      </w:r>
      <w:r>
        <w:rPr>
          <w:rFonts w:hint="eastAsia" w:ascii="仿宋_GB2312" w:eastAsia="仿宋_GB2312"/>
          <w:color w:val="auto"/>
          <w:spacing w:val="0"/>
          <w:sz w:val="32"/>
          <w:szCs w:val="32"/>
          <w:highlight w:val="none"/>
          <w:lang w:val="en-US" w:eastAsia="zh-CN"/>
        </w:rPr>
        <w:t>财政衔接推进乡村振兴补助资金，不足部分使用就业职业培训补贴资金，致使2022年度职业培训补贴资金较低，造成2023年职业培训补贴大幅度增长</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2.61万元，比上年决算减少3.31万元，下降55.91%，主要原因是：2022年退休人员取暖费全部纳入事业单位退休费核算，2023年行政事业分开，造成2023年事业单位离退休退休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7.社会保障和就业支出（类）就业补助（款）就业见习补贴（项）:支出决算数为138.67万元，比上年决算减少1.46万元，下降1.04%，主要原因是：2023年见习人员上岗人数减少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就业补助（款）其他就业补助支出（项）:支出决算数为125.80万元，比上年决算增加30.89万元，增长32.55%，主要原因是：就业和社会保障服务及人力资源市场项目及附属工程支付的工程款资金120万元、新增大学生自主创业补贴4.3万元、就业服务活动（招聘会）费用1.5万元，上述三项费用从其他就业补助支出中列支造成</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9.社会保障和就业支出（类）其他社会保障和就业支出（款）其他社会保障和就业支出（项）:支出决算数为4.99万元，比上年决算减少3.16万元，下降38.77%，主要原因是：2023年务工人员减少导致运转经费减少所致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10.社会保障和就业支出（类）行政事业单位养老支出（款）行政单位离退休（项）:支出决算数为21.54万元，比上年决算增加12.60万元，增长140.94%，主要原因是：2023年新增行政退休人员3人，退休费增加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11.社会保障和就业支出（类）就业补助（款）公益性岗位补贴（项）:支出决算数为514.09万元，比上年决算减少16.05万元，下降3.03%，主要原因是：2023年，用人单位未开发出更多的就业岗位，造成</w:t>
      </w:r>
      <w:r>
        <w:rPr>
          <w:rFonts w:hint="eastAsia" w:ascii="仿宋_GB2312" w:hAnsi="仿宋_GB2312" w:eastAsia="仿宋_GB2312" w:cs="仿宋_GB2312"/>
          <w:color w:val="auto"/>
          <w:kern w:val="2"/>
          <w:sz w:val="32"/>
          <w:szCs w:val="32"/>
          <w:highlight w:val="none"/>
          <w:lang w:val="zh-CN" w:eastAsia="zh-CN" w:bidi="ar-SA"/>
        </w:rPr>
        <w:t>就业困难人员从事公益性岗位人员减少。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12.社会保障和就业支出（类）行政事业单位养老支出（款）机关事业单位职业年金缴费支出（项）:支出决算数为28.90万元，比上年决算增加24.57万元，增长567.44%，主要原因是：2023年退休4人，职业年金支出增加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就业补助（款）社会保险补贴（项）:支出决算数为1,054.85万元，比上年决算减少141.00万元，下降11.79%，主要原因是：2023年灵活就业社会保险补贴比较2022年度少补助一个月，社会保险补贴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人力资源和社会保障管理事务（款）社会保险经办机构（项）:支出决算数为5.30万元，比上年决算增加0.60万元，增长12.77%，主要原因是：2023年加大了企业基本养老保险扩面和参保登记工作宣传力度，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15.社会保障和就业支出（类）行政事业单位养老支出（款）机关事业单位基本养老保险缴费支出（项）:支出决算数为93.58万元，比上年决算增加13.86万元，增长17.39%，主要原因是：</w:t>
      </w:r>
      <w:r>
        <w:rPr>
          <w:rFonts w:hint="eastAsia" w:ascii="仿宋_GB2312" w:hAnsi="宋体" w:eastAsia="仿宋_GB2312" w:cs="宋体"/>
          <w:kern w:val="0"/>
          <w:sz w:val="32"/>
          <w:szCs w:val="32"/>
          <w:highlight w:val="none"/>
          <w:lang w:val="en-US" w:eastAsia="zh-CN"/>
        </w:rPr>
        <w:t>2023年</w:t>
      </w:r>
      <w:r>
        <w:rPr>
          <w:rFonts w:hint="eastAsia" w:ascii="仿宋_GB2312" w:hAnsi="宋体" w:eastAsia="仿宋_GB2312" w:cs="宋体"/>
          <w:kern w:val="0"/>
          <w:sz w:val="32"/>
          <w:szCs w:val="32"/>
          <w:highlight w:val="none"/>
        </w:rPr>
        <w:t>我单位</w:t>
      </w:r>
      <w:r>
        <w:rPr>
          <w:rFonts w:hint="eastAsia" w:ascii="仿宋_GB2312" w:hAnsi="宋体" w:eastAsia="仿宋_GB2312" w:cs="宋体"/>
          <w:kern w:val="0"/>
          <w:sz w:val="32"/>
          <w:szCs w:val="32"/>
          <w:highlight w:val="none"/>
          <w:lang w:val="en-US" w:eastAsia="zh-CN"/>
        </w:rPr>
        <w:t>工资</w:t>
      </w:r>
      <w:r>
        <w:rPr>
          <w:rFonts w:hint="eastAsia" w:ascii="仿宋_GB2312" w:hAnsi="宋体" w:eastAsia="仿宋_GB2312" w:cs="宋体"/>
          <w:kern w:val="0"/>
          <w:sz w:val="32"/>
          <w:szCs w:val="32"/>
          <w:highlight w:val="none"/>
        </w:rPr>
        <w:t>调资、职务晋升</w:t>
      </w:r>
      <w:r>
        <w:rPr>
          <w:rFonts w:hint="eastAsia" w:ascii="仿宋_GB2312" w:hAnsi="宋体" w:eastAsia="仿宋_GB2312" w:cs="宋体"/>
          <w:kern w:val="0"/>
          <w:sz w:val="32"/>
          <w:szCs w:val="32"/>
          <w:highlight w:val="none"/>
          <w:lang w:val="en-US" w:eastAsia="zh-CN"/>
        </w:rPr>
        <w:t>等工资增长，养老基数增加，</w:t>
      </w:r>
      <w:r>
        <w:rPr>
          <w:rFonts w:hint="eastAsia" w:ascii="仿宋_GB2312" w:hAnsi="仿宋_GB2312" w:eastAsia="仿宋_GB2312" w:cs="仿宋_GB2312"/>
          <w:color w:val="auto"/>
          <w:kern w:val="2"/>
          <w:sz w:val="32"/>
          <w:szCs w:val="32"/>
          <w:highlight w:val="none"/>
          <w:lang w:val="en-US" w:eastAsia="zh-CN" w:bidi="ar-SA"/>
        </w:rPr>
        <w:t>机关事业单位基本养老保险缴费支出增加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社会保障和就业支出（类）人力资源和社会保障管理事务（款）其他人力资源和社会保障管理事务支出（项）:支出决算数为195.68万元，比上年决算增加101.26万元，增长107.24%，主要原因是：2023年增加了新办公楼装修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社会保障和就业支出（类）人力资源和社会保障管理事务（款）行政运行（项）:支出决算数为642.53万元，比上年决算减少176.19万元，下降21.52%，主要原因是：2023年公务员及参公管理人员调出5人，退休3人，工资福利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18.社会保障和就业支出（类）人力资源和社会保障管理事务（款）事业运行（项）:支出决算数为228.89万元，比上年决算增加228.89万元，增长100%，主要原因是：2022年行政事业人员经费统一核算，2023年行政事业人员经费分开核算，2023年社会保障管理事务-事业运行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19.其他支出（类）其他支出（款）其他支出（项）:支出决算数为20.05万元，比上年决算减少7.40万元，下降26.96%，主要原因是：2023年</w:t>
      </w:r>
      <w:r>
        <w:rPr>
          <w:rFonts w:hint="eastAsia" w:ascii="仿宋_GB2312" w:hAnsi="仿宋_GB2312" w:eastAsia="仿宋_GB2312" w:cs="仿宋_GB2312"/>
          <w:color w:val="auto"/>
          <w:kern w:val="2"/>
          <w:sz w:val="32"/>
          <w:szCs w:val="32"/>
          <w:highlight w:val="none"/>
          <w:lang w:val="zh-CN" w:eastAsia="zh-CN" w:bidi="ar-SA"/>
        </w:rPr>
        <w:t>“为民办实事”工作经费减少。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20.卫生健康支出（类）公共卫生（款）突发公共卫生事件应急处理（项）:支出决算数为0.00万元，比上年决算减少188.38万元，下降100%，主要原因是：2022年进行了方舱医院改造，2023年无此项支出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21.农林水支出（类）扶贫（款）生产发展（项）:支出决算数为0.00万元，比上年决算减少1,150.69万元，下降100%，主要原因是：2023年减少了巩固脱贫衔接乡村振兴生产发展项目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社会保障和就业支出（类）人力资源和社会保障管理事务（款）一般行政管理事务（项）:支出决算数为0.00万元，比上年决算减少80.00万元，下降100%，主要原因是：2022年支付了房屋建筑物购建工程款80万元，2023年此项目未支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1,145.16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1,080.29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64.87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办公费、水费、电费、邮电费、取暖费、差旅费、维修（护）费、培训费、公务接待费、劳务费、工会经费、公务用车运行维护费、其他交通费用、办公设备购置。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“三公”经费支出4.14万元，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减少1.79万元，</w:t>
      </w:r>
      <w:r>
        <w:rPr>
          <w:rFonts w:hint="eastAsia" w:ascii="仿宋_GB2312" w:eastAsia="仿宋_GB2312"/>
          <w:color w:val="auto"/>
          <w:spacing w:val="0"/>
          <w:sz w:val="32"/>
          <w:szCs w:val="32"/>
          <w:highlight w:val="none"/>
          <w:lang w:val="en-US" w:eastAsia="zh-CN"/>
        </w:rPr>
        <w:t>下降30.19%,</w:t>
      </w:r>
      <w:r>
        <w:rPr>
          <w:rFonts w:hint="eastAsia" w:ascii="仿宋_GB2312" w:eastAsia="仿宋_GB2312"/>
          <w:color w:val="auto"/>
          <w:sz w:val="32"/>
          <w:szCs w:val="32"/>
          <w:highlight w:val="none"/>
          <w:lang w:val="zh-CN" w:eastAsia="zh-CN"/>
        </w:rPr>
        <w:t>主要原因是：坚厉行节约，缩减开支。其中：因公出国（境）费支出0.00万元，占0.00%，比上年增加0.00万元，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主要原因是：我单位无因公出国（境）费支出；公务用车购置及运行维护费支出4.00万元，占96.62%，比上年减少1.68万元，</w:t>
      </w:r>
      <w:r>
        <w:rPr>
          <w:rFonts w:hint="eastAsia" w:ascii="仿宋_GB2312" w:eastAsia="仿宋_GB2312"/>
          <w:color w:val="auto"/>
          <w:spacing w:val="0"/>
          <w:sz w:val="32"/>
          <w:szCs w:val="32"/>
          <w:highlight w:val="none"/>
          <w:lang w:val="en-US" w:eastAsia="zh-CN"/>
        </w:rPr>
        <w:t>下降29.58%,</w:t>
      </w:r>
      <w:r>
        <w:rPr>
          <w:rFonts w:hint="eastAsia" w:ascii="仿宋_GB2312" w:eastAsia="仿宋_GB2312"/>
          <w:color w:val="auto"/>
          <w:sz w:val="32"/>
          <w:szCs w:val="32"/>
          <w:highlight w:val="none"/>
          <w:lang w:val="zh-CN" w:eastAsia="zh-CN"/>
        </w:rPr>
        <w:t>主要原因是：坚厉行节约，缩减开支，单位公车使用大幅减少；公务接待费支出0.14万元，占3.38%，比上年减少0.12万元，</w:t>
      </w:r>
      <w:r>
        <w:rPr>
          <w:rFonts w:hint="eastAsia" w:ascii="仿宋_GB2312" w:eastAsia="仿宋_GB2312"/>
          <w:color w:val="auto"/>
          <w:spacing w:val="0"/>
          <w:sz w:val="32"/>
          <w:szCs w:val="32"/>
          <w:highlight w:val="none"/>
          <w:lang w:val="en-US" w:eastAsia="zh-CN"/>
        </w:rPr>
        <w:t>下降46.15%,</w:t>
      </w:r>
      <w:r>
        <w:rPr>
          <w:rFonts w:hint="eastAsia" w:ascii="仿宋_GB2312" w:eastAsia="仿宋_GB2312"/>
          <w:color w:val="auto"/>
          <w:sz w:val="32"/>
          <w:szCs w:val="32"/>
          <w:highlight w:val="none"/>
          <w:lang w:val="zh-CN" w:eastAsia="zh-CN"/>
        </w:rPr>
        <w:t>主要原因是：坚持厉行节约，加强管理，严格控制公务接待数量，缩减开支。</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公务用车购置及运行维护费4.00万元，其中：公务用车购置费0.00万元，公务用车运行维护费4.00万元。公务用车运行维护费开支内容包括</w:t>
      </w:r>
      <w:r>
        <w:rPr>
          <w:rFonts w:hint="eastAsia" w:ascii="仿宋_GB2312" w:eastAsia="仿宋_GB2312"/>
          <w:sz w:val="32"/>
          <w:szCs w:val="32"/>
          <w:highlight w:val="none"/>
        </w:rPr>
        <w:t>车辆加油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车辆年审</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车辆保险、车辆维修</w:t>
      </w:r>
      <w:r>
        <w:rPr>
          <w:rFonts w:hint="eastAsia" w:ascii="仿宋_GB2312" w:eastAsia="仿宋_GB2312"/>
          <w:sz w:val="32"/>
          <w:szCs w:val="32"/>
          <w:highlight w:val="none"/>
        </w:rPr>
        <w:t>和过路费。</w:t>
      </w:r>
      <w:r>
        <w:rPr>
          <w:rFonts w:hint="eastAsia" w:ascii="仿宋_GB2312" w:eastAsia="仿宋_GB2312"/>
          <w:color w:val="auto"/>
          <w:sz w:val="32"/>
          <w:szCs w:val="32"/>
          <w:highlight w:val="none"/>
          <w:lang w:val="zh-CN" w:eastAsia="zh-CN"/>
        </w:rPr>
        <w:t>公务用车购置数0辆，公务用车保有量3辆。公务用车购置数0辆，公务用车保有量3辆。国有资产占用情况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公务接待费0.14万元，开支内容包括开支内容</w:t>
      </w:r>
      <w:r>
        <w:rPr>
          <w:rFonts w:hint="eastAsia" w:ascii="仿宋_GB2312" w:eastAsia="仿宋_GB2312"/>
          <w:color w:val="auto"/>
          <w:sz w:val="32"/>
          <w:szCs w:val="32"/>
          <w:highlight w:val="none"/>
          <w:lang w:val="en-US" w:eastAsia="zh-CN"/>
        </w:rPr>
        <w:t>2023年就业服务中心研讨交流餐</w:t>
      </w:r>
      <w:r>
        <w:rPr>
          <w:rFonts w:hint="eastAsia" w:ascii="仿宋_GB2312" w:eastAsia="仿宋_GB2312"/>
          <w:color w:val="auto"/>
          <w:sz w:val="32"/>
          <w:szCs w:val="32"/>
          <w:highlight w:val="none"/>
          <w:lang w:val="zh-CN" w:eastAsia="zh-CN"/>
        </w:rPr>
        <w:t>费。单位全年安排的国内公务接待3批次，2</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预算数4.14万元，决算数4.14万元，预决算差异率0.00%，主要原因是：一般公共预算“三公”经费支出预算数和决算数无变化，预决算无差异。其中：因公出国（境）费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预算数4.00万元，决算数4.00万元，预决算差异率0.00%，主要原因是：公务用车运行费预算数和决算数无变化，预决算无差异；公务接待费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预算数0.14万元，决算数0.14万元，预决算差异率0.00%，主要原因是：公务接待费预算数和决算数无变化，预决算无差异。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沙湾市人力资源和社会保障局（行政单位和参照公务员法管理事业单位）机关运行经费支出64.87万元，</w:t>
      </w:r>
      <w:r>
        <w:rPr>
          <w:rFonts w:hint="eastAsia" w:ascii="仿宋_GB2312" w:hAnsi="仿宋_GB2312" w:eastAsia="仿宋_GB2312" w:cs="仿宋_GB2312"/>
          <w:color w:val="auto"/>
          <w:sz w:val="32"/>
          <w:szCs w:val="32"/>
          <w:highlight w:val="none"/>
          <w:lang w:val="zh-CN" w:eastAsia="zh-CN"/>
        </w:rPr>
        <w:t>比上年增加</w:t>
      </w:r>
      <w:r>
        <w:rPr>
          <w:rFonts w:hint="eastAsia" w:ascii="仿宋_GB2312" w:hAnsi="Times New Roman" w:eastAsia="仿宋_GB2312" w:cs="Times New Roman"/>
          <w:color w:val="auto"/>
          <w:spacing w:val="0"/>
          <w:kern w:val="2"/>
          <w:sz w:val="32"/>
          <w:szCs w:val="32"/>
          <w:highlight w:val="none"/>
          <w:lang w:val="zh-CN" w:eastAsia="zh-CN" w:bidi="ar-SA"/>
        </w:rPr>
        <w:t>5.25</w:t>
      </w:r>
      <w:r>
        <w:rPr>
          <w:rFonts w:hint="eastAsia" w:ascii="仿宋_GB2312" w:hAnsi="仿宋_GB2312" w:eastAsia="仿宋_GB2312" w:cs="仿宋_GB2312"/>
          <w:color w:val="auto"/>
          <w:sz w:val="32"/>
          <w:szCs w:val="32"/>
          <w:highlight w:val="none"/>
          <w:lang w:val="zh-CN" w:eastAsia="zh-CN"/>
        </w:rPr>
        <w:t>万元，增长8.81%，主要原因是：</w:t>
      </w:r>
      <w:r>
        <w:rPr>
          <w:rFonts w:hint="eastAsia" w:ascii="仿宋_GB2312" w:hAnsi="仿宋_GB2312" w:eastAsia="仿宋_GB2312" w:cs="仿宋_GB2312"/>
          <w:color w:val="auto"/>
          <w:sz w:val="32"/>
          <w:szCs w:val="32"/>
          <w:highlight w:val="none"/>
          <w:lang w:val="en-US" w:eastAsia="zh-CN"/>
        </w:rPr>
        <w:t>2023年商品服务支出增加19.87万元，资本性支出减少14.62万元</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104.31万元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其中：政府采购货物支出38.72万元、政府采购工程支出47.88万元、政府采购服务支出17.71万元。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授予中小企业合同金额104.31万元，占政府采购支出总额的100.00%，其中：授予小微企业合同金额104.31万元，占政府采购支出总额的100.00%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2,892.46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屋11,739.45平方米，价值2,485.98万元。车辆3辆，价值52.14万元，其中：副部（省）级及以上领导用车0辆、主要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用车0辆、机要通信用车0辆、应急保障用车0辆、执法执勤用车1辆、特种专业技术用车0辆、离退休干部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用车0辆、其他用车2辆，其他用车主要是：公务用车；单价100万元（含）以上设备（不含车辆）0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预算总额3673.52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实际执行总额3641.24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eastAsia="仿宋_GB2312" w:cs="Times New Roman"/>
          <w:color w:val="auto"/>
          <w:spacing w:val="0"/>
          <w:kern w:val="2"/>
          <w:sz w:val="32"/>
          <w:szCs w:val="32"/>
          <w:highlight w:val="none"/>
          <w:lang w:val="en-US" w:eastAsia="zh-CN" w:bidi="ar-SA"/>
        </w:rPr>
        <w:t>2528.36</w:t>
      </w:r>
      <w:r>
        <w:rPr>
          <w:rFonts w:hint="eastAsia" w:ascii="仿宋_GB2312" w:eastAsia="仿宋_GB2312"/>
          <w:color w:val="auto"/>
          <w:sz w:val="32"/>
          <w:szCs w:val="32"/>
          <w:highlight w:val="none"/>
          <w:lang w:val="en-US" w:eastAsia="zh-CN"/>
        </w:rPr>
        <w:t>万元，全年执行数</w:t>
      </w:r>
      <w:r>
        <w:rPr>
          <w:rFonts w:hint="eastAsia" w:ascii="仿宋_GB2312" w:hAnsi="Times New Roman" w:eastAsia="仿宋_GB2312" w:cs="Times New Roman"/>
          <w:color w:val="auto"/>
          <w:spacing w:val="0"/>
          <w:kern w:val="2"/>
          <w:sz w:val="32"/>
          <w:szCs w:val="32"/>
          <w:highlight w:val="none"/>
          <w:lang w:val="en-US" w:eastAsia="zh-CN" w:bidi="ar-SA"/>
        </w:rPr>
        <w:t>2496.08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对照部门整体支出与项目资金绩效目标，对预算执行过程中的资金使用和管理等情况进行分析，及时掌握绩效目标的完成情况、实施进程；二是根据年中整体绩效完成情对照年初设定目标，查找单位整体绩效执行过程中存在的问题，并分析存在问题的原因，及时采取了有效的纠偏措施。</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下一步改进措施：一是提高对预算绩效管理的认识，充分理解财政绩效评价指标体系，加强预算的约束力：二是强化全过程预算绩效管理理念，突出绩效指标的重要性和综合性。</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886573"/>
    <w:rsid w:val="06FD75CA"/>
    <w:rsid w:val="07093795"/>
    <w:rsid w:val="07804730"/>
    <w:rsid w:val="078A26BF"/>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550911"/>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F3150A"/>
    <w:rsid w:val="160D1149"/>
    <w:rsid w:val="163563C0"/>
    <w:rsid w:val="164315EF"/>
    <w:rsid w:val="16557DFE"/>
    <w:rsid w:val="167268FB"/>
    <w:rsid w:val="16770D0A"/>
    <w:rsid w:val="169A0039"/>
    <w:rsid w:val="16D50C50"/>
    <w:rsid w:val="16E120E1"/>
    <w:rsid w:val="17256EAE"/>
    <w:rsid w:val="17385A05"/>
    <w:rsid w:val="173B3901"/>
    <w:rsid w:val="176747F9"/>
    <w:rsid w:val="17954A6E"/>
    <w:rsid w:val="17BE2C86"/>
    <w:rsid w:val="180059E9"/>
    <w:rsid w:val="184510FD"/>
    <w:rsid w:val="190648B0"/>
    <w:rsid w:val="19071D6C"/>
    <w:rsid w:val="19815402"/>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137D24"/>
    <w:rsid w:val="2064678E"/>
    <w:rsid w:val="20DC1AB9"/>
    <w:rsid w:val="20DD6197"/>
    <w:rsid w:val="212631E0"/>
    <w:rsid w:val="2138666F"/>
    <w:rsid w:val="21742080"/>
    <w:rsid w:val="21A53757"/>
    <w:rsid w:val="21F879E1"/>
    <w:rsid w:val="221236C6"/>
    <w:rsid w:val="22D7662C"/>
    <w:rsid w:val="23326B7F"/>
    <w:rsid w:val="237113B9"/>
    <w:rsid w:val="2380045B"/>
    <w:rsid w:val="23BC04D2"/>
    <w:rsid w:val="23DF4E55"/>
    <w:rsid w:val="23EF1892"/>
    <w:rsid w:val="2483647E"/>
    <w:rsid w:val="24A32D55"/>
    <w:rsid w:val="24CE6D9A"/>
    <w:rsid w:val="25292727"/>
    <w:rsid w:val="252E5CA9"/>
    <w:rsid w:val="256F7692"/>
    <w:rsid w:val="25BA2154"/>
    <w:rsid w:val="25C8773F"/>
    <w:rsid w:val="260C41B5"/>
    <w:rsid w:val="26235823"/>
    <w:rsid w:val="262B0906"/>
    <w:rsid w:val="264A7253"/>
    <w:rsid w:val="26F0170C"/>
    <w:rsid w:val="26FE3B9A"/>
    <w:rsid w:val="27201D62"/>
    <w:rsid w:val="27286E73"/>
    <w:rsid w:val="27B11E49"/>
    <w:rsid w:val="27CF2642"/>
    <w:rsid w:val="27E777F5"/>
    <w:rsid w:val="27EA1D4C"/>
    <w:rsid w:val="27EA2E41"/>
    <w:rsid w:val="28065133"/>
    <w:rsid w:val="282459E2"/>
    <w:rsid w:val="283A7FE5"/>
    <w:rsid w:val="285F51FF"/>
    <w:rsid w:val="28DA4193"/>
    <w:rsid w:val="28DF2665"/>
    <w:rsid w:val="29072599"/>
    <w:rsid w:val="291029F3"/>
    <w:rsid w:val="29AB5FA5"/>
    <w:rsid w:val="29CB58F0"/>
    <w:rsid w:val="2A053397"/>
    <w:rsid w:val="2A145E96"/>
    <w:rsid w:val="2A2131BB"/>
    <w:rsid w:val="2A39527C"/>
    <w:rsid w:val="2AF5378F"/>
    <w:rsid w:val="2B1409B8"/>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793E6B"/>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B83DC7"/>
    <w:rsid w:val="39DA0497"/>
    <w:rsid w:val="3A893816"/>
    <w:rsid w:val="3A893B6D"/>
    <w:rsid w:val="3A9D464B"/>
    <w:rsid w:val="3AD1763A"/>
    <w:rsid w:val="3B196883"/>
    <w:rsid w:val="3B6716E3"/>
    <w:rsid w:val="3B6C6B2D"/>
    <w:rsid w:val="3C242659"/>
    <w:rsid w:val="3C3605F7"/>
    <w:rsid w:val="3C96719C"/>
    <w:rsid w:val="3CA72BE8"/>
    <w:rsid w:val="3CDC1E1E"/>
    <w:rsid w:val="3CF37F8C"/>
    <w:rsid w:val="3D137554"/>
    <w:rsid w:val="3D452E5A"/>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AA72BB"/>
    <w:rsid w:val="42C10D7B"/>
    <w:rsid w:val="434E6957"/>
    <w:rsid w:val="43BA0E31"/>
    <w:rsid w:val="43C15147"/>
    <w:rsid w:val="43E14DD2"/>
    <w:rsid w:val="43F800E9"/>
    <w:rsid w:val="443A7E4B"/>
    <w:rsid w:val="444A7D08"/>
    <w:rsid w:val="450B5BBD"/>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9F33D62"/>
    <w:rsid w:val="4A0A26D2"/>
    <w:rsid w:val="4A2019A5"/>
    <w:rsid w:val="4A241A0B"/>
    <w:rsid w:val="4A5C2BD7"/>
    <w:rsid w:val="4A7B2875"/>
    <w:rsid w:val="4A934476"/>
    <w:rsid w:val="4AAA220A"/>
    <w:rsid w:val="4AE12E67"/>
    <w:rsid w:val="4B4C0111"/>
    <w:rsid w:val="4B8553A9"/>
    <w:rsid w:val="4BDB3730"/>
    <w:rsid w:val="4C200F7A"/>
    <w:rsid w:val="4C710173"/>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BD1B62"/>
    <w:rsid w:val="53D03877"/>
    <w:rsid w:val="542F73CA"/>
    <w:rsid w:val="5430786D"/>
    <w:rsid w:val="545A1D2A"/>
    <w:rsid w:val="54C811C0"/>
    <w:rsid w:val="556A442D"/>
    <w:rsid w:val="55DA564E"/>
    <w:rsid w:val="55E816A3"/>
    <w:rsid w:val="5604127D"/>
    <w:rsid w:val="56044E6C"/>
    <w:rsid w:val="56166703"/>
    <w:rsid w:val="56510474"/>
    <w:rsid w:val="56861525"/>
    <w:rsid w:val="56864AF3"/>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04598B"/>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35DF8"/>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17263"/>
    <w:rsid w:val="66085536"/>
    <w:rsid w:val="66105BF7"/>
    <w:rsid w:val="66150023"/>
    <w:rsid w:val="6628010D"/>
    <w:rsid w:val="669B4528"/>
    <w:rsid w:val="66CC12D7"/>
    <w:rsid w:val="67134CEF"/>
    <w:rsid w:val="671F1ABD"/>
    <w:rsid w:val="67521A59"/>
    <w:rsid w:val="67BC3723"/>
    <w:rsid w:val="67C304AB"/>
    <w:rsid w:val="67E819CA"/>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CF3D7B"/>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8035</Words>
  <Characters>9090</Characters>
  <Lines>0</Lines>
  <Paragraphs>0</Paragraphs>
  <TotalTime>15</TotalTime>
  <ScaleCrop>false</ScaleCrop>
  <LinksUpToDate>false</LinksUpToDate>
  <CharactersWithSpaces>9128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2025-04-11T04:42:54Z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