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沙湾市乌兰乌苏镇卫生院</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rPr>
      </w:pPr>
      <w:bookmarkStart w:id="4" w:name="_Toc31238"/>
      <w:bookmarkStart w:id="5" w:name="_Toc2151"/>
      <w:r>
        <w:rPr>
          <w:rFonts w:hint="eastAsia" w:ascii="仿宋_GB2312" w:eastAsia="仿宋_GB2312"/>
          <w:sz w:val="32"/>
          <w:szCs w:val="32"/>
          <w:highlight w:val="none"/>
        </w:rPr>
        <w:t>主要负责辖区内广大农牧民的基本医疗，预防保健，新型农牧区合作医疗的服务管理，乡村统一管理，乡村医生的培训和村卫生室的管理，公共卫生监督协管，公共卫生事件的处理，恢复期病人的康复治疗与康复指导，健康教育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沙湾市乌兰乌苏镇卫生院</w:t>
      </w:r>
      <w:r>
        <w:rPr>
          <w:rFonts w:hint="eastAsia" w:ascii="仿宋_GB2312" w:eastAsia="仿宋_GB2312"/>
          <w:sz w:val="32"/>
          <w:szCs w:val="32"/>
          <w:highlight w:val="none"/>
          <w:lang w:eastAsia="zh-CN"/>
        </w:rPr>
        <w:t>2023年度，</w:t>
      </w:r>
      <w:r>
        <w:rPr>
          <w:rFonts w:hint="eastAsia" w:ascii="仿宋_GB2312" w:eastAsia="仿宋_GB2312"/>
          <w:sz w:val="32"/>
          <w:szCs w:val="32"/>
          <w:highlight w:val="none"/>
        </w:rPr>
        <w:t>实有人数</w:t>
      </w:r>
      <w:r>
        <w:rPr>
          <w:rFonts w:hint="eastAsia" w:ascii="仿宋_GB2312" w:eastAsia="仿宋_GB2312"/>
          <w:sz w:val="32"/>
          <w:szCs w:val="32"/>
          <w:highlight w:val="none"/>
          <w:lang w:val="zh-CN" w:eastAsia="zh-CN"/>
        </w:rPr>
        <w:t>37</w:t>
      </w:r>
      <w:r>
        <w:rPr>
          <w:rFonts w:hint="eastAsia" w:ascii="仿宋_GB2312" w:eastAsia="仿宋_GB2312"/>
          <w:sz w:val="32"/>
          <w:szCs w:val="32"/>
          <w:highlight w:val="none"/>
        </w:rPr>
        <w:t>人，其中：在职人员</w:t>
      </w:r>
      <w:r>
        <w:rPr>
          <w:rFonts w:hint="eastAsia" w:ascii="仿宋_GB2312" w:eastAsia="仿宋_GB2312"/>
          <w:sz w:val="32"/>
          <w:szCs w:val="32"/>
          <w:highlight w:val="none"/>
          <w:lang w:val="zh-CN" w:eastAsia="zh-CN"/>
        </w:rPr>
        <w:t>28</w:t>
      </w:r>
      <w:r>
        <w:rPr>
          <w:rFonts w:hint="eastAsia" w:ascii="仿宋_GB2312" w:eastAsia="仿宋_GB2312"/>
          <w:sz w:val="32"/>
          <w:szCs w:val="32"/>
          <w:highlight w:val="none"/>
        </w:rPr>
        <w:t>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离休人员</w:t>
      </w:r>
      <w:r>
        <w:rPr>
          <w:rFonts w:hint="eastAsia" w:ascii="仿宋_GB2312" w:eastAsia="仿宋_GB2312"/>
          <w:sz w:val="32"/>
          <w:szCs w:val="32"/>
          <w:highlight w:val="none"/>
          <w:lang w:val="zh-CN" w:eastAsia="zh-CN"/>
        </w:rPr>
        <w:t>0</w:t>
      </w:r>
      <w:r>
        <w:rPr>
          <w:rFonts w:hint="eastAsia" w:ascii="仿宋_GB2312" w:eastAsia="仿宋_GB2312"/>
          <w:sz w:val="32"/>
          <w:szCs w:val="32"/>
          <w:highlight w:val="none"/>
        </w:rPr>
        <w:t>人，退休人员</w:t>
      </w:r>
      <w:r>
        <w:rPr>
          <w:rFonts w:hint="eastAsia" w:ascii="仿宋_GB2312" w:eastAsia="仿宋_GB2312"/>
          <w:sz w:val="32"/>
          <w:szCs w:val="32"/>
          <w:highlight w:val="none"/>
          <w:lang w:val="zh-CN" w:eastAsia="zh-CN"/>
        </w:rPr>
        <w:t>9</w:t>
      </w:r>
      <w:r>
        <w:rPr>
          <w:rFonts w:hint="eastAsia" w:ascii="仿宋_GB2312" w:eastAsia="仿宋_GB2312"/>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单位无下属预算单位，下设10个处室，分别是：药房、治疗室、护理办、公共卫生办公室、化验室、防疫室、妇幼办公室、B超室、医保办公室、财务室。</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789.83万元，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789.83万元，使用非财政拨款结余0.00万元，年初结转和结余0.00万元。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789.83万元，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768.11万元，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0.00万元，年末结转和结余21.72万元。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增加166.85万元</w:t>
      </w:r>
      <w:r>
        <w:rPr>
          <w:rFonts w:hint="eastAsia" w:ascii="仿宋_GB2312" w:eastAsia="仿宋_GB2312"/>
          <w:color w:val="auto"/>
          <w:spacing w:val="0"/>
          <w:sz w:val="32"/>
          <w:szCs w:val="32"/>
          <w:highlight w:val="none"/>
          <w:lang w:eastAsia="zh-CN"/>
        </w:rPr>
        <w:t>，增长26.78%，主要原因是：</w:t>
      </w:r>
      <w:r>
        <w:rPr>
          <w:rFonts w:hint="eastAsia" w:ascii="仿宋_GB2312" w:hAnsi="仿宋" w:eastAsia="仿宋_GB2312"/>
          <w:sz w:val="32"/>
          <w:szCs w:val="24"/>
          <w:lang w:val="en-US" w:eastAsia="zh-CN"/>
        </w:rPr>
        <w:t>1、</w:t>
      </w:r>
      <w:r>
        <w:rPr>
          <w:rFonts w:hint="eastAsia" w:ascii="仿宋_GB2312" w:eastAsia="仿宋_GB2312"/>
          <w:color w:val="auto"/>
          <w:spacing w:val="0"/>
          <w:sz w:val="32"/>
          <w:szCs w:val="32"/>
          <w:highlight w:val="none"/>
          <w:lang w:val="en-US" w:eastAsia="zh-CN"/>
        </w:rPr>
        <w:t>2023年发生事业收入及调增工资，调增并补发了基础绩效；2、发放了2018年下半年大绩效，使得人员工资社保支出大幅度提高；3、2022年单位医疗收入上缴非税，2023年单位医疗收入在事业收入核算；4、2023年单位医疗收入-住院收入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789.83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641.34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81.20%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148.41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18.79%</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本年支出768.11万元，其中：基本支出574.63万元，占74.81%；项目支出193.49万元，占25.19%；上缴上级支出0.00万元，占0.00%；经营支出0.00万元，占0.00%；对附属单位补助支出0.00万元，占0.00%。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641.34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641.34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641.34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641.34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增加18.36万元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增长2.95%,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1、2023年发生事业收入及调增工资，调增并补发了基础绩效；2、发放了2018年下半年大绩效，使得人员工资社保支出大幅度提高</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480.42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641.34</w:t>
      </w:r>
      <w:r>
        <w:rPr>
          <w:rFonts w:hint="eastAsia" w:ascii="仿宋_GB2312" w:eastAsia="仿宋_GB2312"/>
          <w:color w:val="auto"/>
          <w:spacing w:val="0"/>
          <w:sz w:val="32"/>
          <w:szCs w:val="32"/>
          <w:highlight w:val="none"/>
          <w:lang w:eastAsia="zh-CN"/>
        </w:rPr>
        <w:t>万元，预决算差异率33.50%，主要原因是：</w:t>
      </w:r>
      <w:r>
        <w:rPr>
          <w:rFonts w:hint="eastAsia" w:ascii="仿宋_GB2312" w:eastAsia="仿宋_GB2312"/>
          <w:color w:val="auto"/>
          <w:spacing w:val="0"/>
          <w:sz w:val="32"/>
          <w:szCs w:val="32"/>
          <w:highlight w:val="none"/>
          <w:lang w:val="en-US" w:eastAsia="zh-CN"/>
        </w:rPr>
        <w:t>2023年发生事业收入及调增工资，调增并补发了基础绩效；发放了2018年下半年大绩效，使得人员工资社保支出大幅度提高</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2023年度一般公共预算财政拨款支出641.34万元，占本年支出合计的</w:t>
      </w:r>
      <w:r>
        <w:rPr>
          <w:rFonts w:hint="eastAsia" w:ascii="仿宋_GB2312" w:eastAsia="仿宋_GB2312"/>
          <w:color w:val="auto"/>
          <w:spacing w:val="0"/>
          <w:sz w:val="32"/>
          <w:szCs w:val="32"/>
          <w:highlight w:val="none"/>
          <w:lang w:val="zh-CN" w:eastAsia="zh-CN"/>
        </w:rPr>
        <w:t>83.50%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增加18.36万元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增长2.95%,</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sz w:val="32"/>
          <w:szCs w:val="24"/>
          <w:lang w:val="en-US" w:eastAsia="zh-CN"/>
        </w:rPr>
        <w:t>1、</w:t>
      </w:r>
      <w:r>
        <w:rPr>
          <w:rFonts w:hint="eastAsia" w:ascii="仿宋_GB2312" w:eastAsia="仿宋_GB2312"/>
          <w:color w:val="auto"/>
          <w:spacing w:val="0"/>
          <w:sz w:val="32"/>
          <w:szCs w:val="32"/>
          <w:highlight w:val="none"/>
          <w:lang w:val="en-US" w:eastAsia="zh-CN"/>
        </w:rPr>
        <w:t>2023年发生事业收入及调增工资，调增并补发了基础绩效；2、发放了2018年下半年大绩效，使得人员工资社保支出大幅度提高</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480.42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641.34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33.50%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2023年发生事业收入及调增工资，调增并补发了基础绩效；发放了2018年下半年大绩效，使得人员工资社保支出大幅度提高</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45.25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7.06%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562.86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87.76%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33.23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5.18%</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1.卫生健康支出（类）行政事业单位医疗（款）事业单位医疗（项）:支出决算数为17.49万元，比上年决算减少2.80万元，下降13.80%，主要原因是：2023年度取消退休人员医疗保险</w:t>
      </w:r>
      <w:r>
        <w:rPr>
          <w:rFonts w:hint="eastAsia" w:ascii="仿宋_GB2312" w:eastAsia="仿宋_GB2312"/>
          <w:sz w:val="32"/>
          <w:szCs w:val="32"/>
          <w:highlight w:val="none"/>
          <w:lang w:val="en-US" w:eastAsia="zh-CN"/>
        </w:rPr>
        <w:t>单位医疗支出减少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kinsoku/>
        <w:wordWrap/>
        <w:overflowPunct/>
        <w:topLinePunct w:val="0"/>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2.卫生健康支出（类）基层医疗卫生机构（款）其他基层医疗卫生机构支出（项）:支出决算数为97.56万元，比上年决算增加59.28万元，增长154.86%，主要原因是：2023年增加了</w:t>
      </w:r>
      <w:r>
        <w:rPr>
          <w:rFonts w:hint="eastAsia" w:ascii="仿宋_GB2312" w:hAnsi="仿宋_GB2312" w:eastAsia="仿宋_GB2312" w:cs="仿宋_GB2312"/>
          <w:sz w:val="32"/>
          <w:szCs w:val="32"/>
          <w:lang w:val="zh-CN"/>
        </w:rPr>
        <w:t>2015-2017年卫生院门诊综合楼、村卫生室建设项目工程资金款。</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sz w:val="32"/>
          <w:szCs w:val="32"/>
          <w:highlight w:val="yellow"/>
          <w:lang w:val="en-US" w:eastAsia="zh-CN"/>
        </w:rPr>
      </w:pPr>
      <w:r>
        <w:rPr>
          <w:rFonts w:hint="eastAsia" w:ascii="仿宋_GB2312" w:hAnsi="仿宋_GB2312" w:eastAsia="仿宋_GB2312" w:cs="仿宋_GB2312"/>
          <w:color w:val="auto"/>
          <w:kern w:val="2"/>
          <w:sz w:val="32"/>
          <w:szCs w:val="32"/>
          <w:highlight w:val="none"/>
          <w:lang w:val="en-US" w:eastAsia="zh-CN" w:bidi="ar-SA"/>
        </w:rPr>
        <w:t>3.卫生健康支出（类）公共卫生（款）其他公共卫生支出（项）:支出决算数为12.59万元，比上年决算减少38.22万元，下降75.22%，主要原因是：</w:t>
      </w:r>
      <w:r>
        <w:rPr>
          <w:rFonts w:hint="eastAsia" w:ascii="仿宋_GB2312" w:eastAsia="仿宋_GB2312"/>
          <w:sz w:val="32"/>
          <w:szCs w:val="32"/>
          <w:highlight w:val="none"/>
          <w:lang w:val="en-US" w:eastAsia="zh-CN"/>
        </w:rPr>
        <w:t>2023年专用设备购置等项目未完成验收，项目资金未支付结转2024年。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4.卫生健康支出（类）基层医疗卫生机构（款）乡镇卫生院（项）:支出决算数为351.88万元，比上年决算减少0.60万元，下降0.17%，主要原因是：2022年支付乡镇村卫生室修建项目，2023年无此项支出，导致此科目</w:t>
      </w:r>
      <w:bookmarkStart w:id="48" w:name="_GoBack"/>
      <w:bookmarkEnd w:id="48"/>
      <w:r>
        <w:rPr>
          <w:rFonts w:hint="eastAsia" w:ascii="仿宋_GB2312" w:hAnsi="仿宋_GB2312" w:eastAsia="仿宋_GB2312" w:cs="仿宋_GB2312"/>
          <w:color w:val="auto"/>
          <w:kern w:val="2"/>
          <w:sz w:val="32"/>
          <w:szCs w:val="32"/>
          <w:highlight w:val="none"/>
          <w:lang w:val="en-US" w:eastAsia="zh-CN" w:bidi="ar-SA"/>
        </w:rPr>
        <w:t>支出下降</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kinsoku/>
        <w:wordWrap/>
        <w:overflowPunct/>
        <w:topLinePunct w:val="0"/>
        <w:bidi w:val="0"/>
        <w:adjustRightInd/>
        <w:snapToGrid/>
        <w:ind w:firstLine="640" w:firstLineChars="200"/>
        <w:textAlignment w:val="auto"/>
        <w:rPr>
          <w:rFonts w:hint="eastAsia" w:ascii="仿宋_GB2312" w:eastAsia="仿宋_GB2312"/>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5.住房保障支出（类）住房改革支出（款）住房公积金（项）:支出决算数为33.23万元，比上年决算增加2.76万元，增长9.06%，主要原因是：</w:t>
      </w:r>
      <w:r>
        <w:rPr>
          <w:rFonts w:hint="eastAsia" w:ascii="仿宋_GB2312" w:eastAsia="仿宋_GB2312"/>
          <w:sz w:val="32"/>
          <w:szCs w:val="32"/>
          <w:highlight w:val="none"/>
          <w:lang w:val="en-US" w:eastAsia="zh-CN"/>
        </w:rPr>
        <w:t>2023年人员工资普调，住房公积金缴费基数提高，单位住房公积金缴费支出增加。</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6.社会保障和就业支出（类）行政事业单位养老支出（款）事业单位离退休（项）:支出决算数为4.79万元，比上年决算增加1.89万元，增长65.17%，主要原因是：</w:t>
      </w:r>
      <w:r>
        <w:rPr>
          <w:rFonts w:hint="eastAsia" w:ascii="仿宋_GB2312" w:eastAsia="仿宋_GB2312"/>
          <w:sz w:val="32"/>
          <w:szCs w:val="32"/>
          <w:highlight w:val="none"/>
          <w:lang w:val="en-US" w:eastAsia="zh-CN"/>
        </w:rPr>
        <w:t>2023年补发退休基础绩效增资，事业单位离退休支出增加。</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7.卫生健康支出（类）公共卫生（款）基本公共卫生服务（项）:支出决算数为83.34万元，比上年决算增加3.16万元，增长3.94%，主要原因是：</w:t>
      </w:r>
      <w:r>
        <w:rPr>
          <w:rFonts w:hint="eastAsia" w:ascii="仿宋_GB2312" w:eastAsia="仿宋_GB2312"/>
          <w:sz w:val="32"/>
          <w:szCs w:val="32"/>
          <w:highlight w:val="none"/>
          <w:lang w:val="en-US" w:eastAsia="zh-CN"/>
        </w:rPr>
        <w:t>2023年基本公共卫生服务项目人均补助标准提高，村医基本公共卫生服务补助支出增加。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8.社会保障和就业支出（类）行政事业单位养老支出（款）机关事业单位基本养老保险缴费支出（项）:支出决算数为40.46万元，比上年决算增加8.65万元，增长27.19%，主要原因是：</w:t>
      </w:r>
      <w:r>
        <w:rPr>
          <w:rFonts w:hint="eastAsia" w:ascii="仿宋_GB2312" w:eastAsia="仿宋_GB2312"/>
          <w:sz w:val="32"/>
          <w:szCs w:val="32"/>
          <w:highlight w:val="none"/>
          <w:lang w:val="en-US" w:eastAsia="zh-CN"/>
        </w:rPr>
        <w:t>2023年人员工资普调，基本养老保险缴费基数提高，单位基本养老保险缴费支出增加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kinsoku/>
        <w:wordWrap/>
        <w:overflowPunct/>
        <w:topLinePunct w:val="0"/>
        <w:bidi w:val="0"/>
        <w:adjustRightInd/>
        <w:snapToGrid/>
        <w:ind w:firstLine="640" w:firstLineChars="200"/>
        <w:textAlignment w:val="auto"/>
        <w:rPr>
          <w:rFonts w:ascii="仿宋_GB2312" w:hAnsi="仿宋_GB2312" w:eastAsia="仿宋_GB2312" w:cs="仿宋_GB2312"/>
          <w:sz w:val="32"/>
          <w:szCs w:val="32"/>
          <w:highlight w:val="none"/>
          <w:lang w:val="zh-CN"/>
        </w:rPr>
      </w:pPr>
      <w:r>
        <w:rPr>
          <w:rFonts w:hint="eastAsia" w:ascii="仿宋_GB2312" w:hAnsi="仿宋_GB2312" w:eastAsia="仿宋_GB2312" w:cs="仿宋_GB2312"/>
          <w:color w:val="auto"/>
          <w:kern w:val="2"/>
          <w:sz w:val="32"/>
          <w:szCs w:val="32"/>
          <w:highlight w:val="none"/>
          <w:lang w:val="en-US" w:eastAsia="zh-CN" w:bidi="ar-SA"/>
        </w:rPr>
        <w:t>9.卫生健康支出（类）公立医院（款）其他公立医院支出（项）:支出决算数为0.00万元，比上年决算减少15.75万元，下降100%，主要原因是：</w:t>
      </w:r>
      <w:r>
        <w:rPr>
          <w:rFonts w:hint="eastAsia" w:ascii="仿宋_GB2312" w:hAnsi="仿宋_GB2312" w:eastAsia="仿宋_GB2312" w:cs="仿宋_GB2312"/>
          <w:sz w:val="32"/>
          <w:szCs w:val="32"/>
          <w:lang w:val="en-US" w:eastAsia="zh-CN"/>
        </w:rPr>
        <w:t>2023年减少</w:t>
      </w:r>
      <w:r>
        <w:rPr>
          <w:rFonts w:hint="eastAsia" w:ascii="仿宋_GB2312" w:hAnsi="仿宋_GB2312" w:eastAsia="仿宋_GB2312" w:cs="仿宋_GB2312"/>
          <w:sz w:val="32"/>
          <w:szCs w:val="32"/>
          <w:highlight w:val="none"/>
        </w:rPr>
        <w:t>其他公立医院</w:t>
      </w:r>
      <w:r>
        <w:rPr>
          <w:rFonts w:hint="eastAsia" w:ascii="仿宋_GB2312" w:hAnsi="仿宋_GB2312" w:eastAsia="仿宋_GB2312" w:cs="仿宋_GB2312"/>
          <w:sz w:val="32"/>
          <w:szCs w:val="32"/>
          <w:highlight w:val="none"/>
          <w:lang w:eastAsia="zh-CN"/>
        </w:rPr>
        <w:t>购买设备</w:t>
      </w:r>
      <w:r>
        <w:rPr>
          <w:rFonts w:hint="eastAsia" w:ascii="仿宋_GB2312" w:hAnsi="仿宋_GB2312" w:eastAsia="仿宋_GB2312" w:cs="仿宋_GB2312"/>
          <w:sz w:val="32"/>
          <w:szCs w:val="32"/>
          <w:highlight w:val="none"/>
          <w:lang w:val="en-US" w:eastAsia="zh-CN"/>
        </w:rPr>
        <w:t>支出，购买了全自动生化分析仪</w:t>
      </w:r>
      <w:r>
        <w:rPr>
          <w:rFonts w:hint="eastAsia" w:ascii="仿宋_GB2312" w:hAnsi="仿宋_GB2312" w:eastAsia="仿宋_GB2312" w:cs="仿宋_GB2312"/>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447.85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446.70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1.15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我单位无此项支出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单位无因公出国（境）费支出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kinsoku/>
        <w:wordWrap/>
        <w:overflowPunct/>
        <w:topLinePunct w:val="0"/>
        <w:bidi w:val="0"/>
        <w:adjustRightInd/>
        <w:snapToGrid/>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单位无公务用车运行维护费开支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lang w:val="zh-CN"/>
        </w:rPr>
        <w:t>我单位固定资产车辆救护车为特种车辆，不属于公务用车。</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我单位未安排公务用车购置费</w:t>
      </w:r>
      <w:r>
        <w:rPr>
          <w:rFonts w:hint="eastAsia" w:ascii="仿宋_GB2312" w:eastAsia="仿宋_GB2312"/>
          <w:sz w:val="32"/>
          <w:szCs w:val="32"/>
          <w:highlight w:val="none"/>
          <w:lang w:eastAsia="zh-CN"/>
        </w:rPr>
        <w:t>，</w:t>
      </w:r>
      <w:r>
        <w:rPr>
          <w:rFonts w:hint="eastAsia" w:ascii="仿宋_GB2312" w:hAnsi="宋体" w:eastAsia="仿宋_GB2312" w:cs="宋体"/>
          <w:kern w:val="0"/>
          <w:sz w:val="32"/>
          <w:szCs w:val="32"/>
          <w:highlight w:val="none"/>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宋体" w:eastAsia="仿宋_GB2312" w:cs="宋体"/>
          <w:kern w:val="0"/>
          <w:sz w:val="32"/>
          <w:szCs w:val="32"/>
          <w:highlight w:val="none"/>
        </w:rPr>
        <w:t>我单位未安排公务用车运行费，预决算无差异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我单位未安排公务接待费，预决算无差异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沙湾市乌兰乌苏镇卫生院（事业单位）公用经费支出1.15万元，</w:t>
      </w:r>
      <w:r>
        <w:rPr>
          <w:rFonts w:hint="eastAsia" w:ascii="仿宋_GB2312" w:hAnsi="仿宋_GB2312" w:eastAsia="仿宋_GB2312" w:cs="仿宋_GB2312"/>
          <w:color w:val="auto"/>
          <w:sz w:val="32"/>
          <w:szCs w:val="32"/>
          <w:highlight w:val="none"/>
          <w:lang w:val="zh-CN" w:eastAsia="zh-CN"/>
        </w:rPr>
        <w:t>比上年增加1.15万元，增长100.00%，主要原因是：</w:t>
      </w:r>
      <w:r>
        <w:rPr>
          <w:rFonts w:hint="eastAsia" w:ascii="仿宋_GB2312" w:hAnsi="仿宋_GB2312" w:eastAsia="仿宋_GB2312" w:cs="仿宋_GB2312"/>
          <w:sz w:val="32"/>
          <w:szCs w:val="32"/>
          <w:lang w:val="en-US" w:eastAsia="zh-CN"/>
        </w:rPr>
        <w:t>2023年拨付1.15万元为工会经费,2022年未拨付此项费用</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20.50万元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其中：政府采购货物支出14.03万元、政府采购工程支出0.00万元、政府采购服务支出6.47万元。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授予中小企业合同金额20.50万元，占政府采购支出总额的100.00%，其中：授予小微企业合同金额20.50万元，占政府采购支出总额的100.00%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959.38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屋4,242.84平方米，价值674.59万元。车辆1辆，价值15.51万元，其中：副部（省）级及以上领导用车0辆、主要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用车0辆、机要通信用车0辆、应急保障用车0辆、执法执勤用车0辆、特种专业技术用车1辆、离退休干部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eastAsia="仿宋_GB2312"/>
          <w:sz w:val="32"/>
          <w:szCs w:val="32"/>
          <w:highlight w:val="none"/>
          <w:lang w:eastAsia="zh-CN"/>
        </w:rPr>
        <w:t>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kinsoku/>
        <w:wordWrap/>
        <w:overflowPunct/>
        <w:topLinePunct w:val="0"/>
        <w:bidi w:val="0"/>
        <w:adjustRightInd/>
        <w:snapToGrid/>
        <w:ind w:firstLine="640" w:firstLineChars="200"/>
        <w:jc w:val="left"/>
        <w:textAlignment w:val="auto"/>
        <w:rPr>
          <w:rFonts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预算总额670.44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实际执行总额641.34</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全年预算数193.49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全年执行数193.49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一是根据年度绩效目标，从提升工作绩效入手，分解和细化绩效目标，明确项目绩效目标分管领导、责任科室及责任人；二是根据工作实际，加强绩效指标运行，制定措施办法，推进工作目标落实</w:t>
      </w:r>
      <w:r>
        <w:rPr>
          <w:rFonts w:hint="eastAsia" w:ascii="仿宋_GB2312" w:eastAsia="仿宋_GB2312"/>
          <w:color w:val="auto"/>
          <w:sz w:val="32"/>
          <w:szCs w:val="32"/>
          <w:highlight w:val="none"/>
          <w:lang w:eastAsia="zh-CN"/>
        </w:rPr>
        <w:t>。发现的问题及原因：</w:t>
      </w:r>
      <w:r>
        <w:rPr>
          <w:rFonts w:hint="eastAsia" w:ascii="仿宋_GB2312" w:eastAsia="仿宋_GB2312"/>
          <w:sz w:val="32"/>
          <w:szCs w:val="32"/>
          <w:highlight w:val="none"/>
          <w:lang w:eastAsia="zh-CN"/>
        </w:rPr>
        <w:t>一是对绩效目标的设定不够细化和准确，部分项目设置的绩效指标与项目实际脱节，导致时无法达到预期目标值,预期指标值不够精准，希望给予专业指导；二是绩效填报工作主要是财务人员负责，项目实施部门未积极参与项目绩效管理工作中来，导致交接不到位，部分项目未及时进行调整。</w:t>
      </w:r>
      <w:r>
        <w:rPr>
          <w:rFonts w:hint="eastAsia" w:ascii="仿宋_GB2312" w:eastAsia="仿宋_GB2312"/>
          <w:color w:val="auto"/>
          <w:sz w:val="32"/>
          <w:szCs w:val="32"/>
          <w:highlight w:val="none"/>
          <w:lang w:eastAsia="zh-CN"/>
        </w:rPr>
        <w:t>。下一步改进措施：</w:t>
      </w:r>
      <w:r>
        <w:rPr>
          <w:rFonts w:hint="eastAsia" w:ascii="仿宋_GB2312" w:eastAsia="仿宋_GB2312"/>
          <w:sz w:val="32"/>
          <w:szCs w:val="32"/>
          <w:highlight w:val="none"/>
          <w:lang w:eastAsia="zh-CN"/>
        </w:rPr>
        <w:t>一是加强各科室及时对接项目实施，明确分工，协调专人负责该项工作；二是通过对每笔资金的精细化管理来保障资金使用的合规、合法性，并据此分析各类资金支出产生的效益，使本单位的绩效工作上一个新台阶。</w:t>
      </w:r>
      <w:r>
        <w:rPr>
          <w:rFonts w:hint="eastAsia" w:ascii="仿宋_GB2312" w:eastAsia="仿宋_GB2312"/>
          <w:sz w:val="32"/>
          <w:szCs w:val="32"/>
        </w:rPr>
        <w:t>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1Y2I5NWM3ZmZjZTZjODE2OGY1NzAwZDM1ZGUxODEifQ=="/>
    <w:docVar w:name="KSO_WPS_MARK_KEY" w:val="41ee2a61-2d54-4f93-83be-afdb9a40d732"/>
  </w:docVars>
  <w:rsids>
    <w:rsidRoot w:val="00000000"/>
    <w:rsid w:val="00213C59"/>
    <w:rsid w:val="003210CE"/>
    <w:rsid w:val="00B70D59"/>
    <w:rsid w:val="00F52A8D"/>
    <w:rsid w:val="01065BA0"/>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000BD1"/>
    <w:rsid w:val="09114954"/>
    <w:rsid w:val="094143C6"/>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6743CB"/>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D548F5"/>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87618D1"/>
    <w:rsid w:val="190648B0"/>
    <w:rsid w:val="19071D6C"/>
    <w:rsid w:val="19D26CD4"/>
    <w:rsid w:val="19E60D19"/>
    <w:rsid w:val="1A3E3450"/>
    <w:rsid w:val="1AD807E5"/>
    <w:rsid w:val="1B11439D"/>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7F6160"/>
    <w:rsid w:val="2380045B"/>
    <w:rsid w:val="239C1C25"/>
    <w:rsid w:val="23BC04D2"/>
    <w:rsid w:val="23EF1892"/>
    <w:rsid w:val="2483647E"/>
    <w:rsid w:val="24A32D55"/>
    <w:rsid w:val="24CE6D9A"/>
    <w:rsid w:val="24D83154"/>
    <w:rsid w:val="25292727"/>
    <w:rsid w:val="252E5CA9"/>
    <w:rsid w:val="256F7692"/>
    <w:rsid w:val="25BA2154"/>
    <w:rsid w:val="25C8773F"/>
    <w:rsid w:val="26235823"/>
    <w:rsid w:val="264A7253"/>
    <w:rsid w:val="26E2748C"/>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CF82817"/>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4DE36D0"/>
    <w:rsid w:val="353369E3"/>
    <w:rsid w:val="35B21E0B"/>
    <w:rsid w:val="35B32AB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837C30"/>
    <w:rsid w:val="3C96719C"/>
    <w:rsid w:val="3CA72BE8"/>
    <w:rsid w:val="3CD0314E"/>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B52A92"/>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667A60"/>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1D3B11"/>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DC5669"/>
    <w:rsid w:val="52F647F7"/>
    <w:rsid w:val="52F92565"/>
    <w:rsid w:val="53AE735E"/>
    <w:rsid w:val="53D03877"/>
    <w:rsid w:val="53F05583"/>
    <w:rsid w:val="53FC6C59"/>
    <w:rsid w:val="542F73CA"/>
    <w:rsid w:val="5430786D"/>
    <w:rsid w:val="545A1D2A"/>
    <w:rsid w:val="54C811C0"/>
    <w:rsid w:val="55103960"/>
    <w:rsid w:val="556A442D"/>
    <w:rsid w:val="55DA564E"/>
    <w:rsid w:val="55E816A3"/>
    <w:rsid w:val="56005867"/>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8255C"/>
    <w:rsid w:val="63E9091F"/>
    <w:rsid w:val="64322AF9"/>
    <w:rsid w:val="64D6010D"/>
    <w:rsid w:val="64D82665"/>
    <w:rsid w:val="64E47C96"/>
    <w:rsid w:val="651E5741"/>
    <w:rsid w:val="653F04C7"/>
    <w:rsid w:val="655D7702"/>
    <w:rsid w:val="658A4877"/>
    <w:rsid w:val="65A00902"/>
    <w:rsid w:val="65AC6EDD"/>
    <w:rsid w:val="65D97752"/>
    <w:rsid w:val="66085536"/>
    <w:rsid w:val="66105BF7"/>
    <w:rsid w:val="66150023"/>
    <w:rsid w:val="6628010D"/>
    <w:rsid w:val="669B4528"/>
    <w:rsid w:val="66CC12D7"/>
    <w:rsid w:val="67134CEF"/>
    <w:rsid w:val="671F1ABD"/>
    <w:rsid w:val="67521A59"/>
    <w:rsid w:val="67966A36"/>
    <w:rsid w:val="67C304AB"/>
    <w:rsid w:val="683F0658"/>
    <w:rsid w:val="689C6793"/>
    <w:rsid w:val="68DB0208"/>
    <w:rsid w:val="68E1456D"/>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EFC7F8C"/>
    <w:rsid w:val="6F795A80"/>
    <w:rsid w:val="6F7C1D2E"/>
    <w:rsid w:val="6F7E6BF3"/>
    <w:rsid w:val="6F8E0407"/>
    <w:rsid w:val="6FC732C8"/>
    <w:rsid w:val="6FDD069F"/>
    <w:rsid w:val="702B4D16"/>
    <w:rsid w:val="70AA6621"/>
    <w:rsid w:val="7111480F"/>
    <w:rsid w:val="71261F49"/>
    <w:rsid w:val="712E6956"/>
    <w:rsid w:val="71422FD7"/>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891AB5"/>
    <w:rsid w:val="76BE0C8F"/>
    <w:rsid w:val="76CD53B2"/>
    <w:rsid w:val="76E6594C"/>
    <w:rsid w:val="770719AC"/>
    <w:rsid w:val="776526CC"/>
    <w:rsid w:val="77A262E1"/>
    <w:rsid w:val="77B13C33"/>
    <w:rsid w:val="77DC095A"/>
    <w:rsid w:val="77ED6F44"/>
    <w:rsid w:val="77F45548"/>
    <w:rsid w:val="77FC440B"/>
    <w:rsid w:val="784E7CA6"/>
    <w:rsid w:val="78574801"/>
    <w:rsid w:val="7873527F"/>
    <w:rsid w:val="78737B54"/>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hint="default" w:ascii="仿宋_GB2312" w:hAnsi="仿宋_GB2312" w:eastAsia="仿宋_GB2312"/>
      <w:b/>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3784</Words>
  <Characters>4407</Characters>
  <Lines>0</Lines>
  <Paragraphs>0</Paragraphs>
  <TotalTime>3</TotalTime>
  <ScaleCrop>false</ScaleCrop>
  <LinksUpToDate>false</LinksUpToDate>
  <CharactersWithSpaces>4416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2024-11-22T10:02:13Z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8E3D98D45E914C13A85B23DD3490314F_13</vt:lpwstr>
  </property>
</Properties>
</file>