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02589C">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14:paraId="400300EE">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14:paraId="5AA35859">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沙湾市中心敬老院</w:t>
      </w:r>
    </w:p>
    <w:p w14:paraId="0F64FB66">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14:paraId="57FAFAFF">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14:paraId="1038BFEE">
      <w:pPr>
        <w:keepNext w:val="0"/>
        <w:keepLines w:val="0"/>
        <w:pageBreakBefore w:val="0"/>
        <w:kinsoku/>
        <w:wordWrap/>
        <w:overflowPunct/>
        <w:topLinePunct w:val="0"/>
        <w:bidi w:val="0"/>
        <w:adjustRightInd/>
        <w:spacing w:line="240" w:lineRule="auto"/>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14:paraId="2E04F0A5">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14:paraId="5AF28EAA">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14:paraId="1FC08492">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14:paraId="6B621637">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14:paraId="5006A998">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14:paraId="652B3816">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14:paraId="16ACD68F">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14:paraId="45885F2D">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14:paraId="17A5DADA">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14:paraId="090C143F">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14:paraId="3ED28E93">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14:paraId="5AAE4248">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148B380E">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14:paraId="7A3C8CFD">
      <w:pPr>
        <w:keepNext w:val="0"/>
        <w:keepLines w:val="0"/>
        <w:pageBreakBefore w:val="0"/>
        <w:kinsoku/>
        <w:wordWrap/>
        <w:overflowPunct/>
        <w:topLinePunct w:val="0"/>
        <w:bidi w:val="0"/>
        <w:adjustRightInd/>
        <w:spacing w:line="240" w:lineRule="auto"/>
        <w:textAlignment w:val="auto"/>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14:paraId="7E94EE64">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2C0BBFBE">
      <w:pPr>
        <w:pStyle w:val="4"/>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14:paraId="424D0209">
      <w:pPr>
        <w:pStyle w:val="4"/>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14:paraId="16645E01">
      <w:pPr>
        <w:pStyle w:val="4"/>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14:paraId="1AE02616">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14:paraId="2F9AD899">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14:paraId="3CD0E674">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14:paraId="240238B6">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14:paraId="59C2075E">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14:paraId="7F8B8035">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14:paraId="2C70A32F">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14:paraId="3821DA42">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14:paraId="4611F5AB">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14:paraId="064996A7">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14:paraId="7FCBA4EC">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14:paraId="1173A945">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14:paraId="02DFA1AA">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14:paraId="532BC594">
      <w:pPr>
        <w:keepNext w:val="0"/>
        <w:keepLines w:val="0"/>
        <w:pageBreakBefore w:val="0"/>
        <w:widowControl w:val="0"/>
        <w:kinsoku/>
        <w:wordWrap/>
        <w:overflowPunct/>
        <w:topLinePunct w:val="0"/>
        <w:autoSpaceDE/>
        <w:autoSpaceDN/>
        <w:bidi w:val="0"/>
        <w:adjustRightInd/>
        <w:snapToGrid/>
        <w:spacing w:line="240" w:lineRule="auto"/>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14:paraId="2521EC82">
      <w:pPr>
        <w:keepNext w:val="0"/>
        <w:keepLines w:val="0"/>
        <w:pageBreakBefore w:val="0"/>
        <w:kinsoku/>
        <w:wordWrap/>
        <w:overflowPunct/>
        <w:topLinePunct w:val="0"/>
        <w:bidi w:val="0"/>
        <w:adjustRightInd/>
        <w:spacing w:line="240" w:lineRule="auto"/>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14:paraId="2F3C218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14:paraId="73642BE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14:paraId="6774A75C">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sz w:val="32"/>
          <w:szCs w:val="32"/>
          <w:highlight w:val="none"/>
        </w:rPr>
        <w:t>（1）组织</w:t>
      </w:r>
      <w:r>
        <w:rPr>
          <w:rFonts w:hint="eastAsia" w:ascii="仿宋_GB2312" w:eastAsia="仿宋_GB2312"/>
          <w:sz w:val="32"/>
          <w:szCs w:val="32"/>
          <w:highlight w:val="none"/>
          <w:lang w:val="en-US" w:eastAsia="zh-CN"/>
        </w:rPr>
        <w:t>制</w:t>
      </w:r>
      <w:r>
        <w:rPr>
          <w:rFonts w:hint="eastAsia" w:ascii="仿宋_GB2312" w:eastAsia="仿宋_GB2312"/>
          <w:sz w:val="32"/>
          <w:szCs w:val="32"/>
          <w:highlight w:val="none"/>
        </w:rPr>
        <w:t>定和实施全市社会福利发展规划，推动社会化服务体系的建立和发展，为我市老年公寓养老入托人员提供生活、医疗保健、卫生服务、日常护理等系列服务，指导老年人的权益保障工作，协调处理流浪乞讨人员的收容遣送工作。（2）负责全市婚姻登记和儿童收养工作，宣传婚姻法律、法规、倡导文明婚俗。（3）负责全市孤残、困境儿童救助工作，使特困孤儿及家庭无力抚养困境儿童实现集中供养，确保此类儿童健康成长。（4）承办市民政局交办的其</w:t>
      </w:r>
      <w:r>
        <w:rPr>
          <w:rFonts w:hint="eastAsia" w:ascii="仿宋_GB2312" w:eastAsia="仿宋_GB2312"/>
          <w:sz w:val="32"/>
          <w:szCs w:val="32"/>
          <w:highlight w:val="none"/>
          <w:lang w:val="en-US" w:eastAsia="zh-CN"/>
        </w:rPr>
        <w:t>他</w:t>
      </w:r>
      <w:r>
        <w:rPr>
          <w:rFonts w:hint="eastAsia" w:ascii="仿宋_GB2312" w:eastAsia="仿宋_GB2312"/>
          <w:sz w:val="32"/>
          <w:szCs w:val="32"/>
          <w:highlight w:val="none"/>
        </w:rPr>
        <w:t>工作。</w:t>
      </w:r>
    </w:p>
    <w:p w14:paraId="766FA9D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4" w:name="_Toc31238"/>
      <w:bookmarkStart w:id="5" w:name="_Toc2151"/>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14:paraId="7DF514D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沙湾市中心敬老院</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22</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19</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3</w:t>
      </w:r>
      <w:r>
        <w:rPr>
          <w:rFonts w:hint="eastAsia" w:ascii="仿宋_GB2312" w:eastAsia="仿宋_GB2312"/>
          <w:color w:val="auto"/>
          <w:sz w:val="32"/>
          <w:szCs w:val="32"/>
          <w:highlight w:val="none"/>
        </w:rPr>
        <w:t>人。</w:t>
      </w:r>
    </w:p>
    <w:p w14:paraId="42D60EFE">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sz w:val="32"/>
          <w:szCs w:val="32"/>
          <w:highlight w:val="none"/>
          <w:lang w:eastAsia="zh-CN"/>
        </w:rPr>
      </w:pPr>
      <w:bookmarkStart w:id="6" w:name="_Toc3092"/>
      <w:bookmarkStart w:id="7" w:name="_Toc29374"/>
      <w:r>
        <w:rPr>
          <w:rFonts w:hint="eastAsia" w:ascii="仿宋_GB2312" w:eastAsia="仿宋_GB2312"/>
          <w:sz w:val="32"/>
          <w:szCs w:val="32"/>
          <w:highlight w:val="none"/>
          <w:lang w:eastAsia="zh-CN"/>
        </w:rPr>
        <w:t>单位无下属预算单位，下设</w:t>
      </w:r>
      <w:r>
        <w:rPr>
          <w:rFonts w:hint="eastAsia" w:ascii="仿宋_GB2312" w:eastAsia="仿宋_GB2312"/>
          <w:sz w:val="32"/>
          <w:szCs w:val="32"/>
          <w:highlight w:val="none"/>
          <w:lang w:val="en-US" w:eastAsia="zh-CN"/>
        </w:rPr>
        <w:t>4</w:t>
      </w:r>
      <w:r>
        <w:rPr>
          <w:rFonts w:hint="eastAsia" w:ascii="仿宋_GB2312" w:eastAsia="仿宋_GB2312"/>
          <w:sz w:val="32"/>
          <w:szCs w:val="32"/>
          <w:highlight w:val="none"/>
          <w:lang w:eastAsia="zh-CN"/>
        </w:rPr>
        <w:t>个处室，分别是：沙湾市中心敬老院，沙湾市儿童福利院，沙湾市民政局婚姻登记中心、救助站。</w:t>
      </w:r>
    </w:p>
    <w:p w14:paraId="71C6602B">
      <w:pPr>
        <w:rPr>
          <w:rFonts w:hint="eastAsia" w:ascii="黑体" w:hAnsi="黑体" w:eastAsia="黑体"/>
          <w:color w:val="auto"/>
          <w:sz w:val="32"/>
          <w:szCs w:val="32"/>
          <w:highlight w:val="none"/>
        </w:rPr>
      </w:pPr>
      <w:r>
        <w:rPr>
          <w:rFonts w:hint="eastAsia" w:ascii="黑体" w:hAnsi="黑体" w:eastAsia="黑体"/>
          <w:color w:val="auto"/>
          <w:sz w:val="32"/>
          <w:szCs w:val="32"/>
          <w:highlight w:val="none"/>
        </w:rPr>
        <w:br w:type="page"/>
      </w:r>
    </w:p>
    <w:p w14:paraId="5676A0C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14:paraId="669799F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25314"/>
      <w:bookmarkStart w:id="9" w:name="_Toc12566"/>
      <w:r>
        <w:rPr>
          <w:rFonts w:hint="eastAsia" w:ascii="黑体" w:hAnsi="黑体" w:eastAsia="黑体" w:cs="宋体"/>
          <w:bCs/>
          <w:color w:val="auto"/>
          <w:kern w:val="0"/>
          <w:sz w:val="32"/>
          <w:szCs w:val="32"/>
          <w:highlight w:val="none"/>
        </w:rPr>
        <w:t>一、收入支出决算总体情况说明</w:t>
      </w:r>
      <w:bookmarkEnd w:id="8"/>
      <w:bookmarkEnd w:id="9"/>
    </w:p>
    <w:p w14:paraId="283B1D9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662.89万元，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662.89万元，使用非财政拨款结余0.00万元，年初结转和结余0.00万元。</w:t>
      </w:r>
    </w:p>
    <w:p w14:paraId="07950C8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662.89万元，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662.89万元，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14:paraId="70F588C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增加23.88万元</w:t>
      </w:r>
      <w:r>
        <w:rPr>
          <w:rFonts w:hint="eastAsia" w:ascii="仿宋_GB2312" w:eastAsia="仿宋_GB2312"/>
          <w:color w:val="auto"/>
          <w:spacing w:val="0"/>
          <w:sz w:val="32"/>
          <w:szCs w:val="32"/>
          <w:highlight w:val="none"/>
          <w:lang w:eastAsia="zh-CN"/>
        </w:rPr>
        <w:t>，增长3.74%，主要原因是：</w:t>
      </w:r>
      <w:r>
        <w:rPr>
          <w:rFonts w:hint="eastAsia" w:ascii="仿宋_GB2312" w:eastAsia="仿宋_GB2312"/>
          <w:color w:val="auto"/>
          <w:spacing w:val="0"/>
          <w:sz w:val="32"/>
          <w:szCs w:val="32"/>
          <w:highlight w:val="none"/>
          <w:lang w:val="en-US" w:eastAsia="zh-CN"/>
        </w:rPr>
        <w:t>1、2023年调增</w:t>
      </w:r>
      <w:r>
        <w:rPr>
          <w:rFonts w:hint="eastAsia" w:ascii="仿宋_GB2312" w:hAnsi="仿宋" w:eastAsia="仿宋_GB2312"/>
          <w:sz w:val="32"/>
          <w:szCs w:val="24"/>
        </w:rPr>
        <w:t>并补发</w:t>
      </w:r>
      <w:r>
        <w:rPr>
          <w:rFonts w:hint="eastAsia" w:ascii="仿宋_GB2312" w:eastAsia="仿宋_GB2312"/>
          <w:color w:val="auto"/>
          <w:spacing w:val="0"/>
          <w:sz w:val="32"/>
          <w:szCs w:val="32"/>
          <w:highlight w:val="none"/>
          <w:lang w:val="en-US" w:eastAsia="zh-CN"/>
        </w:rPr>
        <w:t>了基础绩效奖，艰边津贴，</w:t>
      </w:r>
      <w:r>
        <w:rPr>
          <w:rFonts w:hint="eastAsia" w:ascii="仿宋_GB2312" w:hAnsi="仿宋" w:eastAsia="仿宋_GB2312"/>
          <w:sz w:val="32"/>
          <w:szCs w:val="24"/>
        </w:rPr>
        <w:t>及补发2022年，2018年下半年大绩效</w:t>
      </w:r>
      <w:r>
        <w:rPr>
          <w:rFonts w:hint="eastAsia" w:ascii="仿宋_GB2312" w:eastAsia="仿宋_GB2312"/>
          <w:color w:val="auto"/>
          <w:spacing w:val="0"/>
          <w:sz w:val="32"/>
          <w:szCs w:val="32"/>
          <w:highlight w:val="none"/>
          <w:lang w:val="en-US" w:eastAsia="zh-CN"/>
        </w:rPr>
        <w:t>等原因，人员</w:t>
      </w:r>
      <w:r>
        <w:rPr>
          <w:rFonts w:hint="eastAsia" w:ascii="仿宋_GB2312" w:eastAsia="仿宋_GB2312"/>
          <w:sz w:val="32"/>
          <w:szCs w:val="32"/>
          <w:highlight w:val="none"/>
        </w:rPr>
        <w:t>工资</w:t>
      </w:r>
      <w:r>
        <w:rPr>
          <w:rFonts w:hint="eastAsia" w:ascii="仿宋_GB2312" w:eastAsia="仿宋_GB2312"/>
          <w:sz w:val="32"/>
          <w:szCs w:val="32"/>
          <w:highlight w:val="none"/>
          <w:lang w:val="en-US" w:eastAsia="zh-CN"/>
        </w:rPr>
        <w:t>增加</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职工养老、住房公积金等社保收支增加。2、</w:t>
      </w:r>
      <w:r>
        <w:rPr>
          <w:rFonts w:hint="eastAsia" w:ascii="仿宋_GB2312" w:eastAsia="仿宋_GB2312"/>
          <w:color w:val="auto"/>
          <w:spacing w:val="0"/>
          <w:sz w:val="32"/>
          <w:szCs w:val="32"/>
          <w:highlight w:val="none"/>
          <w:lang w:val="en-US" w:eastAsia="zh-CN"/>
        </w:rPr>
        <w:t>2023年</w:t>
      </w:r>
      <w:r>
        <w:rPr>
          <w:rFonts w:hint="eastAsia" w:ascii="仿宋_GB2312" w:eastAsia="仿宋_GB2312"/>
          <w:sz w:val="32"/>
          <w:szCs w:val="32"/>
          <w:highlight w:val="none"/>
        </w:rPr>
        <w:t>集中供养农村特困、城市特困人员</w:t>
      </w:r>
      <w:r>
        <w:rPr>
          <w:rFonts w:hint="eastAsia" w:ascii="仿宋_GB2312" w:eastAsia="仿宋_GB2312"/>
          <w:sz w:val="32"/>
          <w:szCs w:val="32"/>
          <w:highlight w:val="none"/>
          <w:lang w:val="en-US" w:eastAsia="zh-CN"/>
        </w:rPr>
        <w:t>入院人数增加，生活费及</w:t>
      </w:r>
      <w:r>
        <w:rPr>
          <w:rFonts w:hint="eastAsia" w:ascii="仿宋_GB2312" w:eastAsia="仿宋_GB2312"/>
          <w:sz w:val="32"/>
          <w:szCs w:val="32"/>
          <w:highlight w:val="none"/>
        </w:rPr>
        <w:t>照料护理补</w:t>
      </w:r>
      <w:r>
        <w:rPr>
          <w:rFonts w:hint="eastAsia" w:ascii="仿宋_GB2312" w:eastAsia="仿宋_GB2312"/>
          <w:sz w:val="32"/>
          <w:szCs w:val="32"/>
          <w:highlight w:val="none"/>
          <w:lang w:val="en-US" w:eastAsia="zh-CN"/>
        </w:rPr>
        <w:t>助收支增加。</w:t>
      </w:r>
    </w:p>
    <w:p w14:paraId="3BC23C5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14:paraId="0D9E232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662.89</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662.89</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100.00%</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p>
    <w:p w14:paraId="5A1A259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13201"/>
      <w:bookmarkStart w:id="13" w:name="_Toc27961"/>
      <w:r>
        <w:rPr>
          <w:rFonts w:hint="eastAsia" w:ascii="黑体" w:hAnsi="黑体" w:eastAsia="黑体" w:cs="宋体"/>
          <w:bCs/>
          <w:color w:val="auto"/>
          <w:kern w:val="0"/>
          <w:sz w:val="32"/>
          <w:szCs w:val="32"/>
          <w:highlight w:val="none"/>
          <w:lang w:eastAsia="zh-CN"/>
        </w:rPr>
        <w:t>三、支出决算情况说明</w:t>
      </w:r>
      <w:bookmarkEnd w:id="12"/>
      <w:bookmarkEnd w:id="13"/>
    </w:p>
    <w:p w14:paraId="482ECBE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本年支出662.89万元，其中：基本支出305.13万元，占46.03%；项目支出357.76万元，占53.97%；上缴上级支出0.00万元，占0.00%；经营支出0.00万元，占0.00%；对附属单位补助支出0.00万元，占0.00%。</w:t>
      </w:r>
    </w:p>
    <w:p w14:paraId="1BA635D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4393"/>
      <w:bookmarkStart w:id="15" w:name="_Toc26564"/>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14:paraId="78C957B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662.89</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662.89</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662.89</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662.89</w:t>
      </w:r>
      <w:r>
        <w:rPr>
          <w:rFonts w:hint="eastAsia" w:ascii="仿宋_GB2312" w:eastAsia="仿宋_GB2312"/>
          <w:color w:val="auto"/>
          <w:spacing w:val="0"/>
          <w:sz w:val="32"/>
          <w:szCs w:val="32"/>
          <w:highlight w:val="none"/>
          <w:lang w:eastAsia="zh-CN"/>
        </w:rPr>
        <w:t>万元。</w:t>
      </w:r>
    </w:p>
    <w:p w14:paraId="169263F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增加23.88万元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增长3.74%,</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1、2023年，调增了基础绩效奖，艰边津贴，发放了以前年度大绩效等原因，人员工资增加</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职工养老、住房公积金等社保收支增加。2、</w:t>
      </w:r>
      <w:r>
        <w:rPr>
          <w:rFonts w:hint="eastAsia" w:ascii="仿宋_GB2312" w:eastAsia="仿宋_GB2312"/>
          <w:color w:val="auto"/>
          <w:spacing w:val="0"/>
          <w:sz w:val="32"/>
          <w:szCs w:val="32"/>
          <w:highlight w:val="none"/>
          <w:lang w:val="en-US" w:eastAsia="zh-CN"/>
        </w:rPr>
        <w:t>2023年</w:t>
      </w:r>
      <w:r>
        <w:rPr>
          <w:rFonts w:hint="eastAsia" w:ascii="仿宋_GB2312" w:eastAsia="仿宋_GB2312"/>
          <w:sz w:val="32"/>
          <w:szCs w:val="32"/>
          <w:highlight w:val="none"/>
        </w:rPr>
        <w:t>集中供养农村特困、城市特困人员</w:t>
      </w:r>
      <w:r>
        <w:rPr>
          <w:rFonts w:hint="eastAsia" w:ascii="仿宋_GB2312" w:eastAsia="仿宋_GB2312"/>
          <w:sz w:val="32"/>
          <w:szCs w:val="32"/>
          <w:highlight w:val="none"/>
          <w:lang w:val="en-US" w:eastAsia="zh-CN"/>
        </w:rPr>
        <w:t>入院人数增加，生活费及</w:t>
      </w:r>
      <w:r>
        <w:rPr>
          <w:rFonts w:hint="eastAsia" w:ascii="仿宋_GB2312" w:eastAsia="仿宋_GB2312"/>
          <w:sz w:val="32"/>
          <w:szCs w:val="32"/>
          <w:highlight w:val="none"/>
        </w:rPr>
        <w:t>照料护理补贴</w:t>
      </w:r>
      <w:r>
        <w:rPr>
          <w:rFonts w:hint="eastAsia" w:ascii="仿宋_GB2312" w:eastAsia="仿宋_GB2312"/>
          <w:sz w:val="32"/>
          <w:szCs w:val="32"/>
          <w:highlight w:val="none"/>
          <w:lang w:val="en-US" w:eastAsia="zh-CN"/>
        </w:rPr>
        <w:t>收支增加</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749.66</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662.89</w:t>
      </w:r>
      <w:r>
        <w:rPr>
          <w:rFonts w:hint="eastAsia" w:ascii="仿宋_GB2312" w:eastAsia="仿宋_GB2312"/>
          <w:color w:val="auto"/>
          <w:spacing w:val="0"/>
          <w:sz w:val="32"/>
          <w:szCs w:val="32"/>
          <w:highlight w:val="none"/>
          <w:lang w:eastAsia="zh-CN"/>
        </w:rPr>
        <w:t>万元，预决算差异率-11.57%，主要原因是：</w:t>
      </w:r>
      <w:r>
        <w:rPr>
          <w:rFonts w:hint="eastAsia" w:ascii="仿宋_GB2312" w:eastAsia="仿宋_GB2312"/>
          <w:color w:val="auto"/>
          <w:spacing w:val="0"/>
          <w:sz w:val="32"/>
          <w:szCs w:val="32"/>
          <w:highlight w:val="none"/>
          <w:lang w:val="en-US" w:eastAsia="zh-CN"/>
        </w:rPr>
        <w:t>1.2023年困难群众救助补助资金主要使用了中央，自助区困难群众救助资金，未使用县级配套困难群众救助资金，造成预决算差异。2.双集中工作经费年初预算人员工资标准较高，实际执行工资标准较低</w:t>
      </w:r>
      <w:r>
        <w:rPr>
          <w:rFonts w:hint="eastAsia" w:ascii="仿宋_GB2312" w:eastAsia="仿宋_GB2312"/>
          <w:color w:val="auto"/>
          <w:spacing w:val="0"/>
          <w:sz w:val="32"/>
          <w:szCs w:val="32"/>
          <w:highlight w:val="none"/>
          <w:lang w:eastAsia="zh-CN"/>
        </w:rPr>
        <w:t>。</w:t>
      </w:r>
    </w:p>
    <w:p w14:paraId="3F739D6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14:paraId="0C329FB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14:paraId="197A46E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2023年度一般公共预算财政拨款支出629.89万元，占本年支出合计的</w:t>
      </w:r>
      <w:r>
        <w:rPr>
          <w:rFonts w:hint="eastAsia" w:ascii="仿宋_GB2312" w:eastAsia="仿宋_GB2312"/>
          <w:color w:val="auto"/>
          <w:spacing w:val="0"/>
          <w:sz w:val="32"/>
          <w:szCs w:val="32"/>
          <w:highlight w:val="none"/>
          <w:lang w:val="zh-CN" w:eastAsia="zh-CN"/>
        </w:rPr>
        <w:t>95.02%</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增加23.88万元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增长3.94%,</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1.2023年调增</w:t>
      </w:r>
      <w:r>
        <w:rPr>
          <w:rFonts w:hint="eastAsia" w:ascii="仿宋_GB2312" w:hAnsi="仿宋" w:eastAsia="仿宋_GB2312"/>
          <w:sz w:val="32"/>
          <w:szCs w:val="24"/>
        </w:rPr>
        <w:t>并补发</w:t>
      </w:r>
      <w:r>
        <w:rPr>
          <w:rFonts w:hint="eastAsia" w:ascii="仿宋_GB2312" w:eastAsia="仿宋_GB2312"/>
          <w:color w:val="auto"/>
          <w:spacing w:val="0"/>
          <w:sz w:val="32"/>
          <w:szCs w:val="32"/>
          <w:highlight w:val="none"/>
          <w:lang w:val="en-US" w:eastAsia="zh-CN"/>
        </w:rPr>
        <w:t>了基础绩效奖，艰边津贴，</w:t>
      </w:r>
      <w:r>
        <w:rPr>
          <w:rFonts w:hint="eastAsia" w:ascii="仿宋_GB2312" w:hAnsi="仿宋" w:eastAsia="仿宋_GB2312"/>
          <w:sz w:val="32"/>
          <w:szCs w:val="24"/>
        </w:rPr>
        <w:t>补发2022年</w:t>
      </w:r>
      <w:r>
        <w:rPr>
          <w:rFonts w:hint="eastAsia" w:ascii="仿宋_GB2312" w:hAnsi="仿宋" w:eastAsia="仿宋_GB2312"/>
          <w:sz w:val="32"/>
          <w:szCs w:val="24"/>
          <w:lang w:eastAsia="zh-CN"/>
        </w:rPr>
        <w:t>、</w:t>
      </w:r>
      <w:r>
        <w:rPr>
          <w:rFonts w:hint="eastAsia" w:ascii="仿宋_GB2312" w:hAnsi="仿宋" w:eastAsia="仿宋_GB2312"/>
          <w:sz w:val="32"/>
          <w:szCs w:val="24"/>
        </w:rPr>
        <w:t>2018年下半年大绩效</w:t>
      </w:r>
      <w:r>
        <w:rPr>
          <w:rFonts w:hint="eastAsia" w:ascii="仿宋_GB2312" w:eastAsia="仿宋_GB2312"/>
          <w:color w:val="auto"/>
          <w:spacing w:val="0"/>
          <w:sz w:val="32"/>
          <w:szCs w:val="32"/>
          <w:highlight w:val="none"/>
          <w:lang w:val="en-US" w:eastAsia="zh-CN"/>
        </w:rPr>
        <w:t>等原因，人员工资增加</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职工养老、住房公积金等社保增加。2.</w:t>
      </w:r>
      <w:r>
        <w:rPr>
          <w:rFonts w:hint="eastAsia" w:ascii="仿宋_GB2312" w:eastAsia="仿宋_GB2312"/>
          <w:color w:val="auto"/>
          <w:spacing w:val="0"/>
          <w:sz w:val="32"/>
          <w:szCs w:val="32"/>
          <w:highlight w:val="none"/>
          <w:lang w:val="en-US" w:eastAsia="zh-CN"/>
        </w:rPr>
        <w:t>2023年</w:t>
      </w:r>
      <w:r>
        <w:rPr>
          <w:rFonts w:hint="eastAsia" w:ascii="仿宋_GB2312" w:eastAsia="仿宋_GB2312"/>
          <w:sz w:val="32"/>
          <w:szCs w:val="32"/>
          <w:highlight w:val="none"/>
        </w:rPr>
        <w:t>集中供养农村特困、城市特困人员</w:t>
      </w:r>
      <w:r>
        <w:rPr>
          <w:rFonts w:hint="eastAsia" w:ascii="仿宋_GB2312" w:eastAsia="仿宋_GB2312"/>
          <w:sz w:val="32"/>
          <w:szCs w:val="32"/>
          <w:highlight w:val="none"/>
          <w:lang w:val="en-US" w:eastAsia="zh-CN"/>
        </w:rPr>
        <w:t>入院人数增加，生活费及</w:t>
      </w:r>
      <w:r>
        <w:rPr>
          <w:rFonts w:hint="eastAsia" w:ascii="仿宋_GB2312" w:eastAsia="仿宋_GB2312"/>
          <w:sz w:val="32"/>
          <w:szCs w:val="32"/>
          <w:highlight w:val="none"/>
        </w:rPr>
        <w:t>照料护理</w:t>
      </w:r>
      <w:r>
        <w:rPr>
          <w:rFonts w:hint="eastAsia" w:ascii="仿宋_GB2312" w:eastAsia="仿宋_GB2312"/>
          <w:sz w:val="32"/>
          <w:szCs w:val="32"/>
          <w:highlight w:val="none"/>
          <w:lang w:val="en-US" w:eastAsia="zh-CN"/>
        </w:rPr>
        <w:t>补助增加。</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739.66</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629.89</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-14.84%</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1.2023年困难群众救助补助资金主要使用了中央，自助区困难群众救助资金，未使用县级配套困难群众救助资金。2.双集中工作经费年初预算人员工资标准较高，实际执行工资标准较低。</w:t>
      </w:r>
    </w:p>
    <w:p w14:paraId="37E42DF3">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14:paraId="638DD79A">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1</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598.75</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95.06%</w:t>
      </w:r>
      <w:r>
        <w:rPr>
          <w:rFonts w:hint="default" w:ascii="仿宋_GB2312" w:hAnsi="Times New Roman" w:eastAsia="仿宋_GB2312" w:cs="Times New Roman"/>
          <w:color w:val="auto"/>
          <w:spacing w:val="0"/>
          <w:kern w:val="2"/>
          <w:sz w:val="32"/>
          <w:szCs w:val="32"/>
          <w:highlight w:val="none"/>
          <w:lang w:val="zh-CN" w:eastAsia="zh-CN" w:bidi="ar-SA"/>
        </w:rPr>
        <w:t>；</w:t>
      </w:r>
    </w:p>
    <w:p w14:paraId="0868D8C5">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2</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10.89</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1.73%</w:t>
      </w:r>
      <w:r>
        <w:rPr>
          <w:rFonts w:hint="default" w:ascii="仿宋_GB2312" w:hAnsi="Times New Roman" w:eastAsia="仿宋_GB2312" w:cs="Times New Roman"/>
          <w:color w:val="auto"/>
          <w:spacing w:val="0"/>
          <w:kern w:val="2"/>
          <w:sz w:val="32"/>
          <w:szCs w:val="32"/>
          <w:highlight w:val="none"/>
          <w:lang w:val="zh-CN" w:eastAsia="zh-CN" w:bidi="ar-SA"/>
        </w:rPr>
        <w:t>；</w:t>
      </w:r>
    </w:p>
    <w:p w14:paraId="140FC5B1">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3</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20.25</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3.21%</w:t>
      </w:r>
      <w:r>
        <w:rPr>
          <w:rFonts w:hint="default" w:ascii="仿宋_GB2312" w:hAnsi="Times New Roman" w:eastAsia="仿宋_GB2312" w:cs="Times New Roman"/>
          <w:color w:val="auto"/>
          <w:spacing w:val="0"/>
          <w:kern w:val="2"/>
          <w:sz w:val="32"/>
          <w:szCs w:val="32"/>
          <w:highlight w:val="none"/>
          <w:lang w:val="zh-CN" w:eastAsia="zh-CN" w:bidi="ar-SA"/>
        </w:rPr>
        <w:t>；</w:t>
      </w:r>
    </w:p>
    <w:p w14:paraId="1A3837B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14:paraId="7EB34755">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1.社会保障和就业支出（类）社会福利（款）社会福利事业单位（项）:支出决算数为372.89万元，比上年决算增加2.76万元，增长0.75%，主要原因是：</w:t>
      </w:r>
      <w:r>
        <w:rPr>
          <w:rFonts w:hint="eastAsia" w:ascii="仿宋_GB2312" w:eastAsia="仿宋_GB2312"/>
          <w:color w:val="auto"/>
          <w:spacing w:val="0"/>
          <w:sz w:val="32"/>
          <w:szCs w:val="32"/>
          <w:highlight w:val="none"/>
          <w:lang w:val="en-US" w:eastAsia="zh-CN"/>
        </w:rPr>
        <w:t>2023年调增工资，职称晋升等人员工资增加。</w:t>
      </w:r>
    </w:p>
    <w:p w14:paraId="169A6C41">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2.卫生健康支出（类）行政事业单位医疗（款）事业单位医疗（项）:支出决算数为10.89万元，比上年决算减少0.44万元，下降3.88%，主要原因是：2023年按相关规定事业</w:t>
      </w:r>
      <w:r>
        <w:rPr>
          <w:rFonts w:hint="eastAsia" w:ascii="仿宋_GB2312" w:hAnsi="仿宋" w:eastAsia="仿宋_GB2312"/>
          <w:sz w:val="32"/>
          <w:szCs w:val="24"/>
        </w:rPr>
        <w:t>退休人员</w:t>
      </w:r>
      <w:r>
        <w:rPr>
          <w:rFonts w:hint="eastAsia" w:ascii="仿宋_GB2312" w:hAnsi="仿宋" w:eastAsia="仿宋_GB2312"/>
          <w:sz w:val="32"/>
          <w:szCs w:val="24"/>
          <w:lang w:val="en-US" w:eastAsia="zh-CN"/>
        </w:rPr>
        <w:t>的</w:t>
      </w:r>
      <w:r>
        <w:rPr>
          <w:rFonts w:hint="eastAsia" w:ascii="仿宋_GB2312" w:hAnsi="仿宋" w:eastAsia="仿宋_GB2312"/>
          <w:sz w:val="32"/>
          <w:szCs w:val="24"/>
        </w:rPr>
        <w:t>医疗</w:t>
      </w:r>
      <w:r>
        <w:rPr>
          <w:rFonts w:hint="eastAsia" w:ascii="仿宋_GB2312" w:hAnsi="仿宋" w:eastAsia="仿宋_GB2312"/>
          <w:sz w:val="32"/>
          <w:szCs w:val="24"/>
          <w:lang w:val="en-US" w:eastAsia="zh-CN"/>
        </w:rPr>
        <w:t>缴费停缴</w:t>
      </w:r>
      <w:r>
        <w:rPr>
          <w:rFonts w:hint="eastAsia" w:ascii="仿宋_GB2312" w:hAnsi="仿宋_GB2312" w:eastAsia="仿宋_GB2312" w:cs="仿宋_GB2312"/>
          <w:color w:val="auto"/>
          <w:kern w:val="2"/>
          <w:sz w:val="32"/>
          <w:szCs w:val="32"/>
          <w:highlight w:val="none"/>
          <w:lang w:val="zh-CN" w:eastAsia="zh-CN" w:bidi="ar-SA"/>
        </w:rPr>
        <w:t>。</w:t>
      </w:r>
    </w:p>
    <w:p w14:paraId="41CE58A8">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3.社会保障和就业支出（类）社会福利（款）其他社会福利支出（项）:支出决算数为4.05万元，比上年决算增加4.05万元，增长100%，主要原因是：2023年新增了自费老人生活费项目</w:t>
      </w:r>
      <w:r>
        <w:rPr>
          <w:rFonts w:hint="eastAsia" w:ascii="仿宋_GB2312" w:hAnsi="仿宋_GB2312" w:eastAsia="仿宋_GB2312" w:cs="仿宋_GB2312"/>
          <w:color w:val="auto"/>
          <w:kern w:val="2"/>
          <w:sz w:val="32"/>
          <w:szCs w:val="32"/>
          <w:highlight w:val="none"/>
          <w:lang w:val="zh-CN" w:eastAsia="zh-CN" w:bidi="ar-SA"/>
        </w:rPr>
        <w:t>。</w:t>
      </w:r>
    </w:p>
    <w:p w14:paraId="126AADBA">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4.社会保障和就业支出（类）社会福利（款）儿童福利（项）:支出决算数为36.73万元，比上年决算减少18.51万元，下降33.51%，主要原因是：2023年集中供养孤儿及困境子女人数减少</w:t>
      </w:r>
      <w:r>
        <w:rPr>
          <w:rFonts w:hint="eastAsia" w:ascii="仿宋_GB2312" w:hAnsi="仿宋_GB2312" w:eastAsia="仿宋_GB2312" w:cs="仿宋_GB2312"/>
          <w:color w:val="auto"/>
          <w:kern w:val="2"/>
          <w:sz w:val="32"/>
          <w:szCs w:val="32"/>
          <w:highlight w:val="none"/>
          <w:lang w:val="zh-CN" w:eastAsia="zh-CN" w:bidi="ar-SA"/>
        </w:rPr>
        <w:t>。</w:t>
      </w:r>
    </w:p>
    <w:p w14:paraId="45EF55B8">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5.社会保障和就业支出（类）特困人员救助供养（款）城市特困人员救助供养支出（项）:支出决算数为18.28万元，比上年决算增加3.04万元，增长19.95%，主要原因是：2023年集中供养城市特困人员增加，生活费支出及照料护理费支出增加</w:t>
      </w:r>
      <w:r>
        <w:rPr>
          <w:rFonts w:hint="eastAsia" w:ascii="仿宋_GB2312" w:hAnsi="仿宋_GB2312" w:eastAsia="仿宋_GB2312" w:cs="仿宋_GB2312"/>
          <w:color w:val="auto"/>
          <w:kern w:val="2"/>
          <w:sz w:val="32"/>
          <w:szCs w:val="32"/>
          <w:highlight w:val="none"/>
          <w:lang w:val="zh-CN" w:eastAsia="zh-CN" w:bidi="ar-SA"/>
        </w:rPr>
        <w:t>。</w:t>
      </w:r>
    </w:p>
    <w:p w14:paraId="1855809A">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6.住房保障支出（类）住房改革支出（款）住房公积金（项）:支出决算数为20.25万元，比上年决算增加1.36万元，增长7.20%，主要原因是：2023年工资调标，公积金缴费基数增加</w:t>
      </w:r>
      <w:r>
        <w:rPr>
          <w:rFonts w:hint="eastAsia" w:ascii="仿宋_GB2312" w:hAnsi="仿宋_GB2312" w:eastAsia="仿宋_GB2312" w:cs="仿宋_GB2312"/>
          <w:color w:val="auto"/>
          <w:kern w:val="2"/>
          <w:sz w:val="32"/>
          <w:szCs w:val="32"/>
          <w:highlight w:val="none"/>
          <w:lang w:val="zh-CN" w:eastAsia="zh-CN" w:bidi="ar-SA"/>
        </w:rPr>
        <w:t>。</w:t>
      </w:r>
    </w:p>
    <w:p w14:paraId="07C00DB1">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7.社会保障和就业支出（类）社会福利（款）老年福利（项）:支出决算数为5.00万元，比上年决算减少10.00万元，下降66.67%，主要原因是：2023年，敬老院老年公寓电路改造决算数为5万元，2022年此项决算数为15万元，因此此项支出决算数下降</w:t>
      </w:r>
      <w:r>
        <w:rPr>
          <w:rFonts w:hint="eastAsia" w:ascii="仿宋_GB2312" w:hAnsi="仿宋_GB2312" w:eastAsia="仿宋_GB2312" w:cs="仿宋_GB2312"/>
          <w:color w:val="auto"/>
          <w:kern w:val="2"/>
          <w:sz w:val="32"/>
          <w:szCs w:val="32"/>
          <w:highlight w:val="none"/>
          <w:lang w:val="zh-CN" w:eastAsia="zh-CN" w:bidi="ar-SA"/>
        </w:rPr>
        <w:t>。</w:t>
      </w:r>
    </w:p>
    <w:p w14:paraId="66DBE9DA">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8.社会保障和就业支出（类）特困人员救助供养（款）农村特困人员救助供养支出（项）:支出决算数为134.59万元，比上年决算增加42.11万元，增长45.53%，主要原因是：2023年集中供养农村特困人员增加，生活费支出及照料护理费支出增加</w:t>
      </w:r>
      <w:r>
        <w:rPr>
          <w:rFonts w:hint="eastAsia" w:ascii="仿宋_GB2312" w:hAnsi="仿宋_GB2312" w:eastAsia="仿宋_GB2312" w:cs="仿宋_GB2312"/>
          <w:color w:val="auto"/>
          <w:kern w:val="2"/>
          <w:sz w:val="32"/>
          <w:szCs w:val="32"/>
          <w:highlight w:val="none"/>
          <w:lang w:val="zh-CN" w:eastAsia="zh-CN" w:bidi="ar-SA"/>
        </w:rPr>
        <w:t>。</w:t>
      </w:r>
    </w:p>
    <w:p w14:paraId="0044D570">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9.社会保障和就业支出（类）行政事业单位养老支出（款）事业单位离退休（项）:支出决算数为1.62万元，比上年决算增加0.67万元，增长70.53%，主要原因是：2023年，发放退休人员基础绩效奖</w:t>
      </w:r>
      <w:r>
        <w:rPr>
          <w:rFonts w:hint="eastAsia" w:ascii="仿宋_GB2312" w:hAnsi="仿宋_GB2312" w:eastAsia="仿宋_GB2312" w:cs="仿宋_GB2312"/>
          <w:color w:val="auto"/>
          <w:kern w:val="2"/>
          <w:sz w:val="32"/>
          <w:szCs w:val="32"/>
          <w:highlight w:val="none"/>
          <w:lang w:val="zh-CN" w:eastAsia="zh-CN" w:bidi="ar-SA"/>
        </w:rPr>
        <w:t>。</w:t>
      </w:r>
    </w:p>
    <w:p w14:paraId="215E5B0E">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10.社会保障和就业支出（类）行政事业单位养老支出（款）机关事业单位基本养老保险缴费支出（项）:支出决算数为25.58万元，比上年决算增加4.68万元，增长22.39%，主要原因是：2023年，工资调标，事业单位养老基数增加，因此事业单位养老支出增长</w:t>
      </w:r>
      <w:r>
        <w:rPr>
          <w:rFonts w:hint="eastAsia" w:ascii="仿宋_GB2312" w:hAnsi="仿宋_GB2312" w:eastAsia="仿宋_GB2312" w:cs="仿宋_GB2312"/>
          <w:color w:val="auto"/>
          <w:kern w:val="2"/>
          <w:sz w:val="32"/>
          <w:szCs w:val="32"/>
          <w:highlight w:val="none"/>
          <w:lang w:val="zh-CN" w:eastAsia="zh-CN" w:bidi="ar-SA"/>
        </w:rPr>
        <w:t>。</w:t>
      </w:r>
    </w:p>
    <w:p w14:paraId="35135C6A">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11.社会保障和就业支出（类）临时救助（款）流浪乞讨人员救助支出（项）:支出决算数为0.00万元，比上年决算减少5.86万元，下降100%，主要原因是：2023年减少了流浪乞讨支出</w:t>
      </w:r>
      <w:r>
        <w:rPr>
          <w:rFonts w:hint="eastAsia" w:ascii="仿宋_GB2312" w:hAnsi="仿宋_GB2312" w:eastAsia="仿宋_GB2312" w:cs="仿宋_GB2312"/>
          <w:color w:val="auto"/>
          <w:kern w:val="2"/>
          <w:sz w:val="32"/>
          <w:szCs w:val="32"/>
          <w:highlight w:val="none"/>
          <w:lang w:val="zh-CN" w:eastAsia="zh-CN" w:bidi="ar-SA"/>
        </w:rPr>
        <w:t>。</w:t>
      </w:r>
    </w:p>
    <w:p w14:paraId="3C35F85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14:paraId="7AF55643">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305.13</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271.95</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基本工资、津贴补贴、奖金、绩效工资、机关事业单位基本养老保险缴费、职工基本医疗保险缴费、其他社会保障缴费、住房公积金、退休费、生活补助、奖励金。</w:t>
      </w:r>
    </w:p>
    <w:p w14:paraId="03A68546">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33.18</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办公费、水费、电费、邮电费、取暖费、差旅费、工会经费、公务用车运行维护费、其他交通费用。</w:t>
      </w:r>
    </w:p>
    <w:p w14:paraId="1159437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14:paraId="6243ED9E">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“三公”经费支出0.15万元，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与上年相比，</w:t>
      </w:r>
      <w:r>
        <w:rPr>
          <w:rFonts w:hint="eastAsia" w:ascii="仿宋_GB2312" w:eastAsia="仿宋_GB2312"/>
          <w:color w:val="auto"/>
          <w:sz w:val="32"/>
          <w:szCs w:val="32"/>
          <w:highlight w:val="none"/>
          <w:lang w:val="zh-CN" w:eastAsia="zh-CN"/>
        </w:rPr>
        <w:t>“三公”经费支出</w:t>
      </w:r>
      <w:r>
        <w:rPr>
          <w:rFonts w:hint="eastAsia" w:ascii="仿宋_GB2312" w:eastAsia="仿宋_GB2312"/>
          <w:color w:val="auto"/>
          <w:sz w:val="32"/>
          <w:szCs w:val="32"/>
          <w:highlight w:val="none"/>
          <w:lang w:val="en-US" w:eastAsia="zh-CN"/>
        </w:rPr>
        <w:t>无变化</w:t>
      </w:r>
      <w:r>
        <w:rPr>
          <w:rFonts w:hint="eastAsia" w:ascii="仿宋_GB2312" w:eastAsia="仿宋_GB2312"/>
          <w:color w:val="auto"/>
          <w:sz w:val="32"/>
          <w:szCs w:val="32"/>
          <w:highlight w:val="none"/>
          <w:lang w:val="zh-CN" w:eastAsia="zh-CN"/>
        </w:rPr>
        <w:t>。其中：因公出国（境）费支出0.00万元，占0.00%，比上年增加0.00万元，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sz w:val="32"/>
          <w:szCs w:val="32"/>
          <w:highlight w:val="none"/>
        </w:rPr>
        <w:t>我单位无因公出国（境）费支出</w:t>
      </w:r>
      <w:r>
        <w:rPr>
          <w:rFonts w:hint="eastAsia" w:ascii="仿宋_GB2312" w:eastAsia="仿宋_GB2312"/>
          <w:color w:val="auto"/>
          <w:sz w:val="32"/>
          <w:szCs w:val="32"/>
          <w:highlight w:val="none"/>
          <w:lang w:val="zh-CN" w:eastAsia="zh-CN"/>
        </w:rPr>
        <w:t>；公务用车购置及运行维护费支出0.15万元，占100.00%，比上年增加0.00万元，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与上年相比，</w:t>
      </w:r>
      <w:r>
        <w:rPr>
          <w:rFonts w:hint="eastAsia" w:ascii="仿宋_GB2312" w:eastAsia="仿宋_GB2312"/>
          <w:color w:val="auto"/>
          <w:sz w:val="32"/>
          <w:szCs w:val="32"/>
          <w:highlight w:val="none"/>
          <w:lang w:val="zh-CN" w:eastAsia="zh-CN"/>
        </w:rPr>
        <w:t>公务用车购置及运行维护费支出</w:t>
      </w:r>
      <w:r>
        <w:rPr>
          <w:rFonts w:hint="eastAsia" w:ascii="仿宋_GB2312" w:eastAsia="仿宋_GB2312"/>
          <w:color w:val="auto"/>
          <w:sz w:val="32"/>
          <w:szCs w:val="32"/>
          <w:highlight w:val="none"/>
          <w:lang w:val="en-US" w:eastAsia="zh-CN"/>
        </w:rPr>
        <w:t>无变化</w:t>
      </w:r>
      <w:r>
        <w:rPr>
          <w:rFonts w:hint="eastAsia" w:ascii="仿宋_GB2312" w:eastAsia="仿宋_GB2312"/>
          <w:color w:val="auto"/>
          <w:sz w:val="32"/>
          <w:szCs w:val="32"/>
          <w:highlight w:val="none"/>
          <w:lang w:val="zh-CN" w:eastAsia="zh-CN"/>
        </w:rPr>
        <w:t>。；公务接待费支出0.00万元，占0.00%，比上年增加0.00万元，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我单位无公务接待费支出</w:t>
      </w:r>
      <w:r>
        <w:rPr>
          <w:rFonts w:hint="eastAsia" w:ascii="仿宋_GB2312" w:eastAsia="仿宋_GB2312"/>
          <w:color w:val="auto"/>
          <w:sz w:val="32"/>
          <w:szCs w:val="32"/>
          <w:highlight w:val="none"/>
          <w:lang w:val="zh-CN" w:eastAsia="zh-CN"/>
        </w:rPr>
        <w:t>。</w:t>
      </w:r>
    </w:p>
    <w:p w14:paraId="22BF8C8A">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14:paraId="41B9E4C4">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w:t>
      </w:r>
      <w:r>
        <w:rPr>
          <w:rFonts w:hint="eastAsia" w:ascii="仿宋_GB2312" w:eastAsia="仿宋_GB2312"/>
          <w:sz w:val="32"/>
          <w:szCs w:val="32"/>
          <w:lang w:val="zh-CN"/>
        </w:rPr>
        <w:t>开支内容包括:我单位本年未发生因公出国（境）人员。</w:t>
      </w:r>
      <w:r>
        <w:rPr>
          <w:rFonts w:hint="eastAsia" w:ascii="仿宋_GB2312" w:eastAsia="仿宋_GB2312"/>
          <w:color w:val="auto"/>
          <w:sz w:val="32"/>
          <w:szCs w:val="32"/>
          <w:highlight w:val="none"/>
          <w:lang w:val="zh-CN" w:eastAsia="zh-CN"/>
        </w:rPr>
        <w:t>单位全年安排的因公出国（境）团组0个，因公出国（境）0人次。</w:t>
      </w:r>
    </w:p>
    <w:p w14:paraId="3A28A037">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公务用车购置及运行维护费0.15万元，其中：公务用车购置费0.00万元，公务用车运行维护费0.15万元。公务用车运行维护费开支内容包括</w:t>
      </w:r>
      <w:r>
        <w:rPr>
          <w:rFonts w:hint="eastAsia" w:ascii="仿宋_GB2312" w:eastAsia="仿宋_GB2312"/>
          <w:color w:val="auto"/>
          <w:sz w:val="32"/>
          <w:szCs w:val="32"/>
          <w:highlight w:val="none"/>
          <w:lang w:val="en-US" w:eastAsia="zh-CN"/>
        </w:rPr>
        <w:t>车辆加油费，检测费和过路费</w:t>
      </w:r>
      <w:r>
        <w:rPr>
          <w:rFonts w:hint="eastAsia" w:ascii="仿宋_GB2312" w:eastAsia="仿宋_GB2312"/>
          <w:color w:val="auto"/>
          <w:sz w:val="32"/>
          <w:szCs w:val="32"/>
          <w:highlight w:val="none"/>
          <w:lang w:val="zh-CN" w:eastAsia="zh-CN"/>
        </w:rPr>
        <w:t>。公务用车购置数0辆，公务用车保有量1辆。国有资产占用情况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1辆，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原因是：无差异。</w:t>
      </w:r>
    </w:p>
    <w:p w14:paraId="281831A5">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hint="eastAsia" w:ascii="仿宋_GB2312" w:eastAsia="仿宋_GB2312"/>
          <w:color w:val="auto"/>
          <w:sz w:val="32"/>
          <w:szCs w:val="32"/>
          <w:highlight w:val="none"/>
          <w:lang w:val="en-US" w:eastAsia="zh-CN"/>
        </w:rPr>
        <w:t>我单位无</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支出</w:t>
      </w:r>
      <w:bookmarkStart w:id="48" w:name="_GoBack"/>
      <w:bookmarkEnd w:id="48"/>
      <w:r>
        <w:rPr>
          <w:rFonts w:hint="eastAsia" w:ascii="仿宋_GB2312" w:eastAsia="仿宋_GB2312"/>
          <w:color w:val="auto"/>
          <w:sz w:val="32"/>
          <w:szCs w:val="32"/>
          <w:highlight w:val="none"/>
          <w:lang w:val="zh-CN" w:eastAsia="zh-CN"/>
        </w:rPr>
        <w:t>。单位全年安排的国内公务接待0批次，0人次。</w:t>
      </w:r>
    </w:p>
    <w:p w14:paraId="1E316702">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预算数0.15万元，决算数0.15万元，预决算差异率0.00%，主要原因是：</w:t>
      </w:r>
      <w:r>
        <w:rPr>
          <w:rFonts w:hint="eastAsia" w:ascii="仿宋_GB2312" w:eastAsia="仿宋_GB2312"/>
          <w:color w:val="auto"/>
          <w:sz w:val="32"/>
          <w:szCs w:val="32"/>
          <w:highlight w:val="none"/>
          <w:lang w:val="en-US" w:eastAsia="zh-CN"/>
        </w:rPr>
        <w:t>严格按照预算执行</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sz w:val="32"/>
          <w:szCs w:val="32"/>
          <w:highlight w:val="none"/>
          <w:lang w:eastAsia="zh-CN"/>
        </w:rPr>
        <w:t>我单位未安排因公出国（境）费，预决算无差异</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highlight w:val="none"/>
        </w:rPr>
        <w:t>我单位未安排公务用车购置费，预决算无差异</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预算数0.15万元，决算数0.15万元，预决算差异率0.00%，主要原因是：</w:t>
      </w:r>
      <w:r>
        <w:rPr>
          <w:rFonts w:hint="eastAsia" w:ascii="仿宋_GB2312" w:hAnsi="宋体" w:eastAsia="仿宋_GB2312" w:cs="宋体"/>
          <w:kern w:val="0"/>
          <w:sz w:val="32"/>
          <w:szCs w:val="32"/>
          <w:highlight w:val="none"/>
        </w:rPr>
        <w:t>公务用车运行费预算数和决算数无变化，预决算无差异</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highlight w:val="none"/>
        </w:rPr>
        <w:t>我单位未安排公务接待费，预决算无差异。</w:t>
      </w:r>
    </w:p>
    <w:p w14:paraId="404FA0F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5810"/>
      <w:bookmarkStart w:id="19"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14:paraId="50F1D62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zh-CN"/>
        </w:rPr>
        <w:t>政府性基金预算</w:t>
      </w:r>
      <w:r>
        <w:rPr>
          <w:rFonts w:hint="eastAsia" w:ascii="仿宋_GB2312" w:hAnsi="仿宋_GB2312" w:eastAsia="仿宋_GB2312" w:cs="仿宋_GB2312"/>
          <w:color w:val="auto"/>
          <w:sz w:val="32"/>
          <w:szCs w:val="32"/>
          <w:highlight w:val="none"/>
          <w:lang w:val="en-US" w:eastAsia="zh-CN"/>
        </w:rPr>
        <w:t>财政拨款</w:t>
      </w:r>
      <w:r>
        <w:rPr>
          <w:rFonts w:hint="eastAsia" w:ascii="仿宋_GB2312" w:hAnsi="仿宋_GB2312" w:eastAsia="仿宋_GB2312" w:cs="仿宋_GB2312"/>
          <w:color w:val="auto"/>
          <w:sz w:val="32"/>
          <w:szCs w:val="32"/>
          <w:highlight w:val="none"/>
          <w:lang w:val="zh-CN"/>
        </w:rPr>
        <w:t>收入</w:t>
      </w:r>
      <w:r>
        <w:rPr>
          <w:rFonts w:hint="eastAsia" w:ascii="仿宋_GB2312" w:hAnsi="仿宋_GB2312" w:eastAsia="仿宋_GB2312" w:cs="仿宋_GB2312"/>
          <w:color w:val="auto"/>
          <w:sz w:val="32"/>
          <w:szCs w:val="32"/>
          <w:highlight w:val="none"/>
          <w:lang w:val="en-US" w:eastAsia="zh-CN"/>
        </w:rPr>
        <w:t>总计33.00</w:t>
      </w:r>
      <w:r>
        <w:rPr>
          <w:rFonts w:hint="eastAsia" w:ascii="仿宋_GB2312" w:hAnsi="仿宋_GB2312" w:eastAsia="仿宋_GB2312" w:cs="仿宋_GB2312"/>
          <w:color w:val="auto"/>
          <w:sz w:val="32"/>
          <w:szCs w:val="32"/>
          <w:highlight w:val="none"/>
          <w:lang w:val="zh-CN"/>
        </w:rPr>
        <w:t>万元，</w:t>
      </w:r>
      <w:r>
        <w:rPr>
          <w:rFonts w:hint="eastAsia" w:ascii="仿宋_GB2312" w:hAnsi="仿宋_GB2312" w:eastAsia="仿宋_GB2312" w:cs="仿宋_GB2312"/>
          <w:color w:val="auto"/>
          <w:sz w:val="32"/>
          <w:szCs w:val="32"/>
          <w:highlight w:val="none"/>
          <w:lang w:val="en-US" w:eastAsia="zh-CN"/>
        </w:rPr>
        <w:t>其中：年初结转和结余0.00</w:t>
      </w:r>
      <w:r>
        <w:rPr>
          <w:rFonts w:hint="eastAsia" w:ascii="仿宋_GB2312" w:hAnsi="仿宋_GB2312" w:eastAsia="仿宋_GB2312" w:cs="仿宋_GB2312"/>
          <w:color w:val="auto"/>
          <w:sz w:val="32"/>
          <w:szCs w:val="32"/>
          <w:highlight w:val="none"/>
          <w:lang w:val="zh-CN"/>
        </w:rPr>
        <w:t>万元</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本年收入33.00</w:t>
      </w:r>
      <w:r>
        <w:rPr>
          <w:rFonts w:hint="eastAsia" w:ascii="仿宋_GB2312" w:hAnsi="仿宋_GB2312" w:eastAsia="仿宋_GB2312" w:cs="仿宋_GB2312"/>
          <w:color w:val="auto"/>
          <w:sz w:val="32"/>
          <w:szCs w:val="32"/>
          <w:highlight w:val="none"/>
          <w:lang w:val="zh-CN"/>
        </w:rPr>
        <w:t>万元</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zh-CN"/>
        </w:rPr>
        <w:t>政府性基金预算财政拨款支出</w:t>
      </w:r>
      <w:r>
        <w:rPr>
          <w:rFonts w:hint="eastAsia" w:ascii="仿宋_GB2312" w:hAnsi="仿宋_GB2312" w:eastAsia="仿宋_GB2312" w:cs="仿宋_GB2312"/>
          <w:color w:val="auto"/>
          <w:sz w:val="32"/>
          <w:szCs w:val="32"/>
          <w:highlight w:val="none"/>
          <w:lang w:val="en-US" w:eastAsia="zh-CN"/>
        </w:rPr>
        <w:t>总计33.00</w:t>
      </w:r>
      <w:r>
        <w:rPr>
          <w:rFonts w:hint="eastAsia" w:ascii="仿宋_GB2312" w:hAnsi="仿宋_GB2312" w:eastAsia="仿宋_GB2312" w:cs="仿宋_GB2312"/>
          <w:color w:val="auto"/>
          <w:sz w:val="32"/>
          <w:szCs w:val="32"/>
          <w:highlight w:val="none"/>
          <w:lang w:val="zh-CN"/>
        </w:rPr>
        <w:t>万元，</w:t>
      </w:r>
      <w:r>
        <w:rPr>
          <w:rFonts w:hint="eastAsia" w:ascii="仿宋_GB2312" w:hAnsi="仿宋_GB2312" w:eastAsia="仿宋_GB2312" w:cs="仿宋_GB2312"/>
          <w:color w:val="auto"/>
          <w:sz w:val="32"/>
          <w:szCs w:val="32"/>
          <w:highlight w:val="none"/>
          <w:lang w:val="en-US" w:eastAsia="zh-CN"/>
        </w:rPr>
        <w:t>其中：年末结转和结余0.00</w:t>
      </w:r>
      <w:r>
        <w:rPr>
          <w:rFonts w:hint="eastAsia" w:ascii="仿宋_GB2312" w:hAnsi="仿宋_GB2312" w:eastAsia="仿宋_GB2312" w:cs="仿宋_GB2312"/>
          <w:color w:val="auto"/>
          <w:sz w:val="32"/>
          <w:szCs w:val="32"/>
          <w:highlight w:val="none"/>
          <w:lang w:val="zh-CN"/>
        </w:rPr>
        <w:t>万元</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本年支出33.00</w:t>
      </w:r>
      <w:r>
        <w:rPr>
          <w:rFonts w:hint="eastAsia" w:ascii="仿宋_GB2312" w:hAnsi="仿宋_GB2312" w:eastAsia="仿宋_GB2312" w:cs="仿宋_GB2312"/>
          <w:color w:val="auto"/>
          <w:sz w:val="32"/>
          <w:szCs w:val="32"/>
          <w:highlight w:val="none"/>
          <w:lang w:val="zh-CN"/>
        </w:rPr>
        <w:t>万元</w:t>
      </w:r>
      <w:r>
        <w:rPr>
          <w:rFonts w:hint="eastAsia" w:ascii="仿宋_GB2312" w:hAnsi="仿宋_GB2312" w:eastAsia="仿宋_GB2312" w:cs="仿宋_GB2312"/>
          <w:color w:val="auto"/>
          <w:sz w:val="32"/>
          <w:szCs w:val="32"/>
          <w:highlight w:val="none"/>
          <w:lang w:val="zh-CN" w:eastAsia="zh-CN"/>
        </w:rPr>
        <w:t>。</w:t>
      </w:r>
    </w:p>
    <w:p w14:paraId="09E50E2B">
      <w:pPr>
        <w:keepNext w:val="0"/>
        <w:keepLines w:val="0"/>
        <w:pageBreakBefore w:val="0"/>
        <w:kinsoku/>
        <w:wordWrap/>
        <w:overflowPunct/>
        <w:topLinePunct w:val="0"/>
        <w:bidi w:val="0"/>
        <w:adjustRightInd/>
        <w:spacing w:line="240" w:lineRule="auto"/>
        <w:ind w:firstLine="640" w:firstLineChars="200"/>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rPr>
        <w:t>政府性基金预算财政拨款</w:t>
      </w:r>
      <w:r>
        <w:rPr>
          <w:rFonts w:hint="eastAsia" w:ascii="仿宋_GB2312" w:hAnsi="仿宋_GB2312" w:eastAsia="仿宋_GB2312" w:cs="仿宋_GB2312"/>
          <w:color w:val="auto"/>
          <w:sz w:val="32"/>
          <w:szCs w:val="32"/>
          <w:highlight w:val="none"/>
          <w:lang w:val="en-US" w:eastAsia="zh-CN"/>
        </w:rPr>
        <w:t>收入支出</w:t>
      </w:r>
      <w:r>
        <w:rPr>
          <w:rFonts w:hint="eastAsia" w:ascii="仿宋_GB2312" w:hAnsi="仿宋_GB2312" w:eastAsia="仿宋_GB2312" w:cs="仿宋_GB2312"/>
          <w:color w:val="auto"/>
          <w:sz w:val="32"/>
          <w:szCs w:val="32"/>
          <w:highlight w:val="none"/>
          <w:lang w:val="zh-CN"/>
        </w:rPr>
        <w:t>与上年相比，增加0.00万元</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zh-CN"/>
        </w:rPr>
        <w:t>增长0.00%</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zh-CN" w:eastAsia="zh-CN"/>
        </w:rPr>
        <w:t>主要原因是</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en-US" w:eastAsia="zh-CN"/>
        </w:rPr>
        <w:t>上级安排</w:t>
      </w:r>
      <w:r>
        <w:rPr>
          <w:rFonts w:hint="eastAsia" w:ascii="仿宋_GB2312" w:hAnsi="仿宋_GB2312" w:eastAsia="仿宋_GB2312" w:cs="仿宋_GB2312"/>
          <w:color w:val="auto"/>
          <w:sz w:val="32"/>
          <w:szCs w:val="32"/>
          <w:highlight w:val="none"/>
          <w:lang w:val="zh-CN"/>
        </w:rPr>
        <w:t>政府性基金预算财政拨款</w:t>
      </w:r>
      <w:r>
        <w:rPr>
          <w:rFonts w:hint="eastAsia" w:ascii="仿宋_GB2312" w:hAnsi="仿宋_GB2312" w:eastAsia="仿宋_GB2312" w:cs="仿宋_GB2312"/>
          <w:color w:val="auto"/>
          <w:sz w:val="32"/>
          <w:szCs w:val="32"/>
          <w:highlight w:val="none"/>
          <w:lang w:val="en-US" w:eastAsia="zh-CN"/>
        </w:rPr>
        <w:t>数与上年相同</w:t>
      </w:r>
      <w:r>
        <w:rPr>
          <w:rFonts w:hint="eastAsia" w:ascii="仿宋_GB2312" w:hAnsi="仿宋_GB2312" w:eastAsia="仿宋_GB2312" w:cs="仿宋_GB2312"/>
          <w:color w:val="auto"/>
          <w:sz w:val="32"/>
          <w:szCs w:val="32"/>
          <w:highlight w:val="none"/>
          <w:lang w:val="zh-CN"/>
        </w:rPr>
        <w:t>。与</w:t>
      </w:r>
      <w:r>
        <w:rPr>
          <w:rFonts w:hint="eastAsia" w:ascii="仿宋_GB2312" w:hAnsi="仿宋_GB2312" w:eastAsia="仿宋_GB2312" w:cs="仿宋_GB2312"/>
          <w:color w:val="auto"/>
          <w:sz w:val="32"/>
          <w:szCs w:val="32"/>
          <w:highlight w:val="none"/>
          <w:lang w:val="zh-CN" w:eastAsia="zh-CN"/>
        </w:rPr>
        <w:t>年初预算</w:t>
      </w:r>
      <w:r>
        <w:rPr>
          <w:rFonts w:hint="eastAsia" w:ascii="仿宋_GB2312" w:hAnsi="仿宋_GB2312" w:eastAsia="仿宋_GB2312" w:cs="仿宋_GB2312"/>
          <w:color w:val="auto"/>
          <w:sz w:val="32"/>
          <w:szCs w:val="32"/>
          <w:highlight w:val="none"/>
          <w:lang w:val="zh-CN"/>
        </w:rPr>
        <w:t>相比</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zh-CN" w:eastAsia="zh-CN"/>
        </w:rPr>
        <w:t>年初预算数</w:t>
      </w:r>
      <w:r>
        <w:rPr>
          <w:rFonts w:hint="eastAsia" w:ascii="仿宋_GB2312" w:hAnsi="仿宋_GB2312" w:eastAsia="仿宋_GB2312" w:cs="仿宋_GB2312"/>
          <w:color w:val="auto"/>
          <w:sz w:val="32"/>
          <w:szCs w:val="32"/>
          <w:highlight w:val="none"/>
          <w:lang w:val="en-US" w:eastAsia="zh-CN"/>
        </w:rPr>
        <w:t>10.00</w:t>
      </w:r>
      <w:r>
        <w:rPr>
          <w:rFonts w:hint="eastAsia" w:ascii="仿宋_GB2312" w:hAnsi="仿宋_GB2312" w:eastAsia="仿宋_GB2312" w:cs="仿宋_GB2312"/>
          <w:color w:val="auto"/>
          <w:sz w:val="32"/>
          <w:szCs w:val="32"/>
          <w:highlight w:val="none"/>
          <w:lang w:val="zh-CN"/>
        </w:rPr>
        <w:t>万元，决算数</w:t>
      </w:r>
      <w:r>
        <w:rPr>
          <w:rFonts w:hint="eastAsia" w:ascii="仿宋_GB2312" w:hAnsi="仿宋_GB2312" w:eastAsia="仿宋_GB2312" w:cs="仿宋_GB2312"/>
          <w:color w:val="auto"/>
          <w:sz w:val="32"/>
          <w:szCs w:val="32"/>
          <w:highlight w:val="none"/>
          <w:lang w:val="en-US" w:eastAsia="zh-CN"/>
        </w:rPr>
        <w:t>33.00</w:t>
      </w:r>
      <w:r>
        <w:rPr>
          <w:rFonts w:hint="eastAsia" w:ascii="仿宋_GB2312" w:hAnsi="仿宋_GB2312" w:eastAsia="仿宋_GB2312" w:cs="仿宋_GB2312"/>
          <w:color w:val="auto"/>
          <w:sz w:val="32"/>
          <w:szCs w:val="32"/>
          <w:highlight w:val="none"/>
          <w:lang w:val="zh-CN"/>
        </w:rPr>
        <w:t>万元，预决算差异率230.00%</w:t>
      </w:r>
      <w:r>
        <w:rPr>
          <w:rFonts w:hint="eastAsia" w:ascii="仿宋_GB2312" w:hAnsi="仿宋_GB2312" w:eastAsia="仿宋_GB2312" w:cs="仿宋_GB2312"/>
          <w:color w:val="auto"/>
          <w:sz w:val="32"/>
          <w:szCs w:val="32"/>
          <w:highlight w:val="none"/>
          <w:lang w:val="zh-CN" w:eastAsia="zh-CN"/>
        </w:rPr>
        <w:t>，主要原因是：</w:t>
      </w:r>
      <w:r>
        <w:rPr>
          <w:rFonts w:hint="eastAsia" w:ascii="仿宋_GB2312" w:hAnsi="仿宋_GB2312" w:eastAsia="仿宋_GB2312" w:cs="仿宋_GB2312"/>
          <w:color w:val="auto"/>
          <w:sz w:val="32"/>
          <w:szCs w:val="32"/>
          <w:highlight w:val="none"/>
          <w:lang w:val="en-US" w:eastAsia="zh-CN"/>
        </w:rPr>
        <w:t>1.年中追加社会福利机构疫情防控补助6万元；2.年中追加孤儿助学款7万元；3.年中追加敬老院消防提升改造支出8万元</w:t>
      </w:r>
      <w:r>
        <w:rPr>
          <w:rFonts w:hint="eastAsia" w:ascii="仿宋_GB2312" w:hAnsi="仿宋_GB2312" w:eastAsia="仿宋_GB2312" w:cs="仿宋_GB2312"/>
          <w:color w:val="auto"/>
          <w:sz w:val="32"/>
          <w:szCs w:val="32"/>
          <w:highlight w:val="none"/>
          <w:lang w:val="zh-CN"/>
        </w:rPr>
        <w:t>。</w:t>
      </w:r>
    </w:p>
    <w:p w14:paraId="1980E83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rPr>
        <w:t>政府性基金预算财政拨款支出</w:t>
      </w:r>
      <w:r>
        <w:rPr>
          <w:rFonts w:hint="eastAsia" w:ascii="仿宋_GB2312" w:hAnsi="仿宋_GB2312" w:eastAsia="仿宋_GB2312" w:cs="仿宋_GB2312"/>
          <w:color w:val="auto"/>
          <w:sz w:val="32"/>
          <w:szCs w:val="32"/>
          <w:highlight w:val="none"/>
          <w:lang w:val="zh-CN" w:eastAsia="zh-CN"/>
        </w:rPr>
        <w:t>33.00</w:t>
      </w:r>
      <w:r>
        <w:rPr>
          <w:rFonts w:hint="eastAsia" w:ascii="仿宋_GB2312" w:hAnsi="仿宋_GB2312" w:eastAsia="仿宋_GB2312" w:cs="仿宋_GB2312"/>
          <w:color w:val="auto"/>
          <w:sz w:val="32"/>
          <w:szCs w:val="32"/>
          <w:highlight w:val="none"/>
          <w:lang w:val="zh-CN"/>
        </w:rPr>
        <w:t>万元。</w:t>
      </w:r>
    </w:p>
    <w:p w14:paraId="3EE8C68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rPr>
        <w:t>1.其他支出（类）彩票公益金安排的支出（款）用于社会福利的彩票公益金支出（项）:支出决算数为33.00</w:t>
      </w:r>
      <w:r>
        <w:rPr>
          <w:rFonts w:hint="eastAsia" w:ascii="仿宋_GB2312" w:hAnsi="仿宋_GB2312" w:eastAsia="仿宋_GB2312" w:cs="仿宋_GB2312"/>
          <w:color w:val="auto"/>
          <w:sz w:val="32"/>
          <w:szCs w:val="32"/>
          <w:highlight w:val="none"/>
          <w:lang w:val="en-US" w:eastAsia="zh-CN"/>
        </w:rPr>
        <w:t>万元</w:t>
      </w:r>
      <w:r>
        <w:rPr>
          <w:rFonts w:hint="eastAsia" w:ascii="仿宋_GB2312" w:hAnsi="仿宋_GB2312" w:eastAsia="仿宋_GB2312" w:cs="仿宋_GB2312"/>
          <w:color w:val="auto"/>
          <w:sz w:val="32"/>
          <w:szCs w:val="32"/>
          <w:highlight w:val="none"/>
          <w:lang w:val="zh-CN"/>
        </w:rPr>
        <w:t>，比上年决算</w:t>
      </w:r>
      <w:r>
        <w:rPr>
          <w:rFonts w:hint="eastAsia" w:ascii="仿宋_GB2312" w:hAnsi="仿宋_GB2312" w:eastAsia="仿宋_GB2312" w:cs="仿宋_GB2312"/>
          <w:color w:val="auto"/>
          <w:sz w:val="32"/>
          <w:szCs w:val="32"/>
          <w:highlight w:val="none"/>
          <w:lang w:val="en-US" w:eastAsia="zh-CN"/>
        </w:rPr>
        <w:t>增加</w:t>
      </w:r>
      <w:r>
        <w:rPr>
          <w:rFonts w:hint="eastAsia" w:ascii="仿宋_GB2312" w:hAnsi="仿宋_GB2312" w:eastAsia="仿宋_GB2312" w:cs="仿宋_GB2312"/>
          <w:color w:val="auto"/>
          <w:sz w:val="32"/>
          <w:szCs w:val="32"/>
          <w:highlight w:val="none"/>
          <w:lang w:val="zh-CN"/>
        </w:rPr>
        <w:t>0.00</w:t>
      </w:r>
      <w:r>
        <w:rPr>
          <w:rFonts w:hint="eastAsia" w:ascii="仿宋_GB2312" w:hAnsi="仿宋_GB2312" w:eastAsia="仿宋_GB2312" w:cs="仿宋_GB2312"/>
          <w:color w:val="auto"/>
          <w:sz w:val="32"/>
          <w:szCs w:val="32"/>
          <w:highlight w:val="none"/>
          <w:lang w:val="en-US" w:eastAsia="zh-CN"/>
        </w:rPr>
        <w:t>万元</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en-US" w:eastAsia="zh-CN"/>
        </w:rPr>
        <w:t>增长</w:t>
      </w:r>
      <w:r>
        <w:rPr>
          <w:rFonts w:hint="eastAsia" w:ascii="仿宋_GB2312" w:hAnsi="仿宋_GB2312" w:eastAsia="仿宋_GB2312" w:cs="仿宋_GB2312"/>
          <w:color w:val="auto"/>
          <w:sz w:val="32"/>
          <w:szCs w:val="32"/>
          <w:highlight w:val="none"/>
          <w:lang w:val="zh-CN"/>
        </w:rPr>
        <w:t>0.00%，主要原因是：</w:t>
      </w:r>
      <w:r>
        <w:rPr>
          <w:rFonts w:hint="eastAsia" w:ascii="仿宋_GB2312" w:hAnsi="仿宋_GB2312" w:eastAsia="仿宋_GB2312" w:cs="仿宋_GB2312"/>
          <w:color w:val="auto"/>
          <w:sz w:val="32"/>
          <w:szCs w:val="32"/>
          <w:highlight w:val="none"/>
          <w:lang w:val="en-US" w:eastAsia="zh-CN"/>
        </w:rPr>
        <w:t>上级安排</w:t>
      </w:r>
      <w:r>
        <w:rPr>
          <w:rFonts w:hint="eastAsia" w:ascii="仿宋_GB2312" w:hAnsi="仿宋_GB2312" w:eastAsia="仿宋_GB2312" w:cs="仿宋_GB2312"/>
          <w:color w:val="auto"/>
          <w:sz w:val="32"/>
          <w:szCs w:val="32"/>
          <w:highlight w:val="none"/>
          <w:lang w:val="zh-CN"/>
        </w:rPr>
        <w:t>政府性基金预算财政拨款</w:t>
      </w:r>
      <w:r>
        <w:rPr>
          <w:rFonts w:hint="eastAsia" w:ascii="仿宋_GB2312" w:hAnsi="仿宋_GB2312" w:eastAsia="仿宋_GB2312" w:cs="仿宋_GB2312"/>
          <w:color w:val="auto"/>
          <w:sz w:val="32"/>
          <w:szCs w:val="32"/>
          <w:highlight w:val="none"/>
          <w:lang w:val="en-US" w:eastAsia="zh-CN"/>
        </w:rPr>
        <w:t>数与上年相同</w:t>
      </w:r>
      <w:r>
        <w:rPr>
          <w:rFonts w:hint="eastAsia" w:ascii="仿宋_GB2312" w:hAnsi="仿宋_GB2312" w:eastAsia="仿宋_GB2312" w:cs="仿宋_GB2312"/>
          <w:color w:val="auto"/>
          <w:sz w:val="32"/>
          <w:szCs w:val="32"/>
          <w:highlight w:val="none"/>
          <w:lang w:val="zh-CN"/>
        </w:rPr>
        <w:t>。</w:t>
      </w:r>
    </w:p>
    <w:p w14:paraId="0570D9F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14:paraId="1F17EB9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14:paraId="461C3DF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7314"/>
      <w:bookmarkStart w:id="21" w:name="_Toc12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14:paraId="181E63B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14:paraId="090A0649">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sz w:val="32"/>
          <w:szCs w:val="32"/>
          <w:highlight w:val="none"/>
          <w:lang w:val="en-US" w:eastAsia="zh-CN"/>
        </w:rPr>
      </w:pPr>
      <w:bookmarkStart w:id="24" w:name="_Toc26704"/>
      <w:bookmarkStart w:id="25" w:name="_Toc227"/>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en-US" w:eastAsia="zh-CN"/>
        </w:rPr>
        <w:t>沙湾市中心敬老院（事业单位）公用经费支出33.18万元，</w:t>
      </w:r>
      <w:r>
        <w:rPr>
          <w:rFonts w:hint="eastAsia" w:ascii="仿宋_GB2312" w:hAnsi="仿宋_GB2312" w:eastAsia="仿宋_GB2312" w:cs="仿宋_GB2312"/>
          <w:color w:val="auto"/>
          <w:sz w:val="32"/>
          <w:szCs w:val="32"/>
          <w:highlight w:val="none"/>
          <w:lang w:val="zh-CN" w:eastAsia="zh-CN"/>
        </w:rPr>
        <w:t>比上年增加1.99万元，增长6.38%，主要原因是：</w:t>
      </w:r>
      <w:r>
        <w:rPr>
          <w:rFonts w:hint="eastAsia" w:ascii="仿宋_GB2312" w:hAnsi="仿宋_GB2312" w:eastAsia="仿宋_GB2312" w:cs="仿宋_GB2312"/>
          <w:color w:val="auto"/>
          <w:sz w:val="32"/>
          <w:szCs w:val="32"/>
          <w:highlight w:val="none"/>
          <w:lang w:val="en-US" w:eastAsia="zh-CN"/>
        </w:rPr>
        <w:t>财政专线邮电费增加、2022年未安排工会支出</w:t>
      </w:r>
      <w:r>
        <w:rPr>
          <w:rFonts w:hint="eastAsia" w:ascii="仿宋_GB2312" w:hAnsi="仿宋_GB2312" w:eastAsia="仿宋_GB2312" w:cs="仿宋_GB2312"/>
          <w:color w:val="auto"/>
          <w:sz w:val="32"/>
          <w:szCs w:val="32"/>
          <w:highlight w:val="none"/>
          <w:lang w:val="zh-CN" w:eastAsia="zh-CN"/>
        </w:rPr>
        <w:t>。</w:t>
      </w:r>
    </w:p>
    <w:p w14:paraId="2499BEA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14:paraId="78A2985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zh-CN"/>
        </w:rPr>
        <w:t>政府采购支出总额</w:t>
      </w:r>
      <w:r>
        <w:rPr>
          <w:rFonts w:hint="eastAsia" w:ascii="仿宋_GB2312" w:hAnsi="仿宋_GB2312" w:eastAsia="仿宋_GB2312" w:cs="仿宋_GB2312"/>
          <w:color w:val="auto"/>
          <w:sz w:val="32"/>
          <w:szCs w:val="32"/>
          <w:highlight w:val="none"/>
          <w:lang w:val="zh-CN" w:eastAsia="zh-CN"/>
        </w:rPr>
        <w:t>120.32万元</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zh-CN" w:eastAsia="zh-CN"/>
        </w:rPr>
        <w:t>其中：政府采购货物支出104.04万元、政府采购工程支出0.00万元、政府采购服务支出16.27万元。</w:t>
      </w:r>
    </w:p>
    <w:p w14:paraId="30B662E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eastAsia="zh-CN"/>
        </w:rPr>
        <w:t>授予中小企业合同金额120.32万元，占政府采购支出总额的100.00%，其中：授予小微企业合同金额120.32万元，占政府采购支出总额的100.00%</w:t>
      </w:r>
      <w:r>
        <w:rPr>
          <w:rFonts w:hint="eastAsia" w:ascii="仿宋_GB2312" w:hAnsi="仿宋_GB2312" w:eastAsia="仿宋_GB2312" w:cs="仿宋_GB2312"/>
          <w:color w:val="auto"/>
          <w:sz w:val="32"/>
          <w:szCs w:val="32"/>
          <w:highlight w:val="none"/>
          <w:lang w:val="en-US" w:eastAsia="zh-CN"/>
        </w:rPr>
        <w:t>。</w:t>
      </w:r>
    </w:p>
    <w:p w14:paraId="371FA6F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0"/>
          <w:highlight w:val="none"/>
          <w:lang w:val="zh-CN" w:eastAsia="zh-CN"/>
        </w:rPr>
      </w:pPr>
      <w:bookmarkStart w:id="26" w:name="_Toc8391"/>
      <w:bookmarkStart w:id="27" w:name="_Toc45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14:paraId="63672D5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en-US" w:eastAsia="zh-CN"/>
        </w:rPr>
        <w:t>截至2023</w:t>
      </w:r>
      <w:r>
        <w:rPr>
          <w:rFonts w:hint="eastAsia" w:ascii="仿宋_GB2312" w:hAnsi="仿宋_GB2312" w:eastAsia="仿宋_GB2312" w:cs="仿宋_GB2312"/>
          <w:color w:val="auto"/>
          <w:sz w:val="32"/>
          <w:szCs w:val="32"/>
          <w:highlight w:val="none"/>
          <w:lang w:val="zh-CN" w:eastAsia="zh-CN"/>
        </w:rPr>
        <w:t>年</w:t>
      </w:r>
      <w:r>
        <w:rPr>
          <w:rFonts w:hint="eastAsia" w:ascii="仿宋_GB2312" w:hAnsi="仿宋_GB2312" w:eastAsia="仿宋_GB2312" w:cs="仿宋_GB2312"/>
          <w:color w:val="auto"/>
          <w:sz w:val="32"/>
          <w:szCs w:val="32"/>
          <w:highlight w:val="none"/>
          <w:lang w:val="en-US" w:eastAsia="zh-CN"/>
        </w:rPr>
        <w:t>12月31日</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固定资产原值</w:t>
      </w:r>
      <w:r>
        <w:rPr>
          <w:rFonts w:hint="eastAsia" w:ascii="仿宋_GB2312" w:hAnsi="仿宋_GB2312" w:eastAsia="仿宋_GB2312" w:cs="仿宋_GB2312"/>
          <w:color w:val="auto"/>
          <w:sz w:val="32"/>
          <w:szCs w:val="32"/>
          <w:highlight w:val="none"/>
          <w:lang w:val="zh-CN" w:eastAsia="zh-CN"/>
        </w:rPr>
        <w:t>1,840.27</w:t>
      </w:r>
      <w:r>
        <w:rPr>
          <w:rFonts w:hint="eastAsia" w:ascii="仿宋_GB2312" w:hAnsi="仿宋_GB2312" w:eastAsia="仿宋_GB2312" w:cs="仿宋_GB2312"/>
          <w:color w:val="auto"/>
          <w:sz w:val="32"/>
          <w:szCs w:val="32"/>
          <w:highlight w:val="none"/>
          <w:lang w:val="en-US" w:eastAsia="zh-CN"/>
        </w:rPr>
        <w:t>万元，房</w:t>
      </w:r>
      <w:r>
        <w:rPr>
          <w:rFonts w:hint="eastAsia" w:ascii="仿宋_GB2312" w:hAnsi="仿宋_GB2312" w:eastAsia="仿宋_GB2312" w:cs="仿宋_GB2312"/>
          <w:color w:val="auto"/>
          <w:sz w:val="32"/>
          <w:szCs w:val="32"/>
          <w:highlight w:val="none"/>
          <w:lang w:val="zh-CN" w:eastAsia="zh-CN"/>
        </w:rPr>
        <w:t>屋9,750.52平方米，价值1,471.55万元。车辆1辆，价值9.88万元，其中：副部（省）级及以上领导用车0辆、主要</w:t>
      </w:r>
      <w:r>
        <w:rPr>
          <w:rFonts w:hint="eastAsia" w:ascii="仿宋_GB2312" w:hAnsi="仿宋_GB2312" w:eastAsia="仿宋_GB2312" w:cs="仿宋_GB2312"/>
          <w:color w:val="auto"/>
          <w:sz w:val="32"/>
          <w:szCs w:val="32"/>
          <w:highlight w:val="none"/>
          <w:lang w:val="en-US" w:eastAsia="zh-CN"/>
        </w:rPr>
        <w:t>负责人</w:t>
      </w:r>
      <w:r>
        <w:rPr>
          <w:rFonts w:hint="eastAsia" w:ascii="仿宋_GB2312" w:hAnsi="仿宋_GB2312" w:eastAsia="仿宋_GB2312" w:cs="仿宋_GB2312"/>
          <w:color w:val="auto"/>
          <w:sz w:val="32"/>
          <w:szCs w:val="32"/>
          <w:highlight w:val="none"/>
          <w:lang w:val="zh-CN" w:eastAsia="zh-CN"/>
        </w:rPr>
        <w:t>用车0辆、机要通信用车0辆、应急保障用车0辆、执法执勤用车0辆、特种专业技术用车0辆、离退休干部</w:t>
      </w:r>
      <w:r>
        <w:rPr>
          <w:rFonts w:hint="eastAsia" w:ascii="仿宋_GB2312" w:hAnsi="仿宋_GB2312" w:eastAsia="仿宋_GB2312" w:cs="仿宋_GB2312"/>
          <w:color w:val="auto"/>
          <w:sz w:val="32"/>
          <w:szCs w:val="32"/>
          <w:highlight w:val="none"/>
          <w:lang w:val="en-US" w:eastAsia="zh-CN"/>
        </w:rPr>
        <w:t>服务</w:t>
      </w:r>
      <w:r>
        <w:rPr>
          <w:rFonts w:hint="eastAsia" w:ascii="仿宋_GB2312" w:hAnsi="仿宋_GB2312" w:eastAsia="仿宋_GB2312" w:cs="仿宋_GB2312"/>
          <w:color w:val="auto"/>
          <w:sz w:val="32"/>
          <w:szCs w:val="32"/>
          <w:highlight w:val="none"/>
          <w:lang w:val="zh-CN" w:eastAsia="zh-CN"/>
        </w:rPr>
        <w:t>用车0辆、其他用车1辆，其他用车主要是：</w:t>
      </w:r>
      <w:r>
        <w:rPr>
          <w:rFonts w:hint="eastAsia" w:ascii="仿宋_GB2312" w:eastAsia="仿宋_GB2312"/>
          <w:sz w:val="32"/>
          <w:szCs w:val="32"/>
          <w:highlight w:val="none"/>
          <w:lang w:val="en-US" w:eastAsia="zh-CN"/>
        </w:rPr>
        <w:t>一般业务</w:t>
      </w:r>
      <w:r>
        <w:rPr>
          <w:rFonts w:hint="eastAsia" w:ascii="仿宋_GB2312" w:eastAsia="仿宋_GB2312"/>
          <w:sz w:val="32"/>
          <w:szCs w:val="32"/>
          <w:highlight w:val="none"/>
          <w:lang w:eastAsia="zh-CN"/>
        </w:rPr>
        <w:t>用车</w:t>
      </w:r>
      <w:r>
        <w:rPr>
          <w:rFonts w:hint="eastAsia" w:ascii="仿宋_GB2312" w:hAnsi="仿宋_GB2312" w:eastAsia="仿宋_GB2312" w:cs="仿宋_GB2312"/>
          <w:color w:val="auto"/>
          <w:sz w:val="32"/>
          <w:szCs w:val="32"/>
          <w:highlight w:val="none"/>
          <w:lang w:val="zh-CN" w:eastAsia="zh-CN"/>
        </w:rPr>
        <w:t>；单价100万元（含）以上设备（不含车辆）0</w:t>
      </w:r>
      <w:r>
        <w:rPr>
          <w:rFonts w:hint="eastAsia" w:ascii="仿宋_GB2312" w:hAnsi="仿宋_GB2312" w:eastAsia="仿宋_GB2312" w:cs="仿宋_GB2312"/>
          <w:color w:val="auto"/>
          <w:sz w:val="32"/>
          <w:szCs w:val="32"/>
          <w:highlight w:val="none"/>
          <w:lang w:val="en-US" w:eastAsia="zh-CN"/>
        </w:rPr>
        <w:t>台</w:t>
      </w:r>
      <w:r>
        <w:rPr>
          <w:rFonts w:hint="eastAsia" w:ascii="仿宋_GB2312" w:hAnsi="仿宋_GB2312" w:eastAsia="仿宋_GB2312" w:cs="仿宋_GB2312"/>
          <w:color w:val="auto"/>
          <w:sz w:val="32"/>
          <w:szCs w:val="32"/>
          <w:highlight w:val="none"/>
          <w:lang w:val="zh-CN" w:eastAsia="zh-CN"/>
        </w:rPr>
        <w:t>。</w:t>
      </w:r>
    </w:p>
    <w:p w14:paraId="31A394A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11283"/>
      <w:bookmarkStart w:id="29"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14:paraId="2A3948A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Style w:val="12"/>
          <w:rFonts w:hint="eastAsia" w:ascii="仿宋_GB2312" w:hAnsi="仿宋_GB2312" w:eastAsia="仿宋_GB2312" w:cs="仿宋_GB2312"/>
          <w:b w:val="0"/>
          <w:bCs w:val="0"/>
          <w:color w:val="000000" w:themeColor="text1"/>
          <w:spacing w:val="-4"/>
          <w:sz w:val="32"/>
          <w:szCs w:val="32"/>
          <w14:textFill>
            <w14:solidFill>
              <w14:schemeClr w14:val="tx1"/>
            </w14:solidFill>
          </w14:textFill>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预算总额662.89</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实际执行总额662.89</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12</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全年预算数357.76</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全年执行数357.76</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。预算绩效管理取得的成效：一是实施项目过程中，采取积极有效的措施，在用好、管好项目资金的同时，制定切实可行的资金使用方案，保证项目能够如期完成；二是</w:t>
      </w:r>
      <w:r>
        <w:rPr>
          <w:rFonts w:hint="eastAsia" w:ascii="仿宋_GB2312" w:eastAsia="仿宋_GB2312"/>
          <w:sz w:val="32"/>
          <w:szCs w:val="32"/>
          <w:highlight w:val="none"/>
          <w:lang w:eastAsia="zh-CN"/>
        </w:rPr>
        <w:t>根据工作实际，加强绩效指标运行监控，制定措施办法，推进工作目标落实</w:t>
      </w:r>
      <w:r>
        <w:rPr>
          <w:rFonts w:hint="eastAsia" w:ascii="仿宋_GB2312" w:eastAsia="仿宋_GB2312"/>
          <w:color w:val="auto"/>
          <w:sz w:val="32"/>
          <w:szCs w:val="32"/>
          <w:highlight w:val="none"/>
          <w:lang w:eastAsia="zh-CN"/>
        </w:rPr>
        <w:t>。发现的问题及原因：一</w:t>
      </w:r>
      <w:r>
        <w:rPr>
          <w:rFonts w:hint="eastAsia" w:ascii="仿宋_GB2312" w:eastAsia="仿宋_GB2312"/>
          <w:color w:val="auto"/>
          <w:sz w:val="32"/>
          <w:szCs w:val="32"/>
          <w:highlight w:val="none"/>
          <w:lang w:val="en-US" w:eastAsia="zh-CN"/>
        </w:rPr>
        <w:t>是</w:t>
      </w:r>
      <w:r>
        <w:rPr>
          <w:rFonts w:hint="eastAsia" w:ascii="仿宋_GB2312" w:eastAsia="仿宋_GB2312"/>
          <w:sz w:val="32"/>
          <w:szCs w:val="32"/>
          <w:highlight w:val="none"/>
          <w:lang w:val="en-US" w:eastAsia="zh-CN"/>
        </w:rPr>
        <w:t>预算绩效管理工作时间紧、任务重、专业性强，我单位的预算绩效存在一些不足之处需要完善；二是预算绩效管理缺乏系统的培训，造成预算绩效管理指导不到位、认识不到位，理解不充分，对预算绩效管理工作重点把握不到位；</w:t>
      </w:r>
      <w:r>
        <w:rPr>
          <w:rFonts w:hint="eastAsia" w:ascii="仿宋" w:hAnsi="仿宋" w:eastAsia="仿宋" w:cs="仿宋"/>
          <w:color w:val="auto"/>
          <w:sz w:val="32"/>
          <w:szCs w:val="32"/>
          <w:lang w:val="en-US" w:eastAsia="zh-CN"/>
        </w:rPr>
        <w:t>三是对绩效目标的设定不够细化和准确，部分项目设置的绩效指标与项目实际脱节，导致监控时无法达到预期目标值,预期指标值不够精准，希望给予专业指导。</w:t>
      </w:r>
      <w:r>
        <w:rPr>
          <w:rFonts w:hint="eastAsia" w:ascii="仿宋_GB2312" w:eastAsia="仿宋_GB2312"/>
          <w:color w:val="auto"/>
          <w:sz w:val="32"/>
          <w:szCs w:val="32"/>
          <w:highlight w:val="none"/>
          <w:lang w:eastAsia="zh-CN"/>
        </w:rPr>
        <w:t>下一步改进措施：</w:t>
      </w:r>
      <w:r>
        <w:rPr>
          <w:rStyle w:val="12"/>
          <w:rFonts w:hint="eastAsia" w:ascii="仿宋_GB2312" w:hAnsi="仿宋_GB2312" w:eastAsia="仿宋_GB2312" w:cs="仿宋_GB2312"/>
          <w:b w:val="0"/>
          <w:bCs w:val="0"/>
          <w:color w:val="000000" w:themeColor="text1"/>
          <w:spacing w:val="-4"/>
          <w:sz w:val="32"/>
          <w:szCs w:val="32"/>
          <w14:textFill>
            <w14:solidFill>
              <w14:schemeClr w14:val="tx1"/>
            </w14:solidFill>
          </w14:textFill>
        </w:rPr>
        <w:t>1.树立绩效理念。通过设定明确可衡量的绩效目标，更清楚地了解资金支出所要取得的社会和经济效益，根据预算绩效管理制度和预算绩效管理指标跟踪预算的执行情况，以“细”为起点，做到细致入微，定期对预算执行情况进行分析，准确做好各项资金测算，合理安排收支预算，逐步形成以结果为导向的管理理念。2.强化责任意识。通过绩效评价，考核各处室绩效目标实际完成情况和取得的成效，并与下年度预算安排挂钩，用财要问效，无效要问责，在一定程度上强化了单位整体和各部门的自我约束意识和责任意识。3.提高资金的使用效益。</w:t>
      </w:r>
      <w:r>
        <w:rPr>
          <w:rStyle w:val="12"/>
          <w:rFonts w:hint="eastAsia" w:ascii="仿宋_GB2312" w:hAnsi="仿宋_GB2312" w:eastAsia="仿宋_GB2312" w:cs="仿宋_GB2312"/>
          <w:b w:val="0"/>
          <w:bCs w:val="0"/>
          <w:color w:val="000000" w:themeColor="text1"/>
          <w:spacing w:val="-4"/>
          <w:sz w:val="32"/>
          <w:szCs w:val="32"/>
          <w:lang w:val="en-US" w:eastAsia="zh-CN"/>
          <w14:textFill>
            <w14:solidFill>
              <w14:schemeClr w14:val="tx1"/>
            </w14:solidFill>
          </w14:textFill>
        </w:rPr>
        <w:t>本单位将</w:t>
      </w:r>
      <w:r>
        <w:rPr>
          <w:rStyle w:val="12"/>
          <w:rFonts w:hint="eastAsia" w:ascii="仿宋_GB2312" w:hAnsi="仿宋_GB2312" w:eastAsia="仿宋_GB2312" w:cs="仿宋_GB2312"/>
          <w:b w:val="0"/>
          <w:bCs w:val="0"/>
          <w:color w:val="000000" w:themeColor="text1"/>
          <w:spacing w:val="-4"/>
          <w:sz w:val="32"/>
          <w:szCs w:val="32"/>
          <w14:textFill>
            <w14:solidFill>
              <w14:schemeClr w14:val="tx1"/>
            </w14:solidFill>
          </w14:textFill>
        </w:rPr>
        <w:t>以工作实际需求为依据，预算编制与工作实际相结合，按照规定的开支范围与开支标准，科学合理预测各项内容并按经济用途逐级细化分类，提高预算编制的科学性和准确性，优化支出结构，减少支出的随意性和盲目性，最大限度地将有限资源配置到效益最佳的部门并发挥最大效益。</w:t>
      </w:r>
    </w:p>
    <w:p w14:paraId="0D0EF25C">
      <w:pPr>
        <w:keepNext w:val="0"/>
        <w:keepLines w:val="0"/>
        <w:pageBreakBefore w:val="0"/>
        <w:numPr>
          <w:ilvl w:val="0"/>
          <w:numId w:val="0"/>
        </w:numPr>
        <w:kinsoku/>
        <w:wordWrap/>
        <w:overflowPunct/>
        <w:topLinePunct w:val="0"/>
        <w:bidi w:val="0"/>
        <w:adjustRightInd/>
        <w:spacing w:line="240" w:lineRule="auto"/>
        <w:ind w:firstLine="640" w:firstLineChars="200"/>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具体</w:t>
      </w:r>
      <w:r>
        <w:rPr>
          <w:rFonts w:hint="eastAsia" w:ascii="仿宋_GB2312" w:eastAsia="仿宋_GB2312"/>
          <w:color w:val="auto"/>
          <w:sz w:val="32"/>
          <w:szCs w:val="32"/>
          <w:highlight w:val="none"/>
        </w:rPr>
        <w:t>项目自评情况附绩效自评表</w:t>
      </w:r>
      <w:r>
        <w:rPr>
          <w:rFonts w:hint="eastAsia" w:ascii="仿宋_GB2312" w:eastAsia="仿宋_GB2312"/>
          <w:color w:val="auto"/>
          <w:sz w:val="32"/>
          <w:szCs w:val="32"/>
          <w:highlight w:val="none"/>
          <w:lang w:val="en-US" w:eastAsia="zh-CN"/>
        </w:rPr>
        <w:t>及自评报告</w:t>
      </w:r>
      <w:r>
        <w:rPr>
          <w:rFonts w:hint="eastAsia" w:ascii="仿宋_GB2312" w:eastAsia="仿宋_GB2312"/>
          <w:color w:val="auto"/>
          <w:sz w:val="32"/>
          <w:szCs w:val="32"/>
          <w:highlight w:val="none"/>
        </w:rPr>
        <w:t>。</w:t>
      </w:r>
    </w:p>
    <w:p w14:paraId="0DEDD967">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14:paraId="0B24077F">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本单位无其他需说明事项。</w:t>
      </w:r>
    </w:p>
    <w:p w14:paraId="6CABC0F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24143"/>
      <w:bookmarkStart w:id="31" w:name="_Toc3250"/>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14:paraId="7B4150CD">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14:paraId="13D586AE">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14:paraId="00AB1084">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14:paraId="0D339F45">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14:paraId="38873CD7">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14:paraId="33B6121E">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14:paraId="35AE3884">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14:paraId="5AE06DC6">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5C11AAC">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14:paraId="7AABEEB4">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14:paraId="7CA97B92">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14:paraId="6E0D536B">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14:paraId="4BC73139">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14:paraId="5B7DC9AA">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14:paraId="43620AD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14:paraId="11145C0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14:paraId="663B605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24532"/>
      <w:bookmarkStart w:id="35" w:name="_Toc30364"/>
      <w:r>
        <w:rPr>
          <w:rFonts w:hint="eastAsia" w:ascii="黑体" w:hAnsi="黑体" w:eastAsia="仿宋_GB2312" w:cs="宋体"/>
          <w:bCs/>
          <w:color w:val="auto"/>
          <w:kern w:val="0"/>
          <w:sz w:val="32"/>
          <w:szCs w:val="32"/>
          <w:highlight w:val="none"/>
        </w:rPr>
        <w:t>二、《收入决算表》</w:t>
      </w:r>
      <w:bookmarkEnd w:id="34"/>
      <w:bookmarkEnd w:id="35"/>
    </w:p>
    <w:p w14:paraId="313EC5B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14:paraId="7D9B5FA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28786"/>
      <w:bookmarkStart w:id="39" w:name="_Toc14238"/>
      <w:r>
        <w:rPr>
          <w:rFonts w:hint="eastAsia" w:ascii="黑体" w:hAnsi="黑体" w:eastAsia="仿宋_GB2312" w:cs="宋体"/>
          <w:bCs/>
          <w:color w:val="auto"/>
          <w:kern w:val="0"/>
          <w:sz w:val="32"/>
          <w:szCs w:val="32"/>
          <w:highlight w:val="none"/>
        </w:rPr>
        <w:t>四、《财政拨款收入支出决算总表》</w:t>
      </w:r>
      <w:bookmarkEnd w:id="38"/>
      <w:bookmarkEnd w:id="39"/>
    </w:p>
    <w:p w14:paraId="236F0CF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0347"/>
      <w:bookmarkStart w:id="41" w:name="_Toc14869"/>
      <w:r>
        <w:rPr>
          <w:rFonts w:hint="eastAsia" w:ascii="黑体" w:hAnsi="黑体" w:eastAsia="仿宋_GB2312" w:cs="宋体"/>
          <w:bCs/>
          <w:color w:val="auto"/>
          <w:kern w:val="0"/>
          <w:sz w:val="32"/>
          <w:szCs w:val="32"/>
          <w:highlight w:val="none"/>
        </w:rPr>
        <w:t>五、《一般公共预算财政拨款支出决算表》</w:t>
      </w:r>
      <w:bookmarkEnd w:id="40"/>
      <w:bookmarkEnd w:id="41"/>
    </w:p>
    <w:p w14:paraId="4C6963F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14:paraId="1D245EA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14:paraId="7CE53E9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14:paraId="3E79DEF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14:paraId="0E645395">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14:paraId="66A24B1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BDF1ED">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6535D6E">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26535D6E">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FhOGI4NGViNDcxY2UzOWRhNzg0OWJhYjJjMDUwYzIifQ=="/>
    <w:docVar w:name="KSO_WPS_MARK_KEY" w:val="41ee2a61-2d54-4f93-83be-afdb9a40d732"/>
  </w:docVars>
  <w:rsids>
    <w:rsidRoot w:val="00000000"/>
    <w:rsid w:val="00213C59"/>
    <w:rsid w:val="003210CE"/>
    <w:rsid w:val="00B70D59"/>
    <w:rsid w:val="00F52A8D"/>
    <w:rsid w:val="019404F8"/>
    <w:rsid w:val="01C30B6B"/>
    <w:rsid w:val="01ED22F2"/>
    <w:rsid w:val="02BD3108"/>
    <w:rsid w:val="02F73D26"/>
    <w:rsid w:val="034D4FEF"/>
    <w:rsid w:val="035D1785"/>
    <w:rsid w:val="039F47CE"/>
    <w:rsid w:val="03BD5310"/>
    <w:rsid w:val="03E05CE8"/>
    <w:rsid w:val="03F973EE"/>
    <w:rsid w:val="043E5B56"/>
    <w:rsid w:val="04C04386"/>
    <w:rsid w:val="04D1736D"/>
    <w:rsid w:val="04D96608"/>
    <w:rsid w:val="04F210E4"/>
    <w:rsid w:val="04FA68C4"/>
    <w:rsid w:val="053F5AE6"/>
    <w:rsid w:val="057C0B0F"/>
    <w:rsid w:val="05EF4B48"/>
    <w:rsid w:val="05F76ECA"/>
    <w:rsid w:val="06183A24"/>
    <w:rsid w:val="06792773"/>
    <w:rsid w:val="06FD75CA"/>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172DAA"/>
    <w:rsid w:val="0D4903E8"/>
    <w:rsid w:val="0D7A4A46"/>
    <w:rsid w:val="0E640559"/>
    <w:rsid w:val="0EF73700"/>
    <w:rsid w:val="0F1113DA"/>
    <w:rsid w:val="0F78534A"/>
    <w:rsid w:val="0F89358A"/>
    <w:rsid w:val="0F8C6D51"/>
    <w:rsid w:val="103D6F9F"/>
    <w:rsid w:val="105B0B5E"/>
    <w:rsid w:val="112E58D0"/>
    <w:rsid w:val="11731CAC"/>
    <w:rsid w:val="119500A0"/>
    <w:rsid w:val="11C0733B"/>
    <w:rsid w:val="11D50D17"/>
    <w:rsid w:val="120E0809"/>
    <w:rsid w:val="127F665A"/>
    <w:rsid w:val="12E70D13"/>
    <w:rsid w:val="12F7068C"/>
    <w:rsid w:val="136D6D67"/>
    <w:rsid w:val="14207DC0"/>
    <w:rsid w:val="148C327B"/>
    <w:rsid w:val="14B932DA"/>
    <w:rsid w:val="150A66AF"/>
    <w:rsid w:val="154C1139"/>
    <w:rsid w:val="158C5B77"/>
    <w:rsid w:val="160D1149"/>
    <w:rsid w:val="163563C0"/>
    <w:rsid w:val="164315EF"/>
    <w:rsid w:val="16557DFE"/>
    <w:rsid w:val="167268FB"/>
    <w:rsid w:val="16770D0A"/>
    <w:rsid w:val="169A0039"/>
    <w:rsid w:val="16D50C50"/>
    <w:rsid w:val="16E120E1"/>
    <w:rsid w:val="17385A05"/>
    <w:rsid w:val="173B3901"/>
    <w:rsid w:val="176747F9"/>
    <w:rsid w:val="17954A6E"/>
    <w:rsid w:val="17BE2C86"/>
    <w:rsid w:val="180059E9"/>
    <w:rsid w:val="184510FD"/>
    <w:rsid w:val="190648B0"/>
    <w:rsid w:val="19071D6C"/>
    <w:rsid w:val="190E50B1"/>
    <w:rsid w:val="19D26CD4"/>
    <w:rsid w:val="19E60D19"/>
    <w:rsid w:val="1A3E3450"/>
    <w:rsid w:val="1A42000E"/>
    <w:rsid w:val="1A977317"/>
    <w:rsid w:val="1AD807E5"/>
    <w:rsid w:val="1B39345B"/>
    <w:rsid w:val="1B7D22D7"/>
    <w:rsid w:val="1BFB2A1F"/>
    <w:rsid w:val="1C015D4A"/>
    <w:rsid w:val="1C290ED5"/>
    <w:rsid w:val="1C317E4F"/>
    <w:rsid w:val="1C415065"/>
    <w:rsid w:val="1C472464"/>
    <w:rsid w:val="1D22799A"/>
    <w:rsid w:val="1D5C1A72"/>
    <w:rsid w:val="1DAF458D"/>
    <w:rsid w:val="1E086ACE"/>
    <w:rsid w:val="1E62130A"/>
    <w:rsid w:val="1E97358B"/>
    <w:rsid w:val="1EAA4A5F"/>
    <w:rsid w:val="1EE869A7"/>
    <w:rsid w:val="1F3F37CF"/>
    <w:rsid w:val="1FA15E62"/>
    <w:rsid w:val="1FED69B6"/>
    <w:rsid w:val="2064678E"/>
    <w:rsid w:val="20DC1AB9"/>
    <w:rsid w:val="20DD6197"/>
    <w:rsid w:val="212631E0"/>
    <w:rsid w:val="2138666F"/>
    <w:rsid w:val="21742080"/>
    <w:rsid w:val="21A53757"/>
    <w:rsid w:val="21F879E1"/>
    <w:rsid w:val="221236C6"/>
    <w:rsid w:val="22D7662C"/>
    <w:rsid w:val="23326B7F"/>
    <w:rsid w:val="2380045B"/>
    <w:rsid w:val="23BC04D2"/>
    <w:rsid w:val="23EF1892"/>
    <w:rsid w:val="2483647E"/>
    <w:rsid w:val="24A32D55"/>
    <w:rsid w:val="24A676A1"/>
    <w:rsid w:val="24CE6D9A"/>
    <w:rsid w:val="24D370A7"/>
    <w:rsid w:val="25292727"/>
    <w:rsid w:val="252E5CA9"/>
    <w:rsid w:val="256F7692"/>
    <w:rsid w:val="25BA2154"/>
    <w:rsid w:val="25C8773F"/>
    <w:rsid w:val="26235823"/>
    <w:rsid w:val="264A7253"/>
    <w:rsid w:val="26F0170C"/>
    <w:rsid w:val="26FE3B9A"/>
    <w:rsid w:val="27201D62"/>
    <w:rsid w:val="27286E73"/>
    <w:rsid w:val="27CF2642"/>
    <w:rsid w:val="27E777F5"/>
    <w:rsid w:val="27EA1D4C"/>
    <w:rsid w:val="27EA2E41"/>
    <w:rsid w:val="282459E2"/>
    <w:rsid w:val="283A7FE5"/>
    <w:rsid w:val="285F51FF"/>
    <w:rsid w:val="28DA4193"/>
    <w:rsid w:val="28DF2665"/>
    <w:rsid w:val="29072599"/>
    <w:rsid w:val="291029F3"/>
    <w:rsid w:val="29BF6EBF"/>
    <w:rsid w:val="29CB58F0"/>
    <w:rsid w:val="2A053397"/>
    <w:rsid w:val="2A145E96"/>
    <w:rsid w:val="2A2131BB"/>
    <w:rsid w:val="2AF5378F"/>
    <w:rsid w:val="2BA37992"/>
    <w:rsid w:val="2BB94DBF"/>
    <w:rsid w:val="2BF37410"/>
    <w:rsid w:val="2C6F314E"/>
    <w:rsid w:val="2CC206BE"/>
    <w:rsid w:val="2D1136DF"/>
    <w:rsid w:val="2D164EA6"/>
    <w:rsid w:val="2D20606D"/>
    <w:rsid w:val="2D6729FE"/>
    <w:rsid w:val="2DB87198"/>
    <w:rsid w:val="2DB93C54"/>
    <w:rsid w:val="2E3D144C"/>
    <w:rsid w:val="2E891204"/>
    <w:rsid w:val="2F3F0A28"/>
    <w:rsid w:val="2FBF7029"/>
    <w:rsid w:val="2FD0187F"/>
    <w:rsid w:val="2FD27414"/>
    <w:rsid w:val="2FFE4BB0"/>
    <w:rsid w:val="300E7B60"/>
    <w:rsid w:val="300F6E18"/>
    <w:rsid w:val="30862F5F"/>
    <w:rsid w:val="30A4775A"/>
    <w:rsid w:val="314029C9"/>
    <w:rsid w:val="316E129A"/>
    <w:rsid w:val="31C63837"/>
    <w:rsid w:val="31C82E39"/>
    <w:rsid w:val="32601BAD"/>
    <w:rsid w:val="329F6389"/>
    <w:rsid w:val="3389023A"/>
    <w:rsid w:val="33CB74FA"/>
    <w:rsid w:val="343642F2"/>
    <w:rsid w:val="343F3010"/>
    <w:rsid w:val="345D0A00"/>
    <w:rsid w:val="34713BFD"/>
    <w:rsid w:val="349B0D69"/>
    <w:rsid w:val="34C13589"/>
    <w:rsid w:val="353369E3"/>
    <w:rsid w:val="35B21E0B"/>
    <w:rsid w:val="35E00D72"/>
    <w:rsid w:val="36965B9D"/>
    <w:rsid w:val="36C549FD"/>
    <w:rsid w:val="37A755DD"/>
    <w:rsid w:val="37F33BFE"/>
    <w:rsid w:val="37F94FA0"/>
    <w:rsid w:val="380D3381"/>
    <w:rsid w:val="38115B1F"/>
    <w:rsid w:val="3831372F"/>
    <w:rsid w:val="385C3F3F"/>
    <w:rsid w:val="385E3AC3"/>
    <w:rsid w:val="387D6B9E"/>
    <w:rsid w:val="38B75FF0"/>
    <w:rsid w:val="38D45016"/>
    <w:rsid w:val="38D90432"/>
    <w:rsid w:val="3914510A"/>
    <w:rsid w:val="3926770B"/>
    <w:rsid w:val="3982065B"/>
    <w:rsid w:val="398D3668"/>
    <w:rsid w:val="39DA0497"/>
    <w:rsid w:val="3A893816"/>
    <w:rsid w:val="3A893B6D"/>
    <w:rsid w:val="3AD1763A"/>
    <w:rsid w:val="3B196883"/>
    <w:rsid w:val="3B6716E3"/>
    <w:rsid w:val="3B6C6B2D"/>
    <w:rsid w:val="3C242659"/>
    <w:rsid w:val="3C96719C"/>
    <w:rsid w:val="3CA72BE8"/>
    <w:rsid w:val="3CDC1E1E"/>
    <w:rsid w:val="3CF37F8C"/>
    <w:rsid w:val="3D137554"/>
    <w:rsid w:val="3D397F66"/>
    <w:rsid w:val="3D5275AC"/>
    <w:rsid w:val="3D5834B2"/>
    <w:rsid w:val="3DCC2473"/>
    <w:rsid w:val="3DEB0883"/>
    <w:rsid w:val="3E2527BF"/>
    <w:rsid w:val="3E274403"/>
    <w:rsid w:val="3E70484C"/>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4E7583"/>
    <w:rsid w:val="417C1CE7"/>
    <w:rsid w:val="41900018"/>
    <w:rsid w:val="41944406"/>
    <w:rsid w:val="41CE128F"/>
    <w:rsid w:val="41DA6F12"/>
    <w:rsid w:val="42171FB1"/>
    <w:rsid w:val="42C10D7B"/>
    <w:rsid w:val="434E6957"/>
    <w:rsid w:val="43BA0E31"/>
    <w:rsid w:val="43C15147"/>
    <w:rsid w:val="43E14DD2"/>
    <w:rsid w:val="43F800E9"/>
    <w:rsid w:val="443A7E4B"/>
    <w:rsid w:val="444A7D08"/>
    <w:rsid w:val="452F5B3A"/>
    <w:rsid w:val="454E7FD2"/>
    <w:rsid w:val="46061BDC"/>
    <w:rsid w:val="461404F8"/>
    <w:rsid w:val="46413018"/>
    <w:rsid w:val="464B7E04"/>
    <w:rsid w:val="468041AA"/>
    <w:rsid w:val="468123C6"/>
    <w:rsid w:val="46901EEE"/>
    <w:rsid w:val="469C74D2"/>
    <w:rsid w:val="47445515"/>
    <w:rsid w:val="474B4782"/>
    <w:rsid w:val="47D90D14"/>
    <w:rsid w:val="47DE1152"/>
    <w:rsid w:val="48387FB0"/>
    <w:rsid w:val="483A6114"/>
    <w:rsid w:val="488727DB"/>
    <w:rsid w:val="48B82268"/>
    <w:rsid w:val="48C354B3"/>
    <w:rsid w:val="48C43A71"/>
    <w:rsid w:val="493D58B5"/>
    <w:rsid w:val="494A7A04"/>
    <w:rsid w:val="49605EF7"/>
    <w:rsid w:val="4A0A26D2"/>
    <w:rsid w:val="4A2019A5"/>
    <w:rsid w:val="4A241A0B"/>
    <w:rsid w:val="4A5C2BD7"/>
    <w:rsid w:val="4A7B2875"/>
    <w:rsid w:val="4A934476"/>
    <w:rsid w:val="4AAA220A"/>
    <w:rsid w:val="4AE12E67"/>
    <w:rsid w:val="4B2816EA"/>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72EE1"/>
    <w:rsid w:val="50DB5F45"/>
    <w:rsid w:val="51025EB1"/>
    <w:rsid w:val="51141503"/>
    <w:rsid w:val="513C450E"/>
    <w:rsid w:val="518D0ED5"/>
    <w:rsid w:val="525C687F"/>
    <w:rsid w:val="52A3740A"/>
    <w:rsid w:val="52F647F7"/>
    <w:rsid w:val="52F92565"/>
    <w:rsid w:val="53AE735E"/>
    <w:rsid w:val="53D03877"/>
    <w:rsid w:val="542F73CA"/>
    <w:rsid w:val="5430786D"/>
    <w:rsid w:val="545A1D2A"/>
    <w:rsid w:val="54C811C0"/>
    <w:rsid w:val="556A442D"/>
    <w:rsid w:val="5571174D"/>
    <w:rsid w:val="55DA564E"/>
    <w:rsid w:val="55E816A3"/>
    <w:rsid w:val="5604127D"/>
    <w:rsid w:val="56044E6C"/>
    <w:rsid w:val="56166703"/>
    <w:rsid w:val="56510474"/>
    <w:rsid w:val="56861525"/>
    <w:rsid w:val="56A93273"/>
    <w:rsid w:val="56BD550C"/>
    <w:rsid w:val="56E07045"/>
    <w:rsid w:val="56FF28AF"/>
    <w:rsid w:val="57036071"/>
    <w:rsid w:val="57540E7D"/>
    <w:rsid w:val="577B4878"/>
    <w:rsid w:val="57926973"/>
    <w:rsid w:val="57D1482F"/>
    <w:rsid w:val="58175352"/>
    <w:rsid w:val="581F2200"/>
    <w:rsid w:val="583059FA"/>
    <w:rsid w:val="584A0929"/>
    <w:rsid w:val="58CD2491"/>
    <w:rsid w:val="591B41B2"/>
    <w:rsid w:val="59254A26"/>
    <w:rsid w:val="59326325"/>
    <w:rsid w:val="595C505B"/>
    <w:rsid w:val="595E55C3"/>
    <w:rsid w:val="596E7E20"/>
    <w:rsid w:val="5A5D23AA"/>
    <w:rsid w:val="5A60780B"/>
    <w:rsid w:val="5AB34579"/>
    <w:rsid w:val="5AB40E78"/>
    <w:rsid w:val="5AF80B40"/>
    <w:rsid w:val="5AFC6609"/>
    <w:rsid w:val="5B113480"/>
    <w:rsid w:val="5BD456CE"/>
    <w:rsid w:val="5C0D1F49"/>
    <w:rsid w:val="5CBB0CE2"/>
    <w:rsid w:val="5CC17177"/>
    <w:rsid w:val="5CF306BC"/>
    <w:rsid w:val="5D3F3D64"/>
    <w:rsid w:val="5D833043"/>
    <w:rsid w:val="5DD92690"/>
    <w:rsid w:val="5DDB1CFD"/>
    <w:rsid w:val="5E7E6D93"/>
    <w:rsid w:val="5E82459B"/>
    <w:rsid w:val="5ED44800"/>
    <w:rsid w:val="5F350BDE"/>
    <w:rsid w:val="5F61632C"/>
    <w:rsid w:val="5FA17648"/>
    <w:rsid w:val="5FE705CB"/>
    <w:rsid w:val="60045493"/>
    <w:rsid w:val="6007714E"/>
    <w:rsid w:val="603D5080"/>
    <w:rsid w:val="606842D0"/>
    <w:rsid w:val="60D0261B"/>
    <w:rsid w:val="618E3791"/>
    <w:rsid w:val="61947DCA"/>
    <w:rsid w:val="61A46A97"/>
    <w:rsid w:val="61D1382F"/>
    <w:rsid w:val="61F114A2"/>
    <w:rsid w:val="622B0ABA"/>
    <w:rsid w:val="62512BB4"/>
    <w:rsid w:val="625D7D1A"/>
    <w:rsid w:val="62660469"/>
    <w:rsid w:val="62DD7D21"/>
    <w:rsid w:val="635473C3"/>
    <w:rsid w:val="637D586B"/>
    <w:rsid w:val="63A16F83"/>
    <w:rsid w:val="63A5560B"/>
    <w:rsid w:val="63E9091F"/>
    <w:rsid w:val="64322AF9"/>
    <w:rsid w:val="64D6010D"/>
    <w:rsid w:val="64D82665"/>
    <w:rsid w:val="64E47C96"/>
    <w:rsid w:val="651E5741"/>
    <w:rsid w:val="655D7702"/>
    <w:rsid w:val="658A4877"/>
    <w:rsid w:val="65A00902"/>
    <w:rsid w:val="65AC6EDD"/>
    <w:rsid w:val="65C00320"/>
    <w:rsid w:val="65D97752"/>
    <w:rsid w:val="66085536"/>
    <w:rsid w:val="66105BF7"/>
    <w:rsid w:val="66150023"/>
    <w:rsid w:val="6628010D"/>
    <w:rsid w:val="66794613"/>
    <w:rsid w:val="669B4528"/>
    <w:rsid w:val="66CC12D7"/>
    <w:rsid w:val="67134CEF"/>
    <w:rsid w:val="671F1ABD"/>
    <w:rsid w:val="674B3132"/>
    <w:rsid w:val="67521A59"/>
    <w:rsid w:val="67C304AB"/>
    <w:rsid w:val="683F0658"/>
    <w:rsid w:val="689C6793"/>
    <w:rsid w:val="68DB0208"/>
    <w:rsid w:val="68FB170C"/>
    <w:rsid w:val="691B3D98"/>
    <w:rsid w:val="693748F0"/>
    <w:rsid w:val="69846A0E"/>
    <w:rsid w:val="69AA1366"/>
    <w:rsid w:val="69AD798C"/>
    <w:rsid w:val="69D005C0"/>
    <w:rsid w:val="69D80B96"/>
    <w:rsid w:val="69F47AD7"/>
    <w:rsid w:val="6A2C39D4"/>
    <w:rsid w:val="6A4F2E84"/>
    <w:rsid w:val="6B68175F"/>
    <w:rsid w:val="6BFD799F"/>
    <w:rsid w:val="6C1D33E9"/>
    <w:rsid w:val="6C4A2E5A"/>
    <w:rsid w:val="6C8138D0"/>
    <w:rsid w:val="6CEF0725"/>
    <w:rsid w:val="6D4B2604"/>
    <w:rsid w:val="6D77358F"/>
    <w:rsid w:val="6D8030E4"/>
    <w:rsid w:val="6E0E35C4"/>
    <w:rsid w:val="6E0F7A08"/>
    <w:rsid w:val="6E3947F5"/>
    <w:rsid w:val="6E6733A0"/>
    <w:rsid w:val="6E6E3938"/>
    <w:rsid w:val="6E9C74ED"/>
    <w:rsid w:val="6EF72976"/>
    <w:rsid w:val="6F795A80"/>
    <w:rsid w:val="6F7C1D2E"/>
    <w:rsid w:val="6F8B28FF"/>
    <w:rsid w:val="6F8E0407"/>
    <w:rsid w:val="6FDD069F"/>
    <w:rsid w:val="702B4D16"/>
    <w:rsid w:val="70AA6621"/>
    <w:rsid w:val="7111480F"/>
    <w:rsid w:val="71261F49"/>
    <w:rsid w:val="712E6956"/>
    <w:rsid w:val="71473612"/>
    <w:rsid w:val="71504F32"/>
    <w:rsid w:val="7152309F"/>
    <w:rsid w:val="718F7F65"/>
    <w:rsid w:val="71DA6992"/>
    <w:rsid w:val="727B234E"/>
    <w:rsid w:val="728A58B0"/>
    <w:rsid w:val="72D068C7"/>
    <w:rsid w:val="72E42ED8"/>
    <w:rsid w:val="72E822D4"/>
    <w:rsid w:val="72FC34C3"/>
    <w:rsid w:val="733009DF"/>
    <w:rsid w:val="73410663"/>
    <w:rsid w:val="735F4CB9"/>
    <w:rsid w:val="73674C62"/>
    <w:rsid w:val="73845865"/>
    <w:rsid w:val="739B6D9E"/>
    <w:rsid w:val="73BC1D76"/>
    <w:rsid w:val="73FB6630"/>
    <w:rsid w:val="74064905"/>
    <w:rsid w:val="748D790E"/>
    <w:rsid w:val="749820CC"/>
    <w:rsid w:val="74CE04EC"/>
    <w:rsid w:val="74E76DCD"/>
    <w:rsid w:val="751D7C0A"/>
    <w:rsid w:val="75722D56"/>
    <w:rsid w:val="75DB5477"/>
    <w:rsid w:val="75FC6AC3"/>
    <w:rsid w:val="7616619B"/>
    <w:rsid w:val="76660D7C"/>
    <w:rsid w:val="766C5968"/>
    <w:rsid w:val="76BE0C8F"/>
    <w:rsid w:val="76CD53B2"/>
    <w:rsid w:val="76E6594C"/>
    <w:rsid w:val="76EF6364"/>
    <w:rsid w:val="770719AC"/>
    <w:rsid w:val="776526CC"/>
    <w:rsid w:val="776D1B60"/>
    <w:rsid w:val="77A262E1"/>
    <w:rsid w:val="77B13C33"/>
    <w:rsid w:val="77DC095A"/>
    <w:rsid w:val="77ED6F44"/>
    <w:rsid w:val="77F45548"/>
    <w:rsid w:val="77FC440B"/>
    <w:rsid w:val="784E7CA6"/>
    <w:rsid w:val="78574801"/>
    <w:rsid w:val="7873527F"/>
    <w:rsid w:val="790A6425"/>
    <w:rsid w:val="790E2D96"/>
    <w:rsid w:val="791B54B2"/>
    <w:rsid w:val="791D58ED"/>
    <w:rsid w:val="793C0F89"/>
    <w:rsid w:val="79592BC9"/>
    <w:rsid w:val="795A0A34"/>
    <w:rsid w:val="797339C3"/>
    <w:rsid w:val="79D57D57"/>
    <w:rsid w:val="79F00650"/>
    <w:rsid w:val="7A6242BF"/>
    <w:rsid w:val="7A794513"/>
    <w:rsid w:val="7A9B3811"/>
    <w:rsid w:val="7AB467DA"/>
    <w:rsid w:val="7AB9318D"/>
    <w:rsid w:val="7AE952D2"/>
    <w:rsid w:val="7B9F26AF"/>
    <w:rsid w:val="7BB607FE"/>
    <w:rsid w:val="7C7248A0"/>
    <w:rsid w:val="7C976D69"/>
    <w:rsid w:val="7CD752DA"/>
    <w:rsid w:val="7CDE40AB"/>
    <w:rsid w:val="7CF057E2"/>
    <w:rsid w:val="7D1548B5"/>
    <w:rsid w:val="7DF84014"/>
    <w:rsid w:val="7E207949"/>
    <w:rsid w:val="7E5C0A47"/>
    <w:rsid w:val="7E670C75"/>
    <w:rsid w:val="7EE24272"/>
    <w:rsid w:val="7EEA6053"/>
    <w:rsid w:val="7F487C04"/>
    <w:rsid w:val="7F611CBA"/>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customStyle="1" w:styleId="2">
    <w:name w:val="Char"/>
    <w:basedOn w:val="1"/>
    <w:qFormat/>
    <w:uiPriority w:val="0"/>
    <w:pPr>
      <w:widowControl/>
      <w:spacing w:after="160" w:line="240" w:lineRule="exact"/>
      <w:jc w:val="left"/>
    </w:pPr>
  </w:style>
  <w:style w:type="paragraph" w:styleId="3">
    <w:name w:val="annotation text"/>
    <w:basedOn w:val="1"/>
    <w:qFormat/>
    <w:uiPriority w:val="0"/>
    <w:pPr>
      <w:jc w:val="left"/>
    </w:pPr>
  </w:style>
  <w:style w:type="paragraph" w:styleId="4">
    <w:name w:val="toc 3"/>
    <w:basedOn w:val="1"/>
    <w:next w:val="1"/>
    <w:qFormat/>
    <w:uiPriority w:val="0"/>
    <w:pPr>
      <w:ind w:left="840" w:leftChars="4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2">
    <w:name w:val="Strong"/>
    <w:basedOn w:val="11"/>
    <w:qFormat/>
    <w:uiPriority w:val="0"/>
    <w:rPr>
      <w:b/>
    </w:rPr>
  </w:style>
  <w:style w:type="paragraph" w:customStyle="1" w:styleId="13">
    <w:name w:val="WPSOffice手动目录 3"/>
    <w:qFormat/>
    <w:uiPriority w:val="0"/>
    <w:pPr>
      <w:ind w:leftChars="400"/>
    </w:pPr>
    <w:rPr>
      <w:rFonts w:ascii="Times New Roman" w:hAnsi="Times New Roman" w:eastAsia="宋体" w:cs="Times New Roman"/>
      <w:sz w:val="20"/>
      <w:szCs w:val="20"/>
    </w:rPr>
  </w:style>
  <w:style w:type="paragraph" w:customStyle="1" w:styleId="14">
    <w:name w:val="WPSOffice手动目录 2"/>
    <w:qFormat/>
    <w:uiPriority w:val="0"/>
    <w:pPr>
      <w:ind w:leftChars="200"/>
    </w:pPr>
    <w:rPr>
      <w:rFonts w:ascii="Times New Roman" w:hAnsi="Times New Roman" w:eastAsia="宋体" w:cs="Times New Roman"/>
      <w:sz w:val="20"/>
      <w:szCs w:val="20"/>
    </w:rPr>
  </w:style>
  <w:style w:type="paragraph" w:customStyle="1" w:styleId="15">
    <w:name w:val="WPSOffice手动目录 1"/>
    <w:qFormat/>
    <w:uiPriority w:val="0"/>
    <w:pPr>
      <w:ind w:leftChars="0"/>
    </w:pPr>
    <w:rPr>
      <w:rFonts w:ascii="Times New Roman" w:hAnsi="Times New Roman" w:eastAsia="宋体" w:cs="Times New Roman"/>
      <w:sz w:val="20"/>
      <w:szCs w:val="20"/>
    </w:rPr>
  </w:style>
  <w:style w:type="paragraph" w:customStyle="1" w:styleId="16">
    <w:name w:val="列表段落1"/>
    <w:basedOn w:val="1"/>
    <w:unhideWhenUsed/>
    <w:qFormat/>
    <w:uiPriority w:val="99"/>
    <w:pPr>
      <w:ind w:firstLine="42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6583</Words>
  <Characters>7403</Characters>
  <Lines>0</Lines>
  <Paragraphs>0</Paragraphs>
  <TotalTime>1</TotalTime>
  <ScaleCrop>false</ScaleCrop>
  <LinksUpToDate>false</LinksUpToDate>
  <CharactersWithSpaces>7414</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雯雯酱</cp:lastModifiedBy>
  <dcterms:modified xsi:type="dcterms:W3CDTF">2025-03-28T07:35:54Z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8F4E5A03B44344A89E8AABA397237A14</vt:lpwstr>
  </property>
  <property fmtid="{D5CDD505-2E9C-101B-9397-08002B2CF9AE}" pid="4" name="KSOTemplateDocerSaveRecord">
    <vt:lpwstr>eyJoZGlkIjoiZDU4MmQ2ZWMyMDZlYzhmM2M0MmMwNGNmYmFiY2Q3YTQiLCJ1c2VySWQiOiI1Mzk1NTEzNjcifQ==</vt:lpwstr>
  </property>
</Properties>
</file>