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CDAF4">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22E97EE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3477F89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沙湾市东湾镇卫生院</w:t>
      </w:r>
    </w:p>
    <w:p w14:paraId="4B7CFF6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342BEC8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37CE51D5">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0E2BC25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13FF8FF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83FE2C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5A63A64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11727D7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5A67226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B35B8E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2FA715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423FC23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04B2372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1DF39B1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4A00A12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D36FC1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5FA68A8">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00A4950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3AF3F38">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71F21F23">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6AF1D337">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909A7E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37862BD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4BA1974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758EED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734C2F2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E8C9BE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3732EA4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75F3D2B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6DFEFE2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5A52E4D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31FC263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765372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0D44D1EE">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25EBB7F6">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772B546">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634293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2031B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3476EFE4">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1.承担本乡镇农村居民健康档案规范建档指导、管理及服务;</w:t>
      </w:r>
    </w:p>
    <w:p w14:paraId="7105A527">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2.普及卫生保健常识,在重点人群和重点场所开展健康教育,帮助居民形成有利于维护和增进健康的行为方式;指导开展爱国卫生工作;</w:t>
      </w:r>
    </w:p>
    <w:p w14:paraId="2C59CD23">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3.提供并组织实施本乡镇预防接种服务,落实国家免疫规划;</w:t>
      </w:r>
    </w:p>
    <w:p w14:paraId="018C18FD">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4.及时发现、登记并报告本乡镇内发现的传染病病例和疑似病例参与现场疫情处理;</w:t>
      </w:r>
    </w:p>
    <w:p w14:paraId="1A9EFACA">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5开展新生儿访视及儿童保健系统管理,进行体格检查和生长发育监测及评价,开展健康指导;</w:t>
      </w:r>
    </w:p>
    <w:p w14:paraId="01E14EFF">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开展孕产妇保健系统管理和产后访视,进行一般体格检查及孕期营养、心理等健康指导;</w:t>
      </w:r>
    </w:p>
    <w:p w14:paraId="7EA94FC5">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7.对本乡镇65岁及以上老年人进行登记管理,进行健康危险因素调查和一般体格检查,开展健康指导;</w:t>
      </w:r>
    </w:p>
    <w:p w14:paraId="7DE6811E">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8.对高血压、糖尿病等慢性病高危人群进行指导,对确诊高血压糖尿病等慢性病病例进行登记管理、定期随访和健康指导;</w:t>
      </w:r>
    </w:p>
    <w:p w14:paraId="7351AEA4">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9.对本乡镇重性精神疾病患者进行登记管理、治疗随访和康复指导;</w:t>
      </w:r>
    </w:p>
    <w:p w14:paraId="34264648">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10.负责本乡镇内突发公共卫生事件的报告并协助处理;</w:t>
      </w:r>
    </w:p>
    <w:p w14:paraId="40416D3A">
      <w:pPr>
        <w:keepNext w:val="0"/>
        <w:keepLines w:val="0"/>
        <w:pageBreakBefore w:val="0"/>
        <w:widowControl w:val="0"/>
        <w:numPr>
          <w:ilvl w:val="0"/>
          <w:numId w:val="0"/>
        </w:numPr>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1l.做好卫生行政部门规定的其他公共卫生服务;</w:t>
      </w:r>
    </w:p>
    <w:p w14:paraId="76A35F2A">
      <w:pPr>
        <w:keepNext w:val="0"/>
        <w:keepLines w:val="0"/>
        <w:pageBreakBefore w:val="0"/>
        <w:widowControl w:val="0"/>
        <w:numPr>
          <w:ilvl w:val="0"/>
          <w:numId w:val="1"/>
        </w:numPr>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使用农村适宜医疗技术和中医药技术,正确处理常见病、多发病,对疑难重症进行恰当的处理并转诊。承担乡村现场应急救护、转诊服务和康复服务;</w:t>
      </w:r>
    </w:p>
    <w:p w14:paraId="7F5CC8CF">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能完成外科的止血、缝合、包扎、骨折固定等处置;</w:t>
      </w:r>
    </w:p>
    <w:p w14:paraId="550EAF9F">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健全消毒、隔离制度,遵守无菌操作规程,加强医疗质量管理。做好医疗废物处理和污水、污物无害化处理;</w:t>
      </w:r>
    </w:p>
    <w:p w14:paraId="5D5433F8">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执行国家基本药物制度药品集中采购、零差率销售等政策,为实施一体化管理的村卫生室统一代购药品;</w:t>
      </w:r>
    </w:p>
    <w:p w14:paraId="4D94EC9D">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提供政府卫生行政部门批准的其他适宜的医疗服务;</w:t>
      </w:r>
    </w:p>
    <w:p w14:paraId="12DC5A90">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对本乡镇内传染病防治、学校卫生、食品卫生、饮水卫生、职业卫生,以及村级预防保健工作进行指导、培训、考核与监督;</w:t>
      </w:r>
    </w:p>
    <w:p w14:paraId="30F10986">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严格执行医疗保险政策规定,履行定点医疗机构职责,做好有关的政策宣传、监督及服务工作;</w:t>
      </w:r>
    </w:p>
    <w:p w14:paraId="0E4D3384">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深入推进乡村卫生服务一体化管理,对村卫生室实行以行政、服务一体化管理,对村卫生室实行以行政、人员、业务、药品、财产为基本内容的“五统一”规范管理;负责村卫生室的技术指导和乡村医生培训等工作;</w:t>
      </w:r>
    </w:p>
    <w:p w14:paraId="2E3F49BE">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在本乡镇政府和卫健委领导下,依据当地社会经济发展规划,协助制定和实施本乡镇的初级卫生规划;</w:t>
      </w:r>
    </w:p>
    <w:p w14:paraId="192C9943">
      <w:pPr>
        <w:keepNext w:val="0"/>
        <w:keepLines w:val="0"/>
        <w:pageBreakBefore w:val="0"/>
        <w:widowControl w:val="0"/>
        <w:numPr>
          <w:ilvl w:val="0"/>
          <w:numId w:val="1"/>
        </w:numPr>
        <w:kinsoku/>
        <w:wordWrap/>
        <w:overflowPunct/>
        <w:topLinePunct w:val="0"/>
        <w:adjustRightInd/>
        <w:snapToGrid/>
        <w:spacing w:line="240" w:lineRule="auto"/>
        <w:ind w:left="0"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配合有关部门动员组织群众开展爱国卫生活动,逐步改善本乡镇卫生状况。</w:t>
      </w:r>
    </w:p>
    <w:p w14:paraId="4F3C42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39A42B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沙湾市东湾镇卫生院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p>
    <w:p w14:paraId="7A616452">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eastAsia="zh-CN"/>
        </w:rPr>
        <w:t>7个处室，分别是：医生办公室、护士办公室、药房、辅助科室、公共卫生办公室、预防保健室、财务室。</w:t>
      </w:r>
    </w:p>
    <w:p w14:paraId="58E438EA">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bookmarkStart w:id="48" w:name="_GoBack"/>
      <w:bookmarkEnd w:id="48"/>
    </w:p>
    <w:p w14:paraId="766116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FA0E7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7D5B28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601.57万元，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601.57万元，使用非财政拨款结余0.00万元，年初结转和结余0.00万元。</w:t>
      </w:r>
    </w:p>
    <w:p w14:paraId="43217C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601.57万元，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555.98万元，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0.00万元，年末结转和结余45.59万元。</w:t>
      </w:r>
    </w:p>
    <w:p w14:paraId="017AFA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增加192.61万元</w:t>
      </w:r>
      <w:r>
        <w:rPr>
          <w:rFonts w:hint="eastAsia" w:ascii="仿宋_GB2312" w:eastAsia="仿宋_GB2312"/>
          <w:color w:val="auto"/>
          <w:spacing w:val="0"/>
          <w:sz w:val="32"/>
          <w:szCs w:val="32"/>
          <w:highlight w:val="none"/>
          <w:lang w:eastAsia="zh-CN"/>
        </w:rPr>
        <w:t>，增长47.10%，主要原因是：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color w:val="auto"/>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；三是2023年单位医疗收入-住院收入增加；四是2023年新增手术室设备采购项目资金</w:t>
      </w:r>
      <w:r>
        <w:rPr>
          <w:rFonts w:hint="eastAsia" w:ascii="仿宋_GB2312" w:eastAsia="仿宋_GB2312"/>
          <w:color w:val="auto"/>
          <w:spacing w:val="0"/>
          <w:sz w:val="32"/>
          <w:szCs w:val="32"/>
          <w:highlight w:val="none"/>
          <w:lang w:eastAsia="zh-CN"/>
        </w:rPr>
        <w:t>。</w:t>
      </w:r>
    </w:p>
    <w:p w14:paraId="083C19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4DB9EA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601.57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473.53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78.72%</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127.86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21.25%</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0.18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rPr>
        <w:t>。</w:t>
      </w:r>
    </w:p>
    <w:p w14:paraId="03C1E9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52AB50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本年支出555.98万元，其中：基本支出405.91万元，占73.01%；项目支出150.07万元，占26.99%；上缴上级支出0.00万元，占0.00%；经营支出0.00万元，占0.00%；对附属单位补助支出0.00万元，占0.00%。</w:t>
      </w:r>
    </w:p>
    <w:p w14:paraId="5374F7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10CC73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473.53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473.53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473.53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473.53</w:t>
      </w:r>
      <w:r>
        <w:rPr>
          <w:rFonts w:hint="eastAsia" w:ascii="仿宋_GB2312" w:eastAsia="仿宋_GB2312"/>
          <w:color w:val="auto"/>
          <w:spacing w:val="0"/>
          <w:sz w:val="32"/>
          <w:szCs w:val="32"/>
          <w:highlight w:val="none"/>
          <w:lang w:eastAsia="zh-CN"/>
        </w:rPr>
        <w:t>万元。</w:t>
      </w:r>
    </w:p>
    <w:p w14:paraId="377526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增加64.57万元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增长15.79%,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color w:val="auto"/>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；三是2023年新增手术室设备采购项目资金</w:t>
      </w:r>
      <w:r>
        <w:rPr>
          <w:rFonts w:hint="eastAsia" w:ascii="仿宋_GB2312" w:eastAsia="仿宋_GB2312"/>
          <w:color w:val="auto"/>
          <w:spacing w:val="0"/>
          <w:sz w:val="32"/>
          <w:szCs w:val="32"/>
          <w:highlight w:val="none"/>
          <w:lang w:eastAsia="zh-CN"/>
        </w:rPr>
        <w:t>。</w:t>
      </w:r>
    </w:p>
    <w:p w14:paraId="43F5BE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325.14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473.53</w:t>
      </w:r>
      <w:r>
        <w:rPr>
          <w:rFonts w:hint="eastAsia" w:ascii="仿宋_GB2312" w:eastAsia="仿宋_GB2312"/>
          <w:color w:val="auto"/>
          <w:spacing w:val="0"/>
          <w:sz w:val="32"/>
          <w:szCs w:val="32"/>
          <w:highlight w:val="none"/>
          <w:lang w:eastAsia="zh-CN"/>
        </w:rPr>
        <w:t>万元，预决算差异率45.64%，主要原因是：</w:t>
      </w:r>
      <w:bookmarkStart w:id="16" w:name="_Toc13833"/>
      <w:bookmarkStart w:id="17" w:name="_Toc20360"/>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color w:val="auto"/>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；三是2023年新增手术室设备采购项目资金</w:t>
      </w:r>
      <w:r>
        <w:rPr>
          <w:rFonts w:hint="eastAsia" w:ascii="仿宋_GB2312" w:eastAsia="仿宋_GB2312"/>
          <w:color w:val="auto"/>
          <w:spacing w:val="0"/>
          <w:sz w:val="32"/>
          <w:szCs w:val="32"/>
          <w:highlight w:val="none"/>
          <w:lang w:eastAsia="zh-CN"/>
        </w:rPr>
        <w:t>。</w:t>
      </w:r>
    </w:p>
    <w:p w14:paraId="5A8367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2071C70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6AD3A5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2023年度一般公共预算财政拨款支出473.53万元，占本年支出合计的</w:t>
      </w:r>
      <w:r>
        <w:rPr>
          <w:rFonts w:hint="eastAsia" w:ascii="仿宋_GB2312" w:eastAsia="仿宋_GB2312"/>
          <w:color w:val="auto"/>
          <w:spacing w:val="0"/>
          <w:sz w:val="32"/>
          <w:szCs w:val="32"/>
          <w:highlight w:val="none"/>
          <w:lang w:val="zh-CN" w:eastAsia="zh-CN"/>
        </w:rPr>
        <w:t>85.17%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增加64.57万元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增长15.79%,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color w:val="auto"/>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；三是2023年新增手术室设备采购项目资金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325.14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473.53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45.64%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color w:val="auto"/>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；三是2023年新增手术室设备采购项目资金</w:t>
      </w:r>
      <w:r>
        <w:rPr>
          <w:rFonts w:hint="eastAsia" w:ascii="仿宋_GB2312" w:eastAsia="仿宋_GB2312"/>
          <w:color w:val="auto"/>
          <w:spacing w:val="0"/>
          <w:sz w:val="32"/>
          <w:szCs w:val="32"/>
          <w:highlight w:val="none"/>
          <w:lang w:eastAsia="zh-CN"/>
        </w:rPr>
        <w:t>。</w:t>
      </w:r>
    </w:p>
    <w:p w14:paraId="6BF74DC9">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0F3721E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31.91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6.74%</w:t>
      </w:r>
      <w:r>
        <w:rPr>
          <w:rFonts w:hint="default" w:ascii="仿宋_GB2312" w:hAnsi="Times New Roman" w:eastAsia="仿宋_GB2312" w:cs="Times New Roman"/>
          <w:color w:val="auto"/>
          <w:spacing w:val="0"/>
          <w:kern w:val="2"/>
          <w:sz w:val="32"/>
          <w:szCs w:val="32"/>
          <w:highlight w:val="none"/>
          <w:lang w:val="zh-CN" w:eastAsia="zh-CN" w:bidi="ar-SA"/>
        </w:rPr>
        <w:t>；</w:t>
      </w:r>
    </w:p>
    <w:p w14:paraId="0A98C44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417.91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88.25%</w:t>
      </w:r>
      <w:r>
        <w:rPr>
          <w:rFonts w:hint="default" w:ascii="仿宋_GB2312" w:hAnsi="Times New Roman" w:eastAsia="仿宋_GB2312" w:cs="Times New Roman"/>
          <w:color w:val="auto"/>
          <w:spacing w:val="0"/>
          <w:kern w:val="2"/>
          <w:sz w:val="32"/>
          <w:szCs w:val="32"/>
          <w:highlight w:val="none"/>
          <w:lang w:val="zh-CN" w:eastAsia="zh-CN" w:bidi="ar-SA"/>
        </w:rPr>
        <w:t>；</w:t>
      </w:r>
    </w:p>
    <w:p w14:paraId="416735A7">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23.71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5.01%</w:t>
      </w:r>
      <w:r>
        <w:rPr>
          <w:rFonts w:hint="default" w:ascii="仿宋_GB2312" w:hAnsi="Times New Roman" w:eastAsia="仿宋_GB2312" w:cs="Times New Roman"/>
          <w:color w:val="auto"/>
          <w:spacing w:val="0"/>
          <w:kern w:val="2"/>
          <w:sz w:val="32"/>
          <w:szCs w:val="32"/>
          <w:highlight w:val="none"/>
          <w:lang w:val="zh-CN" w:eastAsia="zh-CN" w:bidi="ar-SA"/>
        </w:rPr>
        <w:t>；</w:t>
      </w:r>
    </w:p>
    <w:p w14:paraId="5F1791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5C78FA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1.卫生健康支出（类）公立医院（款）其他公立医院支出（项）:支出决算数为30.00万元，比上年决算增加30.00万元，增长100%，主要原因是：</w:t>
      </w:r>
      <w:r>
        <w:rPr>
          <w:rFonts w:hint="eastAsia" w:ascii="仿宋_GB2312" w:eastAsia="仿宋_GB2312"/>
          <w:color w:val="auto"/>
          <w:spacing w:val="0"/>
          <w:sz w:val="32"/>
          <w:szCs w:val="32"/>
          <w:highlight w:val="none"/>
          <w:lang w:val="en-US" w:eastAsia="zh-CN"/>
        </w:rPr>
        <w:t>2023年新增手术室设备采购项目资金</w:t>
      </w:r>
      <w:r>
        <w:rPr>
          <w:rFonts w:hint="eastAsia" w:ascii="仿宋_GB2312" w:eastAsia="仿宋_GB2312"/>
          <w:color w:val="auto"/>
          <w:spacing w:val="0"/>
          <w:sz w:val="32"/>
          <w:szCs w:val="32"/>
          <w:highlight w:val="none"/>
          <w:lang w:eastAsia="zh-CN"/>
        </w:rPr>
        <w:t>。</w:t>
      </w:r>
    </w:p>
    <w:p w14:paraId="15EC7A7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2.卫生健康支出（类）行政事业单位医疗（款）事业单位医疗（项）:支出决算数为12.13万元，比上年决算减少1.97万元，下降13.97%，主要原因是：2023年4月调出1人，基本医疗保险缴费减少。</w:t>
      </w:r>
    </w:p>
    <w:p w14:paraId="16FF323A">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3.卫生健康支出（类）基层医疗卫生机构（款）其他基层医疗卫生机构支出（项）:支出决算数为50.83万元，比上年决算增加22.06万元，增长76.68%，主要原因是：</w:t>
      </w:r>
      <w:r>
        <w:rPr>
          <w:rFonts w:hint="eastAsia" w:ascii="仿宋_GB2312" w:eastAsia="仿宋_GB2312"/>
          <w:color w:val="auto"/>
          <w:sz w:val="32"/>
          <w:szCs w:val="32"/>
          <w:highlight w:val="none"/>
          <w:lang w:val="en-US" w:eastAsia="zh-CN"/>
        </w:rPr>
        <w:t>2023年增加了2015年-2016年卫生院门诊楼及村卫生室建设项目工程款资金。</w:t>
      </w:r>
    </w:p>
    <w:p w14:paraId="5E2E118C">
      <w:pPr>
        <w:keepNext w:val="0"/>
        <w:keepLines w:val="0"/>
        <w:pageBreakBefore w:val="0"/>
        <w:widowControl w:val="0"/>
        <w:kinsoku/>
        <w:wordWrap/>
        <w:overflowPunct/>
        <w:topLinePunct w:val="0"/>
        <w:adjustRightInd/>
        <w:snapToGrid/>
        <w:spacing w:line="240" w:lineRule="auto"/>
        <w:ind w:firstLine="640" w:firstLineChars="200"/>
        <w:textAlignment w:val="auto"/>
        <w:rPr>
          <w:rFonts w:hint="default" w:ascii="仿宋_GB2312" w:eastAsia="仿宋_GB2312"/>
          <w:color w:val="auto"/>
          <w:sz w:val="32"/>
          <w:szCs w:val="32"/>
          <w:highlight w:val="yellow"/>
          <w:lang w:val="en-US" w:eastAsia="zh-CN"/>
        </w:rPr>
      </w:pPr>
      <w:r>
        <w:rPr>
          <w:rFonts w:hint="eastAsia" w:ascii="仿宋_GB2312" w:hAnsi="仿宋_GB2312" w:eastAsia="仿宋_GB2312" w:cs="仿宋_GB2312"/>
          <w:color w:val="auto"/>
          <w:kern w:val="2"/>
          <w:sz w:val="32"/>
          <w:szCs w:val="32"/>
          <w:highlight w:val="none"/>
          <w:lang w:val="en-US" w:eastAsia="zh-CN" w:bidi="ar-SA"/>
        </w:rPr>
        <w:t>4.卫生健康支出（类）公共卫生（款）其他公共卫生支出（项）:支出决算数为10.75万元，比上年决算减少10.71万元，下降49.91%，主要原因是：</w:t>
      </w:r>
      <w:r>
        <w:rPr>
          <w:rFonts w:hint="eastAsia" w:ascii="仿宋_GB2312" w:eastAsia="仿宋_GB2312"/>
          <w:color w:val="auto"/>
          <w:sz w:val="32"/>
          <w:szCs w:val="32"/>
          <w:highlight w:val="none"/>
          <w:lang w:val="en-US" w:eastAsia="zh-CN"/>
        </w:rPr>
        <w:t>2023年房屋维修，设备购置等项目未完成验收，项目资金未支付结转下年。</w:t>
      </w:r>
    </w:p>
    <w:p w14:paraId="4254323A">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5.卫生健康支出（类）基层医疗卫生机构（款）乡镇卫生院（项）:支出决算数为255.71万元，比上年决算增加22.42万元，增长9.61%，主要原因是：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color w:val="auto"/>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w:t>
      </w:r>
    </w:p>
    <w:p w14:paraId="4D590F2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6.住房保障支出（类）住房改革支出（款）住房公积金（项）:支出决算数为23.71万元，比上年决算增加2.40万元，增长11.26%，主要原因是：</w:t>
      </w:r>
      <w:r>
        <w:rPr>
          <w:rFonts w:hint="eastAsia" w:ascii="仿宋_GB2312" w:eastAsia="仿宋_GB2312"/>
          <w:color w:val="auto"/>
          <w:sz w:val="32"/>
          <w:szCs w:val="32"/>
          <w:highlight w:val="none"/>
          <w:lang w:val="en-US" w:eastAsia="zh-CN"/>
        </w:rPr>
        <w:t>2023年人员工资普调，住房公积金缴费基数提高，单位住房公积金缴费支出增加。</w:t>
      </w:r>
    </w:p>
    <w:p w14:paraId="3D60BE8D">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7.社会保障和就业支出（类）行政事业单位养老支出（款）事业单位离退休（项）:支出决算数为3.11万元，比上年决算增加1.22万元，增长64.55%，主要原因是：</w:t>
      </w:r>
      <w:r>
        <w:rPr>
          <w:rFonts w:hint="eastAsia" w:ascii="仿宋_GB2312" w:eastAsia="仿宋_GB2312"/>
          <w:color w:val="auto"/>
          <w:sz w:val="32"/>
          <w:szCs w:val="32"/>
          <w:highlight w:val="none"/>
          <w:lang w:val="en-US" w:eastAsia="zh-CN"/>
        </w:rPr>
        <w:t>2023年补发退休基础绩效增资，事业单位离退休支出增加。</w:t>
      </w:r>
    </w:p>
    <w:p w14:paraId="650B1E72">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8.卫生健康支出（类）公共卫生（款）基本公共卫生服务（项）:支出决算数为58.48万元，比上年决算增加3.79万元，增长6.93%，主要原因是：</w:t>
      </w:r>
      <w:r>
        <w:rPr>
          <w:rFonts w:hint="eastAsia" w:ascii="仿宋_GB2312" w:eastAsia="仿宋_GB2312"/>
          <w:color w:val="auto"/>
          <w:sz w:val="32"/>
          <w:szCs w:val="32"/>
          <w:highlight w:val="none"/>
          <w:lang w:val="en-US" w:eastAsia="zh-CN"/>
        </w:rPr>
        <w:t>2023年基本公共卫生服务项目人均补助标准提高，村医基本公共卫生服务补助支出增加。</w:t>
      </w:r>
    </w:p>
    <w:p w14:paraId="2311C3B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9.社会保障和就业支出（类）行政事业单位养老支出（款）机关事业单位基本养老保险缴费支出（项）:支出决算数为28.80万元，比上年决算增加5.35万元，增长22.81%，主要原因是：</w:t>
      </w:r>
      <w:r>
        <w:rPr>
          <w:rFonts w:hint="eastAsia" w:ascii="仿宋_GB2312" w:eastAsia="仿宋_GB2312"/>
          <w:color w:val="auto"/>
          <w:sz w:val="32"/>
          <w:szCs w:val="32"/>
          <w:highlight w:val="none"/>
          <w:lang w:val="en-US" w:eastAsia="zh-CN"/>
        </w:rPr>
        <w:t>2023年人员工资普调，基本养老保险缴费基数提高，单位基本养老保险缴费支出增加</w:t>
      </w:r>
      <w:r>
        <w:rPr>
          <w:rFonts w:hint="eastAsia" w:ascii="仿宋_GB2312" w:hAnsi="仿宋_GB2312" w:eastAsia="仿宋_GB2312" w:cs="仿宋_GB2312"/>
          <w:color w:val="auto"/>
          <w:kern w:val="2"/>
          <w:sz w:val="32"/>
          <w:szCs w:val="32"/>
          <w:highlight w:val="none"/>
          <w:lang w:val="zh-CN" w:eastAsia="zh-CN" w:bidi="ar-SA"/>
        </w:rPr>
        <w:t>。</w:t>
      </w:r>
    </w:p>
    <w:p w14:paraId="0627B2B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10.卫生健康支出（类）中医药（款）中医（民族医）药专项（项）:支出决算数为0.00万元，比上年决算减少10.00万元，下降100%，主要原因是：2023年上级财政未安排中医馆建设项目资金</w:t>
      </w:r>
      <w:r>
        <w:rPr>
          <w:rFonts w:hint="eastAsia" w:ascii="仿宋_GB2312" w:hAnsi="仿宋_GB2312" w:eastAsia="仿宋_GB2312" w:cs="仿宋_GB2312"/>
          <w:color w:val="auto"/>
          <w:kern w:val="2"/>
          <w:sz w:val="32"/>
          <w:szCs w:val="32"/>
          <w:highlight w:val="none"/>
          <w:lang w:val="zh-CN" w:eastAsia="zh-CN" w:bidi="ar-SA"/>
        </w:rPr>
        <w:t>。</w:t>
      </w:r>
    </w:p>
    <w:p w14:paraId="69C4E5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1020E71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323.46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322.66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基本工资、津贴补贴、奖金、绩效工资、机关事业单位基本养老保险缴费、职工基本医疗保险缴费、其他社会保障缴费、住房公积金、退休费、奖励金。</w:t>
      </w:r>
    </w:p>
    <w:p w14:paraId="635F4DE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0.80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14:paraId="185E906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98B4BA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我单位无公务接待费支出</w:t>
      </w:r>
      <w:r>
        <w:rPr>
          <w:rFonts w:hint="eastAsia" w:ascii="仿宋_GB2312" w:eastAsia="仿宋_GB2312"/>
          <w:color w:val="auto"/>
          <w:sz w:val="32"/>
          <w:szCs w:val="32"/>
          <w:highlight w:val="none"/>
          <w:lang w:val="zh-CN" w:eastAsia="zh-CN"/>
        </w:rPr>
        <w:t>。</w:t>
      </w:r>
    </w:p>
    <w:p w14:paraId="4F7C77D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46BA3FF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14:paraId="290B6A7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rPr>
        <w:t>我单位无公务用车运行维护费开支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原因是：固定资产车辆</w:t>
      </w:r>
      <w:r>
        <w:rPr>
          <w:rFonts w:hint="eastAsia" w:ascii="仿宋_GB2312" w:eastAsia="仿宋_GB2312"/>
          <w:color w:val="auto"/>
          <w:sz w:val="32"/>
          <w:szCs w:val="32"/>
          <w:highlight w:val="none"/>
          <w:lang w:val="en-US" w:eastAsia="zh-CN"/>
        </w:rPr>
        <w:t>1辆为救护车</w:t>
      </w:r>
      <w:r>
        <w:rPr>
          <w:rFonts w:hint="eastAsia" w:ascii="仿宋_GB2312" w:eastAsia="仿宋_GB2312"/>
          <w:color w:val="auto"/>
          <w:sz w:val="32"/>
          <w:szCs w:val="32"/>
          <w:highlight w:val="none"/>
          <w:lang w:val="zh-CN" w:eastAsia="zh-CN"/>
        </w:rPr>
        <w:t>。</w:t>
      </w:r>
    </w:p>
    <w:p w14:paraId="6F64F35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412BD58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我单位未安排财政拨款“三公”经费支出，预决算无差异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宋体" w:eastAsia="仿宋_GB2312" w:cs="宋体"/>
          <w:color w:val="auto"/>
          <w:kern w:val="0"/>
          <w:sz w:val="32"/>
          <w:szCs w:val="32"/>
          <w:highlight w:val="none"/>
        </w:rPr>
        <w:t>我单位未安排公务用车运行费，预决算无差异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我单位未安排公务接待费，预决算无差异</w:t>
      </w:r>
      <w:r>
        <w:rPr>
          <w:rFonts w:hint="eastAsia" w:ascii="仿宋_GB2312" w:eastAsia="仿宋_GB2312"/>
          <w:color w:val="auto"/>
          <w:sz w:val="32"/>
          <w:szCs w:val="32"/>
          <w:highlight w:val="none"/>
          <w:lang w:val="zh-CN" w:eastAsia="zh-CN"/>
        </w:rPr>
        <w:t>。</w:t>
      </w:r>
    </w:p>
    <w:p w14:paraId="1ED031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0E2799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40BE9C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3A6DE1D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9B4C1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2D896E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6E73F11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沙湾市东湾镇卫生院（事业单位）公用经费支出0.80万元，</w:t>
      </w:r>
      <w:r>
        <w:rPr>
          <w:rFonts w:hint="eastAsia" w:ascii="仿宋_GB2312" w:hAnsi="仿宋_GB2312" w:eastAsia="仿宋_GB2312" w:cs="仿宋_GB2312"/>
          <w:color w:val="auto"/>
          <w:sz w:val="32"/>
          <w:szCs w:val="32"/>
          <w:highlight w:val="none"/>
          <w:lang w:val="zh-CN" w:eastAsia="zh-CN"/>
        </w:rPr>
        <w:t>比上年增加0.80万元，增长100.00%，主要原因是：</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年公用经费支付单位工会经费相关费用，2022年未拨付此项费用。</w:t>
      </w:r>
    </w:p>
    <w:p w14:paraId="16EA59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361488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57.84万元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其中：政府采购货物支出35.26万元、政府采购工程支出9.62万元、政府采购服务支出12.95万元。</w:t>
      </w:r>
    </w:p>
    <w:p w14:paraId="2B6888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授予中小企业合同金额57.84万元，占政府采购支出总额的100.00%，其中：授予小微企业合同金额57.84万元，占政府采购支出总额的100.00%</w:t>
      </w:r>
      <w:r>
        <w:rPr>
          <w:rFonts w:hint="eastAsia" w:ascii="仿宋_GB2312" w:hAnsi="仿宋_GB2312" w:eastAsia="仿宋_GB2312" w:cs="仿宋_GB2312"/>
          <w:color w:val="auto"/>
          <w:sz w:val="32"/>
          <w:szCs w:val="32"/>
          <w:highlight w:val="none"/>
          <w:lang w:val="en-US" w:eastAsia="zh-CN"/>
        </w:rPr>
        <w:t>。</w:t>
      </w:r>
    </w:p>
    <w:p w14:paraId="0F9A33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14:paraId="463F76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920.73</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屋3,115.40平方米，价值641.55万元。车辆1辆，价值15.51万元，其中：副部（省）级及以上领导用车0辆、主要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用车0辆、机要通信用车0辆、应急保障用车0辆、执法执勤用车0辆、特种专业技术用车1辆、离退休干部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eastAsia="仿宋_GB2312"/>
          <w:color w:val="auto"/>
          <w:sz w:val="32"/>
          <w:szCs w:val="32"/>
          <w:highlight w:val="none"/>
          <w:lang w:eastAsia="zh-CN"/>
        </w:rPr>
        <w:t>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台（套）</w:t>
      </w:r>
      <w:r>
        <w:rPr>
          <w:rFonts w:hint="eastAsia" w:ascii="仿宋_GB2312" w:hAnsi="仿宋_GB2312" w:eastAsia="仿宋_GB2312" w:cs="仿宋_GB2312"/>
          <w:color w:val="auto"/>
          <w:sz w:val="32"/>
          <w:szCs w:val="32"/>
          <w:highlight w:val="none"/>
          <w:lang w:val="zh-CN" w:eastAsia="zh-CN"/>
        </w:rPr>
        <w:t>。</w:t>
      </w:r>
    </w:p>
    <w:p w14:paraId="5D0A28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088816F9">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预算总额499.67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实际执行总额473.53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en-US" w:eastAsia="zh-CN"/>
        </w:rPr>
        <w:t>150.07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仿宋_GB2312" w:eastAsia="仿宋_GB2312"/>
          <w:color w:val="auto"/>
          <w:sz w:val="32"/>
          <w:szCs w:val="32"/>
          <w:highlight w:val="none"/>
          <w:lang w:val="en-US" w:eastAsia="zh-CN"/>
        </w:rPr>
        <w:t>150.07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14:paraId="165DF28E">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预算绩效管理取得的成效：一是</w:t>
      </w:r>
      <w:r>
        <w:rPr>
          <w:rFonts w:hint="eastAsia" w:ascii="仿宋_GB2312" w:eastAsia="仿宋_GB2312"/>
          <w:color w:val="auto"/>
          <w:sz w:val="32"/>
          <w:szCs w:val="32"/>
          <w:highlight w:val="none"/>
          <w:lang w:eastAsia="zh-CN"/>
        </w:rPr>
        <w:t>通过对每笔资金的细致化管理来保障资金使用的合规、合法性，并据此分析各类资金支出产生的效益，使本单位的绩效工作上一个新台阶</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eastAsia="zh-CN"/>
        </w:rPr>
        <w:t>在项目实施过程中，业务人员加强项目管理，合理控制项目成本</w:t>
      </w:r>
      <w:r>
        <w:rPr>
          <w:rFonts w:hint="eastAsia" w:ascii="仿宋_GB2312" w:eastAsia="仿宋_GB2312"/>
          <w:color w:val="auto"/>
          <w:sz w:val="32"/>
          <w:szCs w:val="32"/>
          <w:highlight w:val="none"/>
          <w:lang w:eastAsia="zh-CN"/>
        </w:rPr>
        <w:t>。发现的问题及原因：一是</w:t>
      </w:r>
      <w:r>
        <w:rPr>
          <w:rFonts w:hint="eastAsia" w:ascii="仿宋_GB2312" w:eastAsia="仿宋_GB2312"/>
          <w:color w:val="auto"/>
          <w:sz w:val="32"/>
          <w:szCs w:val="32"/>
          <w:highlight w:val="none"/>
          <w:lang w:eastAsia="zh-CN"/>
        </w:rPr>
        <w:t>预算编制前根据年度内单位可预见的工作任务，确定了单位年度预算目标，细化了预算指标，但是在实际支付过程中，个别时候未严格按照预算指标执行</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eastAsia="zh-CN"/>
        </w:rPr>
        <w:t>在预算绩效管理工作中，存在“重投入轻管理、重支出轻绩效”的情况，对全面实施预算绩效管理的要求认识还不到位，项目申报、实施等环节与预算绩效管理各个环节联系不够紧密</w:t>
      </w:r>
      <w:r>
        <w:rPr>
          <w:rFonts w:hint="eastAsia" w:ascii="仿宋_GB2312" w:eastAsia="仿宋_GB2312"/>
          <w:color w:val="auto"/>
          <w:sz w:val="32"/>
          <w:szCs w:val="32"/>
          <w:highlight w:val="none"/>
          <w:lang w:eastAsia="zh-CN"/>
        </w:rPr>
        <w:t>。下一步改进措施：一是</w:t>
      </w:r>
      <w:r>
        <w:rPr>
          <w:rFonts w:hint="eastAsia" w:ascii="仿宋_GB2312" w:eastAsia="仿宋_GB2312"/>
          <w:color w:val="auto"/>
          <w:sz w:val="32"/>
          <w:szCs w:val="32"/>
          <w:highlight w:val="none"/>
          <w:lang w:eastAsia="zh-CN"/>
        </w:rPr>
        <w:t>提高对预算绩效管理的认识，充分理解财政绩效评价指标体系，加强预算的约束力</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eastAsia="zh-CN"/>
        </w:rPr>
        <w:t>强化全过程预算绩效管理理念，突出绩效指标的重要性和综合性。</w:t>
      </w:r>
    </w:p>
    <w:p w14:paraId="2EDB553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065BA3B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2FEE819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7554231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077B7DF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3BF8EEB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147B1A7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603A0D2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2D0DB98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2D55332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7D3330B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7E1F73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BD292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21CCF7B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5A2A931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08C6445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1726A5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7FF88799">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6D6B1E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6C396F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0A9A96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2383FB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685575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32361F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2C1938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018F3D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4F472D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1D7A1B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603321C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00C831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8892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5724B0">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65724B0">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2ABACEC1"/>
    <w:multiLevelType w:val="singleLevel"/>
    <w:tmpl w:val="2ABACEC1"/>
    <w:lvl w:ilvl="0" w:tentative="0">
      <w:start w:val="1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4YjkzNDc4ODgxYjUxYTExNjJhOTEwZTJkYThhMDUifQ=="/>
    <w:docVar w:name="KSO_WPS_MARK_KEY" w:val="41ee2a61-2d54-4f93-83be-afdb9a40d732"/>
  </w:docVars>
  <w:rsids>
    <w:rsidRoot w:val="00000000"/>
    <w:rsid w:val="00207315"/>
    <w:rsid w:val="00213C59"/>
    <w:rsid w:val="003210CE"/>
    <w:rsid w:val="00B70D59"/>
    <w:rsid w:val="00F52A8D"/>
    <w:rsid w:val="019404F8"/>
    <w:rsid w:val="01C30B6B"/>
    <w:rsid w:val="01C96240"/>
    <w:rsid w:val="01ED22F2"/>
    <w:rsid w:val="024078AF"/>
    <w:rsid w:val="02BD3108"/>
    <w:rsid w:val="02F73D26"/>
    <w:rsid w:val="03263A0D"/>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70B3C"/>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EF37E85"/>
    <w:rsid w:val="0F1113DA"/>
    <w:rsid w:val="0F2F6718"/>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525BE6"/>
    <w:rsid w:val="158C5B77"/>
    <w:rsid w:val="15B35482"/>
    <w:rsid w:val="160D1149"/>
    <w:rsid w:val="163563C0"/>
    <w:rsid w:val="164315EF"/>
    <w:rsid w:val="16557DFE"/>
    <w:rsid w:val="167268FB"/>
    <w:rsid w:val="16770D0A"/>
    <w:rsid w:val="169A0039"/>
    <w:rsid w:val="16D50C50"/>
    <w:rsid w:val="16E120E1"/>
    <w:rsid w:val="17385A05"/>
    <w:rsid w:val="173B3901"/>
    <w:rsid w:val="176747F9"/>
    <w:rsid w:val="17954A6E"/>
    <w:rsid w:val="17964D2F"/>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DE2366"/>
    <w:rsid w:val="23EF1892"/>
    <w:rsid w:val="2483647E"/>
    <w:rsid w:val="24A32D55"/>
    <w:rsid w:val="24CE6D9A"/>
    <w:rsid w:val="25292727"/>
    <w:rsid w:val="252E5CA9"/>
    <w:rsid w:val="256F7692"/>
    <w:rsid w:val="25BA2154"/>
    <w:rsid w:val="25C8773F"/>
    <w:rsid w:val="26235823"/>
    <w:rsid w:val="264A7253"/>
    <w:rsid w:val="26F0170C"/>
    <w:rsid w:val="26FE3B9A"/>
    <w:rsid w:val="27025483"/>
    <w:rsid w:val="27201D62"/>
    <w:rsid w:val="27286E73"/>
    <w:rsid w:val="27CF2642"/>
    <w:rsid w:val="27E777F5"/>
    <w:rsid w:val="27EA1D4C"/>
    <w:rsid w:val="27EA2E41"/>
    <w:rsid w:val="282459E2"/>
    <w:rsid w:val="283A7FE5"/>
    <w:rsid w:val="285F51FF"/>
    <w:rsid w:val="28C61F1B"/>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723F9B"/>
    <w:rsid w:val="30862F5F"/>
    <w:rsid w:val="30A4775A"/>
    <w:rsid w:val="314029C9"/>
    <w:rsid w:val="31C63837"/>
    <w:rsid w:val="31C82E39"/>
    <w:rsid w:val="325141B3"/>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3C393D"/>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6AA36F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780D11"/>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B94C4A"/>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CC51F6"/>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3D45CE"/>
    <w:rsid w:val="69846A0E"/>
    <w:rsid w:val="69AA1366"/>
    <w:rsid w:val="69AD798C"/>
    <w:rsid w:val="69D005C0"/>
    <w:rsid w:val="69D80B96"/>
    <w:rsid w:val="69F47AD7"/>
    <w:rsid w:val="6A2C39D4"/>
    <w:rsid w:val="6AE5411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10490"/>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63192B"/>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07D3F"/>
    <w:rsid w:val="791B54B2"/>
    <w:rsid w:val="793C0F89"/>
    <w:rsid w:val="795A0A34"/>
    <w:rsid w:val="797339C3"/>
    <w:rsid w:val="79D57D57"/>
    <w:rsid w:val="79F00650"/>
    <w:rsid w:val="7A6242BF"/>
    <w:rsid w:val="7A794513"/>
    <w:rsid w:val="7A9B3811"/>
    <w:rsid w:val="7AB467DA"/>
    <w:rsid w:val="7AB9318D"/>
    <w:rsid w:val="7AE66410"/>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hint="default" w:ascii="仿宋_GB2312" w:hAnsi="仿宋_GB2312" w:eastAsia="仿宋_GB2312"/>
      <w:b/>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6333</Words>
  <Characters>7126</Characters>
  <Lines>0</Lines>
  <Paragraphs>0</Paragraphs>
  <TotalTime>60</TotalTime>
  <ScaleCrop>false</ScaleCrop>
  <LinksUpToDate>false</LinksUpToDate>
  <CharactersWithSpaces>7137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南山南</cp:lastModifiedBy>
  <dcterms:modified xsi:type="dcterms:W3CDTF">2024-11-18T01:51:20Z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7EA7F854EB00431983AA1163C81CB359_13</vt:lpwstr>
  </property>
</Properties>
</file>