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30527">
      <w:pPr>
        <w:spacing w:line="240" w:lineRule="atLeast"/>
        <w:ind w:firstLine="960"/>
        <w:jc w:val="center"/>
        <w:rPr>
          <w:rFonts w:ascii="方正小标宋简体" w:hAnsi="黑体" w:eastAsia="方正小标宋简体" w:cs="黑体"/>
          <w:bCs/>
          <w:color w:val="auto"/>
          <w:sz w:val="48"/>
          <w:szCs w:val="48"/>
          <w:highlight w:val="none"/>
        </w:rPr>
      </w:pPr>
    </w:p>
    <w:p w14:paraId="6EC8D617">
      <w:pPr>
        <w:spacing w:line="240" w:lineRule="atLeast"/>
        <w:ind w:firstLine="960"/>
        <w:jc w:val="center"/>
        <w:rPr>
          <w:rFonts w:ascii="方正小标宋简体" w:hAnsi="黑体" w:eastAsia="方正小标宋简体" w:cs="黑体"/>
          <w:bCs/>
          <w:color w:val="auto"/>
          <w:sz w:val="48"/>
          <w:szCs w:val="48"/>
          <w:highlight w:val="none"/>
        </w:rPr>
      </w:pPr>
    </w:p>
    <w:p w14:paraId="602833C6">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沙湾市文工团2023年</w:t>
      </w:r>
      <w:r>
        <w:rPr>
          <w:rStyle w:val="15"/>
          <w:rFonts w:hint="eastAsia" w:ascii="方正小标宋简体" w:hAnsi="方正小标宋简体" w:eastAsia="方正小标宋简体" w:cs="方正小标宋简体"/>
          <w:b w:val="0"/>
          <w:color w:val="auto"/>
          <w:sz w:val="48"/>
          <w:szCs w:val="48"/>
          <w:highlight w:val="none"/>
          <w:lang w:val="en-US" w:eastAsia="zh-CN" w:bidi="ar"/>
        </w:rPr>
        <w:t>中央补助地方公共文化体系建设补助资金（大盘鸡的故事）</w:t>
      </w:r>
      <w:r>
        <w:rPr>
          <w:rFonts w:hint="eastAsia" w:ascii="方正小标宋简体" w:hAnsi="黑体" w:eastAsia="方正小标宋简体" w:cs="黑体"/>
          <w:bCs/>
          <w:color w:val="auto"/>
          <w:sz w:val="48"/>
          <w:szCs w:val="48"/>
          <w:highlight w:val="none"/>
        </w:rPr>
        <w:t>项目支出绩效评价报告</w:t>
      </w:r>
    </w:p>
    <w:p w14:paraId="61C42BC9">
      <w:pPr>
        <w:spacing w:line="240" w:lineRule="atLeast"/>
        <w:ind w:firstLine="960"/>
        <w:jc w:val="center"/>
        <w:rPr>
          <w:rFonts w:ascii="方正小标宋简体" w:hAnsi="黑体" w:eastAsia="方正小标宋简体" w:cs="黑体"/>
          <w:bCs/>
          <w:color w:val="auto"/>
          <w:sz w:val="48"/>
          <w:szCs w:val="48"/>
          <w:highlight w:val="none"/>
        </w:rPr>
      </w:pPr>
    </w:p>
    <w:p w14:paraId="6DE91CBE">
      <w:pPr>
        <w:spacing w:line="240" w:lineRule="atLeast"/>
        <w:ind w:firstLine="960"/>
        <w:jc w:val="center"/>
        <w:rPr>
          <w:rFonts w:ascii="方正小标宋简体" w:hAnsi="黑体" w:eastAsia="方正小标宋简体" w:cs="黑体"/>
          <w:bCs/>
          <w:color w:val="auto"/>
          <w:sz w:val="48"/>
          <w:szCs w:val="48"/>
          <w:highlight w:val="none"/>
        </w:rPr>
      </w:pPr>
    </w:p>
    <w:p w14:paraId="7EA9DCCE">
      <w:pPr>
        <w:spacing w:line="240" w:lineRule="atLeast"/>
        <w:ind w:firstLine="960"/>
        <w:jc w:val="center"/>
        <w:rPr>
          <w:rFonts w:ascii="方正小标宋简体" w:hAnsi="黑体" w:eastAsia="方正小标宋简体" w:cs="黑体"/>
          <w:bCs/>
          <w:color w:val="auto"/>
          <w:sz w:val="48"/>
          <w:szCs w:val="48"/>
          <w:highlight w:val="none"/>
        </w:rPr>
      </w:pPr>
    </w:p>
    <w:p w14:paraId="40BDB50D">
      <w:pPr>
        <w:spacing w:line="240" w:lineRule="atLeast"/>
        <w:ind w:firstLine="960"/>
        <w:jc w:val="center"/>
        <w:rPr>
          <w:rFonts w:ascii="方正小标宋简体" w:hAnsi="黑体" w:eastAsia="方正小标宋简体" w:cs="黑体"/>
          <w:bCs/>
          <w:color w:val="auto"/>
          <w:sz w:val="48"/>
          <w:szCs w:val="48"/>
          <w:highlight w:val="none"/>
        </w:rPr>
      </w:pPr>
    </w:p>
    <w:p w14:paraId="4E2D8A12">
      <w:pPr>
        <w:spacing w:line="240" w:lineRule="atLeast"/>
        <w:ind w:firstLine="960"/>
        <w:jc w:val="center"/>
        <w:rPr>
          <w:rFonts w:ascii="方正小标宋简体" w:hAnsi="黑体" w:eastAsia="方正小标宋简体" w:cs="黑体"/>
          <w:bCs/>
          <w:color w:val="auto"/>
          <w:sz w:val="48"/>
          <w:szCs w:val="48"/>
          <w:highlight w:val="none"/>
        </w:rPr>
      </w:pPr>
    </w:p>
    <w:p w14:paraId="2C73A6AC">
      <w:pPr>
        <w:ind w:firstLine="1200" w:firstLineChars="400"/>
        <w:rPr>
          <w:rFonts w:ascii="黑体" w:hAnsi="黑体" w:eastAsia="黑体" w:cs="宋体"/>
          <w:color w:val="auto"/>
          <w:sz w:val="30"/>
          <w:szCs w:val="30"/>
          <w:highlight w:val="none"/>
        </w:rPr>
      </w:pPr>
    </w:p>
    <w:p w14:paraId="0528665E">
      <w:pPr>
        <w:ind w:left="2698" w:leftChars="428" w:hanging="1500" w:hangingChars="500"/>
        <w:rPr>
          <w:rFonts w:ascii="黑体" w:hAnsi="黑体" w:eastAsia="黑体" w:cs="仿宋_GB2312"/>
          <w:color w:val="auto"/>
          <w:sz w:val="30"/>
          <w:szCs w:val="30"/>
          <w:highlight w:val="none"/>
        </w:rPr>
      </w:pPr>
      <w:r>
        <w:rPr>
          <w:rFonts w:ascii="黑体" w:hAnsi="黑体" w:eastAsia="黑体" w:cs="宋体"/>
          <w:color w:val="auto"/>
          <w:sz w:val="30"/>
          <w:szCs w:val="30"/>
          <w:highlight w:val="none"/>
        </w:rPr>
        <w:t>项目名称：</w:t>
      </w:r>
      <w:bookmarkStart w:id="0" w:name="_Hlk68780987"/>
      <w:r>
        <w:rPr>
          <w:rFonts w:ascii="黑体" w:hAnsi="黑体" w:eastAsia="黑体" w:cs="仿宋_GB2312"/>
          <w:color w:val="auto"/>
          <w:sz w:val="30"/>
          <w:szCs w:val="30"/>
          <w:highlight w:val="none"/>
        </w:rPr>
        <w:t>202</w:t>
      </w:r>
      <w:r>
        <w:rPr>
          <w:rFonts w:hint="eastAsia" w:ascii="黑体" w:hAnsi="黑体" w:eastAsia="黑体" w:cs="仿宋_GB2312"/>
          <w:color w:val="auto"/>
          <w:sz w:val="30"/>
          <w:szCs w:val="30"/>
          <w:highlight w:val="none"/>
          <w:lang w:val="en-US" w:eastAsia="zh-CN"/>
        </w:rPr>
        <w:t>3</w:t>
      </w:r>
      <w:r>
        <w:rPr>
          <w:rFonts w:hint="eastAsia" w:ascii="黑体" w:hAnsi="黑体" w:eastAsia="黑体" w:cs="仿宋_GB2312"/>
          <w:color w:val="auto"/>
          <w:sz w:val="30"/>
          <w:szCs w:val="30"/>
          <w:highlight w:val="none"/>
        </w:rPr>
        <w:t>年</w:t>
      </w:r>
      <w:r>
        <w:rPr>
          <w:rStyle w:val="15"/>
          <w:rFonts w:hint="eastAsia" w:ascii="黑体" w:hAnsi="黑体" w:eastAsia="黑体" w:cs="黑体"/>
          <w:b w:val="0"/>
          <w:color w:val="auto"/>
          <w:sz w:val="30"/>
          <w:szCs w:val="30"/>
          <w:highlight w:val="none"/>
          <w:lang w:val="en-US" w:eastAsia="zh-CN" w:bidi="ar"/>
        </w:rPr>
        <w:t>中央补助地方公共文化体系建设补助资金（大盘鸡的故事）</w:t>
      </w:r>
      <w:r>
        <w:rPr>
          <w:rFonts w:hint="eastAsia" w:ascii="黑体" w:hAnsi="黑体" w:eastAsia="黑体" w:cs="仿宋_GB2312"/>
          <w:color w:val="auto"/>
          <w:sz w:val="30"/>
          <w:szCs w:val="30"/>
          <w:highlight w:val="none"/>
        </w:rPr>
        <w:t>项目</w:t>
      </w:r>
      <w:bookmarkEnd w:id="0"/>
    </w:p>
    <w:p w14:paraId="551A8201">
      <w:pPr>
        <w:ind w:firstLine="1200" w:firstLineChars="400"/>
        <w:rPr>
          <w:rFonts w:hint="default" w:ascii="黑体" w:hAnsi="黑体" w:eastAsia="黑体" w:cs="宋体"/>
          <w:color w:val="auto"/>
          <w:sz w:val="30"/>
          <w:szCs w:val="30"/>
          <w:highlight w:val="none"/>
          <w:lang w:val="en-US"/>
        </w:rPr>
      </w:pPr>
      <w:r>
        <w:rPr>
          <w:rFonts w:ascii="黑体" w:hAnsi="黑体" w:eastAsia="黑体" w:cs="宋体"/>
          <w:color w:val="auto"/>
          <w:sz w:val="30"/>
          <w:szCs w:val="30"/>
          <w:highlight w:val="none"/>
        </w:rPr>
        <w:t>项目单位：</w:t>
      </w:r>
      <w:r>
        <w:rPr>
          <w:rFonts w:hint="eastAsia" w:ascii="黑体" w:hAnsi="黑体" w:eastAsia="黑体" w:cs="仿宋_GB2312"/>
          <w:color w:val="auto"/>
          <w:sz w:val="30"/>
          <w:szCs w:val="30"/>
          <w:highlight w:val="none"/>
          <w:lang w:val="en-US" w:eastAsia="zh-CN"/>
        </w:rPr>
        <w:t>沙湾市文工团</w:t>
      </w:r>
    </w:p>
    <w:p w14:paraId="150957B9">
      <w:pPr>
        <w:ind w:firstLine="1200" w:firstLineChars="400"/>
        <w:rPr>
          <w:rFonts w:hint="default" w:ascii="黑体" w:hAnsi="黑体" w:eastAsia="黑体" w:cs="宋体"/>
          <w:color w:val="auto"/>
          <w:sz w:val="30"/>
          <w:szCs w:val="30"/>
          <w:highlight w:val="none"/>
          <w:lang w:val="en-US"/>
        </w:rPr>
      </w:pPr>
      <w:r>
        <w:rPr>
          <w:rFonts w:ascii="黑体" w:hAnsi="黑体" w:eastAsia="黑体" w:cs="宋体"/>
          <w:color w:val="auto"/>
          <w:sz w:val="30"/>
          <w:szCs w:val="30"/>
          <w:highlight w:val="none"/>
        </w:rPr>
        <w:t>主管部门：</w:t>
      </w:r>
      <w:r>
        <w:rPr>
          <w:rFonts w:hint="eastAsia" w:ascii="黑体" w:hAnsi="黑体" w:eastAsia="黑体" w:cs="仿宋_GB2312"/>
          <w:color w:val="auto"/>
          <w:sz w:val="30"/>
          <w:szCs w:val="30"/>
          <w:highlight w:val="none"/>
          <w:lang w:val="en-US" w:eastAsia="zh-CN"/>
        </w:rPr>
        <w:t>沙湾市文化体育广播电视和旅游局</w:t>
      </w:r>
    </w:p>
    <w:p w14:paraId="5BB602AB">
      <w:pPr>
        <w:ind w:firstLine="1200" w:firstLineChars="400"/>
        <w:rPr>
          <w:rFonts w:hint="eastAsia" w:ascii="黑体" w:hAnsi="黑体" w:eastAsia="黑体" w:cs="宋体"/>
          <w:color w:val="auto"/>
          <w:sz w:val="30"/>
          <w:szCs w:val="30"/>
          <w:highlight w:val="none"/>
          <w:lang w:val="en-US"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宋体"/>
          <w:color w:val="auto"/>
          <w:sz w:val="30"/>
          <w:szCs w:val="30"/>
          <w:highlight w:val="none"/>
          <w:lang w:val="en-US" w:eastAsia="zh-CN"/>
        </w:rPr>
        <w:t>高永强</w:t>
      </w:r>
    </w:p>
    <w:p w14:paraId="344C3084">
      <w:pPr>
        <w:ind w:firstLine="1200" w:firstLineChars="400"/>
        <w:rPr>
          <w:rFonts w:ascii="黑体" w:hAnsi="黑体" w:eastAsia="黑体" w:cs="仿宋_GB2312"/>
          <w:color w:val="auto"/>
          <w:sz w:val="30"/>
          <w:szCs w:val="30"/>
          <w:highlight w:val="none"/>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25</w:t>
      </w:r>
      <w:r>
        <w:rPr>
          <w:rFonts w:hint="eastAsia" w:ascii="黑体" w:hAnsi="黑体" w:eastAsia="黑体" w:cs="仿宋_GB2312"/>
          <w:color w:val="auto"/>
          <w:sz w:val="30"/>
          <w:szCs w:val="30"/>
          <w:highlight w:val="none"/>
        </w:rPr>
        <w:t>日</w:t>
      </w:r>
    </w:p>
    <w:p w14:paraId="398E3283">
      <w:pPr>
        <w:spacing w:line="240" w:lineRule="atLeast"/>
        <w:ind w:firstLine="0" w:firstLineChars="0"/>
        <w:rPr>
          <w:rFonts w:hint="eastAsia" w:ascii="宋体" w:hAnsi="宋体" w:eastAsia="宋体" w:cs="黑体"/>
          <w:bCs/>
          <w:color w:val="auto"/>
          <w:sz w:val="32"/>
          <w:szCs w:val="32"/>
          <w:highlight w:val="none"/>
        </w:rPr>
      </w:pPr>
    </w:p>
    <w:p w14:paraId="0C05B514">
      <w:pPr>
        <w:spacing w:after="100" w:afterAutospacing="1" w:line="360" w:lineRule="auto"/>
        <w:ind w:left="0" w:leftChars="0" w:firstLine="0" w:firstLineChars="0"/>
        <w:jc w:val="center"/>
        <w:rPr>
          <w:rFonts w:hint="eastAsia" w:ascii="方正小标宋_GBK" w:hAnsi="黑体" w:eastAsia="方正小标宋_GBK" w:cs="黑体"/>
          <w:bCs/>
          <w:color w:val="auto"/>
          <w:sz w:val="44"/>
          <w:szCs w:val="44"/>
          <w:highlight w:val="none"/>
          <w:lang w:val="en-US" w:eastAsia="zh-CN"/>
        </w:rPr>
      </w:pPr>
      <w:r>
        <w:rPr>
          <w:rFonts w:hint="eastAsia" w:ascii="方正小标宋_GBK" w:hAnsi="黑体" w:eastAsia="方正小标宋_GBK" w:cs="黑体"/>
          <w:bCs/>
          <w:color w:val="auto"/>
          <w:sz w:val="44"/>
          <w:szCs w:val="44"/>
          <w:highlight w:val="none"/>
          <w:lang w:val="en-US" w:eastAsia="zh-CN"/>
        </w:rPr>
        <w:t>沙湾市文工团中央补助地方公共文化体系建设补助资金（大盘鸡的故事）</w:t>
      </w:r>
    </w:p>
    <w:p w14:paraId="51D7C537">
      <w:pPr>
        <w:spacing w:after="100" w:afterAutospacing="1" w:line="360" w:lineRule="auto"/>
        <w:ind w:left="0" w:leftChars="0" w:firstLine="0" w:firstLineChars="0"/>
        <w:jc w:val="center"/>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rPr>
        <w:t>项目支出绩效评价报告</w:t>
      </w:r>
    </w:p>
    <w:p w14:paraId="6F05A6FB">
      <w:pPr>
        <w:pStyle w:val="3"/>
        <w:spacing w:line="600" w:lineRule="exact"/>
        <w:ind w:firstLine="640"/>
        <w:rPr>
          <w:color w:val="auto"/>
          <w:szCs w:val="32"/>
          <w:highlight w:val="none"/>
        </w:rPr>
      </w:pPr>
      <w:r>
        <w:rPr>
          <w:rFonts w:hint="eastAsia"/>
          <w:color w:val="auto"/>
          <w:szCs w:val="32"/>
          <w:highlight w:val="none"/>
        </w:rPr>
        <w:t>一、基本情况</w:t>
      </w:r>
    </w:p>
    <w:p w14:paraId="7D928314">
      <w:pPr>
        <w:pStyle w:val="4"/>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14:paraId="30AA970A">
      <w:pPr>
        <w:bidi w:val="0"/>
        <w:rPr>
          <w:b/>
          <w:bCs/>
          <w:color w:val="auto"/>
          <w:sz w:val="32"/>
          <w:szCs w:val="32"/>
          <w:highlight w:val="none"/>
        </w:rPr>
      </w:pPr>
      <w:r>
        <w:rPr>
          <w:rFonts w:hint="eastAsia"/>
          <w:b/>
          <w:bCs/>
          <w:color w:val="auto"/>
          <w:sz w:val="32"/>
          <w:szCs w:val="32"/>
          <w:highlight w:val="none"/>
        </w:rPr>
        <w:t>1.项目背景</w:t>
      </w:r>
    </w:p>
    <w:p w14:paraId="603274B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i w:val="0"/>
          <w:color w:val="auto"/>
          <w:kern w:val="0"/>
          <w:sz w:val="32"/>
          <w:szCs w:val="32"/>
          <w:highlight w:val="none"/>
          <w:u w:val="none"/>
          <w:lang w:val="en-US" w:eastAsia="zh-CN" w:bidi="ar"/>
        </w:rPr>
      </w:pPr>
      <w:r>
        <w:rPr>
          <w:rFonts w:hint="eastAsia" w:ascii="仿宋_GB2312" w:hAnsi="仿宋_GB2312" w:eastAsia="仿宋_GB2312" w:cs="仿宋_GB2312"/>
          <w:i w:val="0"/>
          <w:color w:val="auto"/>
          <w:kern w:val="0"/>
          <w:sz w:val="32"/>
          <w:szCs w:val="32"/>
          <w:highlight w:val="none"/>
          <w:u w:val="none"/>
          <w:lang w:val="en-US" w:eastAsia="zh-CN" w:bidi="ar"/>
        </w:rPr>
        <w:t>围绕学习宣传</w:t>
      </w:r>
      <w:r>
        <w:rPr>
          <w:rFonts w:hint="eastAsia" w:ascii="仿宋_GB2312" w:hAnsi="仿宋_GB2312" w:cs="仿宋_GB2312"/>
          <w:i w:val="0"/>
          <w:color w:val="auto"/>
          <w:kern w:val="0"/>
          <w:sz w:val="32"/>
          <w:szCs w:val="32"/>
          <w:highlight w:val="none"/>
          <w:u w:val="none"/>
          <w:lang w:val="en-US" w:eastAsia="zh-CN" w:bidi="ar"/>
        </w:rPr>
        <w:t>习近平新时代中国特色社会主义思想和党的二十大精神</w:t>
      </w:r>
      <w:r>
        <w:rPr>
          <w:rFonts w:hint="eastAsia" w:ascii="仿宋_GB2312" w:hAnsi="仿宋_GB2312" w:eastAsia="仿宋_GB2312" w:cs="仿宋_GB2312"/>
          <w:i w:val="0"/>
          <w:color w:val="auto"/>
          <w:kern w:val="0"/>
          <w:sz w:val="32"/>
          <w:szCs w:val="32"/>
          <w:highlight w:val="none"/>
          <w:u w:val="none"/>
          <w:lang w:val="en-US" w:eastAsia="zh-CN" w:bidi="ar"/>
        </w:rPr>
        <w:t>，持续深入推进开展“我们的中国梦”文化进万家文化惠民活动，全年开展“我们的中国梦”文化进万家送戏下乡文化惠民活动送戏下乡不少于35场次；在元旦、春节期间开展文化年货进万家活动，免费向全县各族群众提供丰富的文化年货，让社会主义先进文化飞入寻常百姓家。</w:t>
      </w:r>
    </w:p>
    <w:p w14:paraId="47B84BF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i w:val="0"/>
          <w:color w:val="auto"/>
          <w:kern w:val="0"/>
          <w:sz w:val="32"/>
          <w:szCs w:val="32"/>
          <w:highlight w:val="none"/>
          <w:u w:val="none"/>
          <w:lang w:val="en-US" w:eastAsia="zh-CN" w:bidi="ar"/>
        </w:rPr>
      </w:pPr>
      <w:r>
        <w:rPr>
          <w:rFonts w:hint="eastAsia" w:ascii="仿宋_GB2312" w:hAnsi="仿宋_GB2312" w:eastAsia="仿宋_GB2312" w:cs="仿宋_GB2312"/>
          <w:i w:val="0"/>
          <w:color w:val="auto"/>
          <w:kern w:val="0"/>
          <w:sz w:val="32"/>
          <w:szCs w:val="32"/>
          <w:highlight w:val="none"/>
          <w:u w:val="none"/>
          <w:lang w:val="en-US" w:eastAsia="zh-CN" w:bidi="ar"/>
        </w:rPr>
        <w:t>2023年，沙湾市文工团根据沙湾市财政局《</w:t>
      </w:r>
      <w:r>
        <w:rPr>
          <w:rFonts w:hint="eastAsia" w:ascii="仿宋_GB2312" w:hAnsi="仿宋_GB2312" w:cs="仿宋_GB2312"/>
          <w:i w:val="0"/>
          <w:color w:val="auto"/>
          <w:kern w:val="0"/>
          <w:sz w:val="32"/>
          <w:szCs w:val="32"/>
          <w:highlight w:val="none"/>
          <w:u w:val="none"/>
          <w:lang w:val="en-US" w:eastAsia="zh-CN" w:bidi="ar"/>
        </w:rPr>
        <w:t>关于</w:t>
      </w:r>
      <w:r>
        <w:rPr>
          <w:rFonts w:hint="eastAsia" w:ascii="仿宋_GB2312" w:hAnsi="仿宋_GB2312" w:eastAsia="仿宋_GB2312" w:cs="仿宋_GB2312"/>
          <w:i w:val="0"/>
          <w:color w:val="auto"/>
          <w:kern w:val="0"/>
          <w:sz w:val="32"/>
          <w:szCs w:val="32"/>
          <w:highlight w:val="none"/>
          <w:u w:val="none"/>
          <w:lang w:val="en-US" w:eastAsia="zh-CN" w:bidi="ar"/>
        </w:rPr>
        <w:t>下达2023年中央补助地方公共文化服务体系建设补助资金预算的通知》（塔地财教〔2023〕29号、沙财教〔2023〕19号）以及《</w:t>
      </w:r>
      <w:r>
        <w:rPr>
          <w:rFonts w:hint="eastAsia" w:ascii="仿宋_GB2312" w:hAnsi="仿宋_GB2312" w:cs="仿宋_GB2312"/>
          <w:i w:val="0"/>
          <w:color w:val="auto"/>
          <w:kern w:val="0"/>
          <w:sz w:val="32"/>
          <w:szCs w:val="32"/>
          <w:highlight w:val="none"/>
          <w:u w:val="none"/>
          <w:lang w:val="en-US" w:eastAsia="zh-CN" w:bidi="ar"/>
        </w:rPr>
        <w:t>关于</w:t>
      </w:r>
      <w:r>
        <w:rPr>
          <w:rFonts w:hint="eastAsia" w:ascii="仿宋_GB2312" w:hAnsi="仿宋_GB2312" w:eastAsia="仿宋_GB2312" w:cs="仿宋_GB2312"/>
          <w:i w:val="0"/>
          <w:color w:val="auto"/>
          <w:kern w:val="0"/>
          <w:sz w:val="32"/>
          <w:szCs w:val="32"/>
          <w:highlight w:val="none"/>
          <w:u w:val="none"/>
          <w:lang w:val="en-US" w:eastAsia="zh-CN" w:bidi="ar"/>
        </w:rPr>
        <w:t>拨付下达2021年度自治区文艺扶持激励项目资金的通知》（塔地财教〔2021〕38号、沙财教〔2021〕32号）要求，积极创作大盘鸡系列的文化精品，通过文化精品的创作，打响沙湾大盘鸡这</w:t>
      </w:r>
      <w:bookmarkStart w:id="19" w:name="_GoBack"/>
      <w:r>
        <w:rPr>
          <w:rFonts w:hint="eastAsia" w:ascii="仿宋_GB2312" w:hAnsi="仿宋_GB2312" w:cs="仿宋_GB2312"/>
          <w:i w:val="0"/>
          <w:color w:val="auto"/>
          <w:kern w:val="0"/>
          <w:sz w:val="32"/>
          <w:szCs w:val="32"/>
          <w:highlight w:val="none"/>
          <w:u w:val="none"/>
          <w:lang w:val="en-US" w:eastAsia="zh-CN" w:bidi="ar"/>
        </w:rPr>
        <w:t>张文化名片，进一步繁荣发展沙湾市的文化事业、推进文化润疆工程的深入实施。</w:t>
      </w:r>
      <w:bookmarkEnd w:id="19"/>
    </w:p>
    <w:p w14:paraId="507933EE">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14:paraId="6064100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i w:val="0"/>
          <w:color w:val="auto"/>
          <w:kern w:val="0"/>
          <w:sz w:val="32"/>
          <w:szCs w:val="32"/>
          <w:highlight w:val="none"/>
          <w:u w:val="none"/>
          <w:lang w:val="en-US" w:eastAsia="zh-CN" w:bidi="ar"/>
        </w:rPr>
      </w:pPr>
      <w:r>
        <w:rPr>
          <w:rFonts w:hint="eastAsia" w:ascii="仿宋_GB2312" w:hAnsi="仿宋_GB2312" w:cs="仿宋_GB2312"/>
          <w:i w:val="0"/>
          <w:color w:val="auto"/>
          <w:kern w:val="0"/>
          <w:sz w:val="32"/>
          <w:szCs w:val="32"/>
          <w:highlight w:val="none"/>
          <w:u w:val="none"/>
          <w:lang w:val="en-US" w:eastAsia="zh-CN" w:bidi="ar"/>
        </w:rPr>
        <w:t>根据沙湾市财政局《关于下达2023年中央补助地方公共文化服务</w:t>
      </w:r>
      <w:r>
        <w:rPr>
          <w:rFonts w:hint="eastAsia" w:ascii="仿宋_GB2312" w:hAnsi="仿宋_GB2312" w:eastAsia="仿宋_GB2312" w:cs="仿宋_GB2312"/>
          <w:i w:val="0"/>
          <w:color w:val="auto"/>
          <w:kern w:val="0"/>
          <w:sz w:val="32"/>
          <w:szCs w:val="32"/>
          <w:highlight w:val="none"/>
          <w:u w:val="none"/>
          <w:lang w:val="en-US" w:eastAsia="zh-CN" w:bidi="ar"/>
        </w:rPr>
        <w:t>体系建设补助资金预算的通知》（塔地财教〔2023〕29号、沙财教〔2023〕19号）以及《</w:t>
      </w:r>
      <w:r>
        <w:rPr>
          <w:rFonts w:hint="eastAsia" w:ascii="仿宋_GB2312" w:hAnsi="仿宋_GB2312" w:cs="仿宋_GB2312"/>
          <w:i w:val="0"/>
          <w:color w:val="auto"/>
          <w:kern w:val="0"/>
          <w:sz w:val="32"/>
          <w:szCs w:val="32"/>
          <w:highlight w:val="none"/>
          <w:u w:val="none"/>
          <w:lang w:val="en-US" w:eastAsia="zh-CN" w:bidi="ar"/>
        </w:rPr>
        <w:t>关于</w:t>
      </w:r>
      <w:r>
        <w:rPr>
          <w:rFonts w:hint="eastAsia" w:ascii="仿宋_GB2312" w:hAnsi="仿宋_GB2312" w:eastAsia="仿宋_GB2312" w:cs="仿宋_GB2312"/>
          <w:i w:val="0"/>
          <w:color w:val="auto"/>
          <w:kern w:val="0"/>
          <w:sz w:val="32"/>
          <w:szCs w:val="32"/>
          <w:highlight w:val="none"/>
          <w:u w:val="none"/>
          <w:lang w:val="en-US" w:eastAsia="zh-CN" w:bidi="ar"/>
        </w:rPr>
        <w:t>拨付下达2021年度自治区文艺扶持激励项目资金的通知》（塔地财教〔2021〕38号、沙财教〔2021〕32号）要求，</w:t>
      </w:r>
      <w:r>
        <w:rPr>
          <w:rFonts w:hint="eastAsia" w:ascii="仿宋_GB2312" w:hAnsi="仿宋_GB2312" w:eastAsia="仿宋_GB2312" w:cs="仿宋_GB2312"/>
          <w:i w:val="0"/>
          <w:color w:val="auto"/>
          <w:kern w:val="0"/>
          <w:sz w:val="32"/>
          <w:szCs w:val="32"/>
          <w:highlight w:val="none"/>
          <w:u w:val="none"/>
          <w:lang w:val="en-US" w:eastAsia="zh-Hans" w:bidi="ar"/>
        </w:rPr>
        <w:t>本项目实施</w:t>
      </w:r>
      <w:r>
        <w:rPr>
          <w:rFonts w:hint="eastAsia" w:ascii="仿宋_GB2312" w:hAnsi="仿宋_GB2312" w:eastAsia="仿宋_GB2312" w:cs="仿宋_GB2312"/>
          <w:i w:val="0"/>
          <w:color w:val="auto"/>
          <w:kern w:val="0"/>
          <w:sz w:val="32"/>
          <w:szCs w:val="32"/>
          <w:highlight w:val="none"/>
          <w:u w:val="none"/>
          <w:lang w:val="en-US" w:eastAsia="zh-CN" w:bidi="ar"/>
        </w:rPr>
        <w:t>（或</w:t>
      </w:r>
      <w:r>
        <w:rPr>
          <w:rFonts w:hint="eastAsia" w:ascii="仿宋_GB2312" w:hAnsi="仿宋_GB2312" w:eastAsia="仿宋_GB2312" w:cs="仿宋_GB2312"/>
          <w:i w:val="0"/>
          <w:color w:val="auto"/>
          <w:kern w:val="0"/>
          <w:sz w:val="32"/>
          <w:szCs w:val="32"/>
          <w:highlight w:val="none"/>
          <w:u w:val="none"/>
          <w:lang w:val="en-US" w:eastAsia="zh-Hans" w:bidi="ar"/>
        </w:rPr>
        <w:t>建设</w:t>
      </w:r>
      <w:r>
        <w:rPr>
          <w:rFonts w:hint="eastAsia" w:ascii="仿宋_GB2312" w:hAnsi="仿宋_GB2312" w:eastAsia="仿宋_GB2312" w:cs="仿宋_GB2312"/>
          <w:i w:val="0"/>
          <w:color w:val="auto"/>
          <w:kern w:val="0"/>
          <w:sz w:val="32"/>
          <w:szCs w:val="32"/>
          <w:highlight w:val="none"/>
          <w:u w:val="none"/>
          <w:lang w:val="en-US" w:eastAsia="zh-CN" w:bidi="ar"/>
        </w:rPr>
        <w:t>）内容为：积极创作大盘鸡系列的文化精品，通过文化精品的创作，打响沙湾大盘鸡这</w:t>
      </w:r>
      <w:r>
        <w:rPr>
          <w:rFonts w:hint="eastAsia" w:ascii="仿宋_GB2312" w:hAnsi="仿宋_GB2312" w:cs="仿宋_GB2312"/>
          <w:i w:val="0"/>
          <w:color w:val="auto"/>
          <w:kern w:val="0"/>
          <w:sz w:val="32"/>
          <w:szCs w:val="32"/>
          <w:highlight w:val="none"/>
          <w:u w:val="none"/>
          <w:lang w:val="en-US" w:eastAsia="zh-CN" w:bidi="ar"/>
        </w:rPr>
        <w:t>张文化名片，进一步繁荣发展沙湾市的文化事业、推进文化润疆工程的深入实施。</w:t>
      </w:r>
    </w:p>
    <w:p w14:paraId="3ECD76A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i w:val="0"/>
          <w:color w:val="auto"/>
          <w:kern w:val="0"/>
          <w:sz w:val="32"/>
          <w:szCs w:val="32"/>
          <w:highlight w:val="none"/>
          <w:u w:val="none"/>
          <w:lang w:val="en-US" w:eastAsia="zh-CN" w:bidi="ar"/>
        </w:rPr>
      </w:pPr>
      <w:r>
        <w:rPr>
          <w:rFonts w:hint="eastAsia" w:ascii="仿宋_GB2312" w:hAnsi="仿宋_GB2312" w:eastAsia="仿宋_GB2312" w:cs="仿宋_GB2312"/>
          <w:i w:val="0"/>
          <w:color w:val="auto"/>
          <w:kern w:val="0"/>
          <w:sz w:val="32"/>
          <w:szCs w:val="32"/>
          <w:highlight w:val="none"/>
          <w:u w:val="none"/>
          <w:lang w:val="en-US" w:eastAsia="zh-CN" w:bidi="ar"/>
        </w:rPr>
        <w:t>本项目于2023年1月开始实施，截止2023年12月，该项目已实施完成，各项任务指标全部完成。通过本项目的实施，有效解决了群众文化需求，提升了公民鉴赏能力，增强了群众思想道德水平。</w:t>
      </w:r>
    </w:p>
    <w:p w14:paraId="51D2B788">
      <w:pPr>
        <w:bidi w:val="0"/>
        <w:rPr>
          <w:rFonts w:hint="eastAsia"/>
          <w:b/>
          <w:bCs/>
          <w:color w:val="auto"/>
          <w:sz w:val="32"/>
          <w:szCs w:val="32"/>
          <w:highlight w:val="none"/>
        </w:rPr>
      </w:pPr>
      <w:r>
        <w:rPr>
          <w:rFonts w:hint="eastAsia"/>
          <w:b/>
          <w:bCs/>
          <w:color w:val="auto"/>
          <w:sz w:val="32"/>
          <w:szCs w:val="32"/>
          <w:highlight w:val="none"/>
        </w:rPr>
        <w:t>3.项目实施主体</w:t>
      </w:r>
    </w:p>
    <w:p w14:paraId="5C714E2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i w:val="0"/>
          <w:color w:val="auto"/>
          <w:kern w:val="0"/>
          <w:sz w:val="32"/>
          <w:szCs w:val="32"/>
          <w:highlight w:val="none"/>
          <w:u w:val="none"/>
          <w:lang w:val="en-US" w:eastAsia="zh-CN" w:bidi="ar"/>
        </w:rPr>
      </w:pPr>
      <w:r>
        <w:rPr>
          <w:rFonts w:hint="eastAsia" w:ascii="仿宋_GB2312" w:hAnsi="仿宋_GB2312" w:eastAsia="仿宋_GB2312" w:cs="仿宋_GB2312"/>
          <w:i w:val="0"/>
          <w:color w:val="auto"/>
          <w:kern w:val="0"/>
          <w:sz w:val="32"/>
          <w:szCs w:val="32"/>
          <w:highlight w:val="none"/>
          <w:u w:val="none"/>
          <w:lang w:val="en-US" w:eastAsia="zh-Hans" w:bidi="ar"/>
        </w:rPr>
        <w:t>202</w:t>
      </w:r>
      <w:r>
        <w:rPr>
          <w:rFonts w:hint="eastAsia" w:ascii="仿宋_GB2312" w:hAnsi="仿宋_GB2312" w:eastAsia="仿宋_GB2312" w:cs="仿宋_GB2312"/>
          <w:i w:val="0"/>
          <w:color w:val="auto"/>
          <w:kern w:val="0"/>
          <w:sz w:val="32"/>
          <w:szCs w:val="32"/>
          <w:highlight w:val="none"/>
          <w:u w:val="none"/>
          <w:lang w:val="en-US" w:eastAsia="zh-CN" w:bidi="ar"/>
        </w:rPr>
        <w:t>3</w:t>
      </w:r>
      <w:r>
        <w:rPr>
          <w:rFonts w:hint="eastAsia" w:ascii="仿宋_GB2312" w:hAnsi="仿宋_GB2312" w:eastAsia="仿宋_GB2312" w:cs="仿宋_GB2312"/>
          <w:i w:val="0"/>
          <w:color w:val="auto"/>
          <w:kern w:val="0"/>
          <w:sz w:val="32"/>
          <w:szCs w:val="32"/>
          <w:highlight w:val="none"/>
          <w:u w:val="none"/>
          <w:lang w:val="en-US" w:eastAsia="zh-Hans" w:bidi="ar"/>
        </w:rPr>
        <w:t>年</w:t>
      </w:r>
      <w:r>
        <w:rPr>
          <w:rFonts w:hint="eastAsia" w:ascii="仿宋_GB2312" w:hAnsi="仿宋_GB2312" w:eastAsia="仿宋_GB2312" w:cs="仿宋_GB2312"/>
          <w:i w:val="0"/>
          <w:color w:val="auto"/>
          <w:kern w:val="0"/>
          <w:sz w:val="32"/>
          <w:szCs w:val="32"/>
          <w:highlight w:val="none"/>
          <w:u w:val="none"/>
          <w:lang w:val="en-US" w:eastAsia="zh-CN" w:bidi="ar"/>
        </w:rPr>
        <w:t>中央补助地方公共文化体系建设补助资金（大盘鸡的故事）</w:t>
      </w:r>
      <w:r>
        <w:rPr>
          <w:rFonts w:hint="eastAsia" w:ascii="仿宋_GB2312" w:hAnsi="仿宋_GB2312" w:eastAsia="仿宋_GB2312" w:cs="仿宋_GB2312"/>
          <w:i w:val="0"/>
          <w:color w:val="auto"/>
          <w:kern w:val="0"/>
          <w:sz w:val="32"/>
          <w:szCs w:val="32"/>
          <w:highlight w:val="none"/>
          <w:u w:val="none"/>
          <w:lang w:val="en-US" w:eastAsia="zh-Hans" w:bidi="ar"/>
        </w:rPr>
        <w:t>项目的实施主体为</w:t>
      </w:r>
      <w:r>
        <w:rPr>
          <w:rFonts w:hint="eastAsia" w:ascii="仿宋_GB2312" w:hAnsi="仿宋_GB2312" w:eastAsia="仿宋_GB2312" w:cs="仿宋_GB2312"/>
          <w:i w:val="0"/>
          <w:color w:val="auto"/>
          <w:kern w:val="0"/>
          <w:sz w:val="32"/>
          <w:szCs w:val="32"/>
          <w:highlight w:val="none"/>
          <w:u w:val="none"/>
          <w:lang w:val="en-US" w:eastAsia="zh-CN" w:bidi="ar"/>
        </w:rPr>
        <w:t>沙湾市文工团</w:t>
      </w:r>
      <w:r>
        <w:rPr>
          <w:rFonts w:hint="eastAsia" w:ascii="仿宋_GB2312" w:hAnsi="仿宋_GB2312" w:eastAsia="仿宋_GB2312" w:cs="仿宋_GB2312"/>
          <w:i w:val="0"/>
          <w:color w:val="auto"/>
          <w:kern w:val="0"/>
          <w:sz w:val="32"/>
          <w:szCs w:val="32"/>
          <w:highlight w:val="none"/>
          <w:u w:val="none"/>
          <w:lang w:val="en-US" w:eastAsia="zh-Hans" w:bidi="ar"/>
        </w:rPr>
        <w:t>。</w:t>
      </w:r>
    </w:p>
    <w:p w14:paraId="0558DACB">
      <w:pPr>
        <w:bidi w:val="0"/>
        <w:rPr>
          <w:rFonts w:hint="eastAsia"/>
          <w:b/>
          <w:bCs/>
          <w:color w:val="auto"/>
          <w:sz w:val="32"/>
          <w:szCs w:val="32"/>
          <w:highlight w:val="none"/>
        </w:rPr>
      </w:pPr>
      <w:r>
        <w:rPr>
          <w:rFonts w:hint="eastAsia"/>
          <w:b/>
          <w:bCs/>
          <w:color w:val="auto"/>
          <w:sz w:val="32"/>
          <w:szCs w:val="32"/>
          <w:highlight w:val="none"/>
        </w:rPr>
        <w:t>4. 资金投入和使用情况</w:t>
      </w:r>
    </w:p>
    <w:p w14:paraId="4ABF5B64">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14:paraId="379F95F0">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沙湾市财政局</w:t>
      </w:r>
      <w:r>
        <w:rPr>
          <w:rFonts w:hint="eastAsia" w:ascii="仿宋_GB2312" w:hAnsi="仿宋_GB2312" w:cs="仿宋_GB2312"/>
          <w:color w:val="auto"/>
          <w:sz w:val="32"/>
          <w:szCs w:val="32"/>
          <w:highlight w:val="none"/>
          <w:lang w:eastAsia="zh-Hans"/>
        </w:rPr>
        <w:t>《关于拨付</w:t>
      </w:r>
      <w:r>
        <w:rPr>
          <w:rFonts w:hint="eastAsia" w:ascii="仿宋_GB2312"/>
          <w:color w:val="auto"/>
          <w:sz w:val="32"/>
          <w:szCs w:val="32"/>
          <w:highlight w:val="none"/>
          <w:lang w:eastAsia="zh-Hans"/>
        </w:rPr>
        <w:t>2023年中央补助地方公共文化服务体系建设补助资金</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塔地财教[2023]29号</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《关于拨付</w:t>
      </w:r>
      <w:r>
        <w:rPr>
          <w:rFonts w:hint="eastAsia" w:ascii="仿宋_GB2312"/>
          <w:color w:val="auto"/>
          <w:sz w:val="32"/>
          <w:szCs w:val="32"/>
          <w:highlight w:val="none"/>
          <w:lang w:eastAsia="zh-Hans"/>
        </w:rPr>
        <w:t>自治区文艺扶持激励项目资金-舞台剧大盘鸡的故事</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塔地财教[2023]29号</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文件，</w:t>
      </w:r>
      <w:r>
        <w:rPr>
          <w:rStyle w:val="15"/>
          <w:rFonts w:hint="eastAsia" w:ascii="仿宋" w:hAnsi="仿宋" w:eastAsia="仿宋" w:cs="仿宋"/>
          <w:b w:val="0"/>
          <w:color w:val="auto"/>
          <w:sz w:val="32"/>
          <w:szCs w:val="32"/>
          <w:highlight w:val="none"/>
          <w:lang w:val="en-US" w:eastAsia="zh-CN" w:bidi="ar"/>
        </w:rPr>
        <w:t>中央补助地方公共文化体系建设补助资金（大盘鸡的故事）</w:t>
      </w:r>
      <w:r>
        <w:rPr>
          <w:rFonts w:hint="eastAsia" w:ascii="仿宋_GB2312"/>
          <w:color w:val="auto"/>
          <w:sz w:val="32"/>
          <w:szCs w:val="32"/>
          <w:highlight w:val="none"/>
        </w:rPr>
        <w:t>项目</w:t>
      </w:r>
      <w:r>
        <w:rPr>
          <w:rFonts w:hint="eastAsia" w:ascii="仿宋_GB2312" w:hAnsi="仿宋_GB2312" w:cs="仿宋_GB2312"/>
          <w:color w:val="auto"/>
          <w:sz w:val="32"/>
          <w:szCs w:val="32"/>
          <w:highlight w:val="none"/>
          <w:lang w:eastAsia="zh-Hans"/>
        </w:rPr>
        <w:t>预算</w:t>
      </w:r>
      <w:r>
        <w:rPr>
          <w:rFonts w:hint="eastAsia" w:ascii="仿宋_GB2312" w:hAnsi="仿宋_GB2312" w:cs="仿宋_GB2312"/>
          <w:color w:val="auto"/>
          <w:sz w:val="32"/>
          <w:szCs w:val="32"/>
          <w:highlight w:val="none"/>
        </w:rPr>
        <w:t>安排资金</w:t>
      </w:r>
      <w:r>
        <w:rPr>
          <w:rFonts w:hint="eastAsia" w:ascii="仿宋_GB2312" w:hAnsi="仿宋_GB2312" w:cs="仿宋_GB2312"/>
          <w:color w:val="auto"/>
          <w:sz w:val="32"/>
          <w:szCs w:val="32"/>
          <w:highlight w:val="none"/>
          <w:lang w:eastAsia="zh-Hans"/>
        </w:rPr>
        <w:t>总额</w:t>
      </w:r>
      <w:r>
        <w:rPr>
          <w:rFonts w:hint="eastAsia" w:ascii="仿宋_GB2312"/>
          <w:color w:val="auto"/>
          <w:sz w:val="32"/>
          <w:szCs w:val="32"/>
          <w:highlight w:val="none"/>
          <w:lang w:val="en-US" w:eastAsia="zh-CN"/>
        </w:rPr>
        <w:t>40</w:t>
      </w:r>
      <w:r>
        <w:rPr>
          <w:rFonts w:hint="eastAsia" w:ascii="仿宋_GB2312" w:hAnsi="仿宋_GB2312" w:cs="仿宋_GB2312"/>
          <w:color w:val="auto"/>
          <w:sz w:val="32"/>
          <w:szCs w:val="32"/>
          <w:highlight w:val="none"/>
        </w:rPr>
        <w:t>万元，</w:t>
      </w:r>
      <w:r>
        <w:rPr>
          <w:rFonts w:hint="eastAsia" w:ascii="仿宋_GB2312" w:hAnsi="仿宋_GB2312" w:cs="仿宋_GB2312"/>
          <w:color w:val="auto"/>
          <w:sz w:val="32"/>
          <w:szCs w:val="32"/>
          <w:highlight w:val="none"/>
          <w:lang w:eastAsia="zh-Hans"/>
        </w:rPr>
        <w:t>其中</w:t>
      </w:r>
      <w:r>
        <w:rPr>
          <w:rFonts w:hint="eastAsia" w:ascii="仿宋_GB2312"/>
          <w:color w:val="auto"/>
          <w:sz w:val="32"/>
          <w:szCs w:val="32"/>
          <w:highlight w:val="none"/>
        </w:rPr>
        <w:t>财政资</w:t>
      </w:r>
      <w:r>
        <w:rPr>
          <w:rFonts w:hint="eastAsia" w:ascii="仿宋_GB2312" w:hAnsi="仿宋_GB2312" w:cs="仿宋_GB2312"/>
          <w:color w:val="auto"/>
          <w:sz w:val="32"/>
          <w:szCs w:val="32"/>
          <w:highlight w:val="none"/>
        </w:rPr>
        <w:t>金</w:t>
      </w:r>
      <w:r>
        <w:rPr>
          <w:rFonts w:hint="eastAsia" w:ascii="仿宋_GB2312"/>
          <w:color w:val="auto"/>
          <w:sz w:val="32"/>
          <w:szCs w:val="32"/>
          <w:highlight w:val="none"/>
          <w:lang w:val="en-US" w:eastAsia="zh-CN"/>
        </w:rPr>
        <w:t>40</w:t>
      </w:r>
      <w:r>
        <w:rPr>
          <w:rFonts w:hint="eastAsia" w:ascii="仿宋_GB2312"/>
          <w:color w:val="auto"/>
          <w:sz w:val="32"/>
          <w:szCs w:val="32"/>
          <w:highlight w:val="none"/>
        </w:rPr>
        <w:t>万元、其他资金</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w:t>
      </w:r>
      <w:r>
        <w:rPr>
          <w:rFonts w:hint="eastAsia" w:ascii="仿宋_GB2312"/>
          <w:color w:val="auto"/>
          <w:sz w:val="32"/>
          <w:szCs w:val="32"/>
          <w:highlight w:val="none"/>
          <w:lang w:eastAsia="zh-CN"/>
        </w:rPr>
        <w:t>；</w:t>
      </w: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年实际收到预算资金</w:t>
      </w:r>
      <w:r>
        <w:rPr>
          <w:rFonts w:hint="eastAsia" w:ascii="仿宋_GB2312"/>
          <w:color w:val="auto"/>
          <w:sz w:val="32"/>
          <w:szCs w:val="32"/>
          <w:highlight w:val="none"/>
          <w:lang w:val="en-US" w:eastAsia="zh-CN"/>
        </w:rPr>
        <w:t>40</w:t>
      </w:r>
      <w:r>
        <w:rPr>
          <w:rFonts w:hint="eastAsia" w:ascii="仿宋_GB2312"/>
          <w:color w:val="auto"/>
          <w:sz w:val="32"/>
          <w:szCs w:val="32"/>
          <w:highlight w:val="none"/>
        </w:rPr>
        <w:t>万元，预算资金到位率为</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w:t>
      </w:r>
    </w:p>
    <w:p w14:paraId="150979D2">
      <w:pPr>
        <w:spacing w:line="600" w:lineRule="exact"/>
        <w:ind w:firstLine="640"/>
        <w:rPr>
          <w:color w:val="auto"/>
          <w:sz w:val="32"/>
          <w:szCs w:val="32"/>
          <w:highlight w:val="none"/>
        </w:rPr>
      </w:pPr>
      <w:r>
        <w:rPr>
          <w:rFonts w:hint="eastAsia"/>
          <w:color w:val="auto"/>
          <w:sz w:val="32"/>
          <w:szCs w:val="32"/>
          <w:highlight w:val="none"/>
        </w:rPr>
        <w:t>（2）项目资金实际使用情况</w:t>
      </w:r>
    </w:p>
    <w:p w14:paraId="7A9FC096">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截至202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年12月31日，</w:t>
      </w:r>
      <w:r>
        <w:rPr>
          <w:rFonts w:hint="eastAsia" w:ascii="仿宋_GB2312"/>
          <w:color w:val="auto"/>
          <w:sz w:val="32"/>
          <w:szCs w:val="32"/>
          <w:highlight w:val="none"/>
        </w:rPr>
        <w:t>本项目实际支付资金</w:t>
      </w:r>
      <w:r>
        <w:rPr>
          <w:rFonts w:hint="eastAsia" w:ascii="仿宋_GB2312"/>
          <w:color w:val="auto"/>
          <w:sz w:val="32"/>
          <w:szCs w:val="32"/>
          <w:highlight w:val="none"/>
          <w:lang w:val="en-US" w:eastAsia="zh-CN"/>
        </w:rPr>
        <w:t>40</w:t>
      </w:r>
      <w:r>
        <w:rPr>
          <w:rFonts w:hint="eastAsia" w:ascii="仿宋_GB2312"/>
          <w:color w:val="auto"/>
          <w:sz w:val="32"/>
          <w:szCs w:val="32"/>
          <w:highlight w:val="none"/>
        </w:rPr>
        <w:t>万元，预算执行率</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%。项目资金主要用于支付</w:t>
      </w:r>
      <w:r>
        <w:rPr>
          <w:rFonts w:hint="eastAsia" w:ascii="仿宋_GB2312"/>
          <w:color w:val="auto"/>
          <w:sz w:val="32"/>
          <w:szCs w:val="32"/>
          <w:highlight w:val="none"/>
          <w:lang w:eastAsia="zh-Hans"/>
        </w:rPr>
        <w:t>文艺精品创作</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24</w:t>
      </w:r>
      <w:r>
        <w:rPr>
          <w:rFonts w:hint="eastAsia" w:ascii="仿宋_GB2312"/>
          <w:color w:val="auto"/>
          <w:sz w:val="32"/>
          <w:szCs w:val="32"/>
          <w:highlight w:val="none"/>
        </w:rPr>
        <w:t>万元、</w:t>
      </w:r>
      <w:r>
        <w:rPr>
          <w:rFonts w:hint="eastAsia" w:ascii="仿宋_GB2312"/>
          <w:color w:val="auto"/>
          <w:sz w:val="32"/>
          <w:szCs w:val="32"/>
          <w:highlight w:val="none"/>
          <w:lang w:eastAsia="zh-Hans"/>
        </w:rPr>
        <w:t>办公成本</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16</w:t>
      </w:r>
      <w:r>
        <w:rPr>
          <w:rFonts w:hint="eastAsia" w:ascii="仿宋_GB2312"/>
          <w:color w:val="auto"/>
          <w:sz w:val="32"/>
          <w:szCs w:val="32"/>
          <w:highlight w:val="none"/>
        </w:rPr>
        <w:t>万元。</w:t>
      </w:r>
    </w:p>
    <w:p w14:paraId="34E543B1">
      <w:pPr>
        <w:pStyle w:val="4"/>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14:paraId="33D901F7">
      <w:pPr>
        <w:bidi w:val="0"/>
        <w:rPr>
          <w:rFonts w:hint="eastAsia"/>
          <w:b/>
          <w:bCs/>
          <w:color w:val="auto"/>
          <w:sz w:val="32"/>
          <w:szCs w:val="32"/>
          <w:highlight w:val="none"/>
        </w:rPr>
      </w:pPr>
      <w:r>
        <w:rPr>
          <w:rFonts w:hint="eastAsia"/>
          <w:b/>
          <w:bCs/>
          <w:color w:val="auto"/>
          <w:sz w:val="32"/>
          <w:szCs w:val="32"/>
          <w:highlight w:val="none"/>
        </w:rPr>
        <w:t>1.总体目标</w:t>
      </w:r>
    </w:p>
    <w:p w14:paraId="6EC22F65">
      <w:pPr>
        <w:bidi w:val="0"/>
        <w:rPr>
          <w:rStyle w:val="15"/>
          <w:rFonts w:hint="eastAsia" w:ascii="仿宋_GB2312" w:hAnsi="仿宋_GB2312" w:eastAsia="仿宋_GB2312" w:cs="仿宋_GB2312"/>
          <w:b w:val="0"/>
          <w:color w:val="auto"/>
          <w:sz w:val="32"/>
          <w:szCs w:val="32"/>
          <w:highlight w:val="none"/>
          <w:lang w:val="en-US" w:eastAsia="zh-CN" w:bidi="ar"/>
        </w:rPr>
      </w:pPr>
      <w:r>
        <w:rPr>
          <w:rStyle w:val="15"/>
          <w:rFonts w:hint="eastAsia" w:ascii="仿宋_GB2312" w:hAnsi="仿宋_GB2312" w:eastAsia="仿宋_GB2312" w:cs="仿宋_GB2312"/>
          <w:b w:val="0"/>
          <w:color w:val="auto"/>
          <w:sz w:val="32"/>
          <w:szCs w:val="32"/>
          <w:highlight w:val="none"/>
          <w:lang w:val="en-US" w:eastAsia="zh-CN" w:bidi="ar"/>
        </w:rPr>
        <w:t>2023年沙湾市文工团创作演出优秀文艺节目（大盘鸡的故事）为观众进行演出服务，组织演职人员对舞台艺术创作、挖掘、搜集地方民族文艺，艺术创作表演人才培养。对相关演职人员进行业务培训，顺利完成送戏下乡系列惠民演出。</w:t>
      </w:r>
      <w:r>
        <w:rPr>
          <w:rFonts w:hint="eastAsia" w:ascii="仿宋_GB2312" w:hAnsi="仿宋_GB2312" w:eastAsia="仿宋_GB2312" w:cs="仿宋_GB2312"/>
          <w:color w:val="auto"/>
          <w:sz w:val="32"/>
          <w:szCs w:val="32"/>
          <w:highlight w:val="none"/>
          <w:lang w:val="en-US" w:eastAsia="zh-CN"/>
        </w:rPr>
        <w:t>全年项目计划实现目标如下：“目标1</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文艺精品创作数量不少于1个</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目标2:举办大型舞台剧（大盘鸡的故事）不少于10场次；目标3:与周边县市进行文化交流演出不少于20场次；目标4:</w:t>
      </w:r>
      <w:r>
        <w:rPr>
          <w:rFonts w:hint="eastAsia" w:ascii="仿宋_GB2312" w:hAnsi="仿宋_GB2312" w:eastAsia="仿宋_GB2312" w:cs="仿宋_GB2312"/>
          <w:color w:val="auto"/>
          <w:sz w:val="32"/>
          <w:szCs w:val="32"/>
          <w:highlight w:val="none"/>
        </w:rPr>
        <w:t>加强演职人员业务培训</w:t>
      </w:r>
      <w:r>
        <w:rPr>
          <w:rFonts w:hint="eastAsia" w:ascii="仿宋_GB2312" w:hAnsi="仿宋_GB2312" w:eastAsia="仿宋_GB2312" w:cs="仿宋_GB2312"/>
          <w:color w:val="auto"/>
          <w:sz w:val="32"/>
          <w:szCs w:val="32"/>
          <w:highlight w:val="none"/>
          <w:lang w:val="en-US" w:eastAsia="zh-CN"/>
        </w:rPr>
        <w:t>不少于4次。”计划</w:t>
      </w:r>
      <w:r>
        <w:rPr>
          <w:rStyle w:val="15"/>
          <w:rFonts w:hint="eastAsia" w:ascii="仿宋_GB2312" w:hAnsi="仿宋_GB2312" w:eastAsia="仿宋_GB2312" w:cs="仿宋_GB2312"/>
          <w:b w:val="0"/>
          <w:color w:val="auto"/>
          <w:sz w:val="32"/>
          <w:szCs w:val="32"/>
          <w:highlight w:val="none"/>
          <w:lang w:val="en-US" w:eastAsia="zh-CN" w:bidi="ar"/>
        </w:rPr>
        <w:t>通过戏剧、音乐、舞蹈、曲艺、杂技等创作和演出，丰富群众的文化生活，并向人民群众进行宣传。</w:t>
      </w:r>
    </w:p>
    <w:p w14:paraId="38A2660A">
      <w:pPr>
        <w:bidi w:val="0"/>
        <w:rPr>
          <w:rFonts w:hint="eastAsia"/>
          <w:b/>
          <w:bCs/>
          <w:color w:val="auto"/>
          <w:sz w:val="32"/>
          <w:szCs w:val="32"/>
          <w:highlight w:val="none"/>
        </w:rPr>
      </w:pPr>
      <w:r>
        <w:rPr>
          <w:rFonts w:hint="eastAsia"/>
          <w:b/>
          <w:bCs/>
          <w:color w:val="auto"/>
          <w:sz w:val="32"/>
          <w:szCs w:val="32"/>
          <w:highlight w:val="none"/>
        </w:rPr>
        <w:t>2.阶段性目标</w:t>
      </w:r>
    </w:p>
    <w:p w14:paraId="529341FA">
      <w:pPr>
        <w:spacing w:line="600" w:lineRule="exact"/>
        <w:ind w:firstLine="640"/>
        <w:rPr>
          <w:rFonts w:ascii="仿宋_GB2312" w:hAnsi="Arial" w:cs="宋体"/>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14:paraId="192CD6EA">
      <w:pPr>
        <w:numPr>
          <w:ilvl w:val="0"/>
          <w:numId w:val="3"/>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14:paraId="7117D556">
      <w:pPr>
        <w:spacing w:line="600" w:lineRule="exact"/>
        <w:ind w:firstLine="640"/>
        <w:rPr>
          <w:color w:val="auto"/>
          <w:sz w:val="32"/>
          <w:szCs w:val="32"/>
          <w:highlight w:val="none"/>
        </w:rPr>
      </w:pPr>
      <w:r>
        <w:rPr>
          <w:rFonts w:hint="eastAsia"/>
          <w:color w:val="auto"/>
          <w:sz w:val="32"/>
          <w:szCs w:val="32"/>
          <w:highlight w:val="none"/>
        </w:rPr>
        <w:t>①数量指标</w:t>
      </w:r>
    </w:p>
    <w:p w14:paraId="29A84824">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文艺精品创作数量</w:t>
      </w:r>
      <w:r>
        <w:rPr>
          <w:rFonts w:hint="eastAsia"/>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大于等于</w:t>
      </w:r>
      <w:r>
        <w:rPr>
          <w:rFonts w:hint="eastAsia" w:ascii="宋体" w:hAnsi="宋体" w:eastAsia="宋体"/>
          <w:color w:val="auto"/>
          <w:sz w:val="32"/>
          <w:szCs w:val="32"/>
          <w:highlight w:val="none"/>
        </w:rPr>
        <w:t>1个</w:t>
      </w:r>
      <w:r>
        <w:rPr>
          <w:rFonts w:hint="eastAsia"/>
          <w:color w:val="auto"/>
          <w:sz w:val="32"/>
          <w:szCs w:val="32"/>
          <w:highlight w:val="none"/>
        </w:rPr>
        <w:t>”</w:t>
      </w:r>
      <w:r>
        <w:rPr>
          <w:rFonts w:hint="eastAsia"/>
          <w:color w:val="auto"/>
          <w:sz w:val="32"/>
          <w:szCs w:val="32"/>
          <w:highlight w:val="none"/>
          <w:lang w:eastAsia="zh-CN"/>
        </w:rPr>
        <w:t>。</w:t>
      </w:r>
    </w:p>
    <w:p w14:paraId="11345F40">
      <w:pPr>
        <w:spacing w:line="600" w:lineRule="exact"/>
        <w:ind w:firstLine="640"/>
        <w:rPr>
          <w:color w:val="auto"/>
          <w:sz w:val="32"/>
          <w:szCs w:val="32"/>
          <w:highlight w:val="none"/>
        </w:rPr>
      </w:pPr>
      <w:r>
        <w:rPr>
          <w:rFonts w:hint="eastAsia"/>
          <w:color w:val="auto"/>
          <w:sz w:val="32"/>
          <w:szCs w:val="32"/>
          <w:highlight w:val="none"/>
        </w:rPr>
        <w:t>②质量指标</w:t>
      </w:r>
    </w:p>
    <w:p w14:paraId="193C7D84">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文艺作品创作合格率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100%</w:t>
      </w:r>
      <w:r>
        <w:rPr>
          <w:rFonts w:hint="eastAsia"/>
          <w:color w:val="auto"/>
          <w:sz w:val="32"/>
          <w:szCs w:val="32"/>
          <w:highlight w:val="none"/>
        </w:rPr>
        <w:t>”；</w:t>
      </w:r>
    </w:p>
    <w:p w14:paraId="6A036914">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资金使用合格率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100%</w:t>
      </w:r>
      <w:r>
        <w:rPr>
          <w:rFonts w:hint="eastAsia"/>
          <w:color w:val="auto"/>
          <w:sz w:val="32"/>
          <w:szCs w:val="32"/>
          <w:highlight w:val="none"/>
        </w:rPr>
        <w:t>”。</w:t>
      </w:r>
    </w:p>
    <w:p w14:paraId="53A0C683">
      <w:pPr>
        <w:spacing w:line="600" w:lineRule="exact"/>
        <w:ind w:firstLine="640"/>
        <w:rPr>
          <w:color w:val="auto"/>
          <w:sz w:val="32"/>
          <w:szCs w:val="32"/>
          <w:highlight w:val="none"/>
        </w:rPr>
      </w:pPr>
      <w:r>
        <w:rPr>
          <w:rFonts w:hint="eastAsia"/>
          <w:color w:val="auto"/>
          <w:sz w:val="32"/>
          <w:szCs w:val="32"/>
          <w:highlight w:val="none"/>
        </w:rPr>
        <w:t>③时效指标</w:t>
      </w:r>
    </w:p>
    <w:p w14:paraId="0C22BAA7">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资金支付及时率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100%</w:t>
      </w:r>
      <w:r>
        <w:rPr>
          <w:rFonts w:hint="eastAsia"/>
          <w:color w:val="auto"/>
          <w:sz w:val="32"/>
          <w:szCs w:val="32"/>
          <w:highlight w:val="none"/>
        </w:rPr>
        <w:t>”。</w:t>
      </w:r>
    </w:p>
    <w:p w14:paraId="211AF526">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14:paraId="2E389EF0">
      <w:pPr>
        <w:spacing w:line="600" w:lineRule="exact"/>
        <w:ind w:firstLine="640"/>
        <w:rPr>
          <w:color w:val="auto"/>
          <w:highlight w:val="none"/>
        </w:rPr>
      </w:pPr>
      <w:r>
        <w:rPr>
          <w:rFonts w:hint="eastAsia"/>
          <w:color w:val="auto"/>
          <w:sz w:val="32"/>
          <w:szCs w:val="32"/>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14:paraId="12922D71">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办公费用成本</w:t>
      </w:r>
      <w:r>
        <w:rPr>
          <w:rFonts w:hint="eastAsia"/>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小于等于16万元</w:t>
      </w:r>
      <w:r>
        <w:rPr>
          <w:rFonts w:hint="eastAsia"/>
          <w:color w:val="auto"/>
          <w:sz w:val="32"/>
          <w:szCs w:val="32"/>
          <w:highlight w:val="none"/>
        </w:rPr>
        <w:t>”；</w:t>
      </w:r>
    </w:p>
    <w:p w14:paraId="173409C6">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文艺精品创作费成本</w:t>
      </w:r>
      <w:r>
        <w:rPr>
          <w:rFonts w:hint="eastAsia"/>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小于等于24万元</w:t>
      </w:r>
      <w:r>
        <w:rPr>
          <w:rFonts w:hint="eastAsia"/>
          <w:color w:val="auto"/>
          <w:sz w:val="32"/>
          <w:szCs w:val="32"/>
          <w:highlight w:val="none"/>
        </w:rPr>
        <w:t>”。</w:t>
      </w:r>
    </w:p>
    <w:p w14:paraId="71CC5FC8">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14:paraId="0600D1E8">
      <w:pPr>
        <w:spacing w:line="600" w:lineRule="exact"/>
        <w:ind w:firstLine="640"/>
        <w:rPr>
          <w:color w:val="auto"/>
          <w:sz w:val="32"/>
          <w:szCs w:val="32"/>
          <w:highlight w:val="none"/>
        </w:rPr>
      </w:pPr>
      <w:r>
        <w:rPr>
          <w:rFonts w:hint="eastAsia"/>
          <w:color w:val="auto"/>
          <w:sz w:val="32"/>
          <w:szCs w:val="32"/>
          <w:highlight w:val="none"/>
        </w:rPr>
        <w:t>①经济效益指标</w:t>
      </w:r>
    </w:p>
    <w:p w14:paraId="7537450D">
      <w:pPr>
        <w:spacing w:line="600" w:lineRule="exact"/>
        <w:ind w:firstLine="640"/>
        <w:rPr>
          <w:color w:val="auto"/>
          <w:sz w:val="32"/>
          <w:szCs w:val="32"/>
          <w:highlight w:val="none"/>
        </w:rPr>
      </w:pPr>
      <w:r>
        <w:rPr>
          <w:rFonts w:hint="eastAsia"/>
          <w:color w:val="auto"/>
          <w:sz w:val="32"/>
          <w:szCs w:val="32"/>
          <w:highlight w:val="none"/>
          <w:lang w:val="en-US" w:eastAsia="zh-CN"/>
        </w:rPr>
        <w:t>无此项指标</w:t>
      </w:r>
      <w:r>
        <w:rPr>
          <w:rFonts w:hint="eastAsia"/>
          <w:color w:val="auto"/>
          <w:sz w:val="32"/>
          <w:szCs w:val="32"/>
          <w:highlight w:val="none"/>
        </w:rPr>
        <w:t>。</w:t>
      </w:r>
    </w:p>
    <w:p w14:paraId="61190527">
      <w:pPr>
        <w:spacing w:line="600" w:lineRule="exact"/>
        <w:ind w:firstLine="640"/>
        <w:rPr>
          <w:color w:val="auto"/>
          <w:sz w:val="32"/>
          <w:szCs w:val="32"/>
          <w:highlight w:val="none"/>
        </w:rPr>
      </w:pPr>
      <w:r>
        <w:rPr>
          <w:rFonts w:hint="eastAsia"/>
          <w:color w:val="auto"/>
          <w:sz w:val="32"/>
          <w:szCs w:val="32"/>
          <w:highlight w:val="none"/>
        </w:rPr>
        <w:t>②社会效益指标</w:t>
      </w:r>
    </w:p>
    <w:p w14:paraId="1CE92CC9">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保障优秀文化作品的传播</w:t>
      </w:r>
      <w:r>
        <w:rPr>
          <w:rFonts w:hint="eastAsia"/>
          <w:color w:val="auto"/>
          <w:sz w:val="32"/>
          <w:szCs w:val="32"/>
          <w:highlight w:val="none"/>
        </w:rPr>
        <w:t>”指标，预期指标值为“</w:t>
      </w:r>
      <w:r>
        <w:rPr>
          <w:rFonts w:hint="eastAsia" w:ascii="仿宋_GB2312"/>
          <w:color w:val="auto"/>
          <w:sz w:val="32"/>
          <w:szCs w:val="32"/>
          <w:highlight w:val="none"/>
          <w:lang w:eastAsia="zh-Hans"/>
        </w:rPr>
        <w:t>有效保障</w:t>
      </w:r>
      <w:r>
        <w:rPr>
          <w:rFonts w:hint="eastAsia"/>
          <w:color w:val="auto"/>
          <w:sz w:val="32"/>
          <w:szCs w:val="32"/>
          <w:highlight w:val="none"/>
        </w:rPr>
        <w:t>”。</w:t>
      </w:r>
    </w:p>
    <w:p w14:paraId="17EEA2B3">
      <w:pPr>
        <w:spacing w:line="600" w:lineRule="exact"/>
        <w:ind w:firstLine="640"/>
        <w:rPr>
          <w:color w:val="auto"/>
          <w:sz w:val="32"/>
          <w:szCs w:val="32"/>
          <w:highlight w:val="none"/>
        </w:rPr>
      </w:pPr>
      <w:r>
        <w:rPr>
          <w:rFonts w:hint="eastAsia"/>
          <w:color w:val="auto"/>
          <w:sz w:val="32"/>
          <w:szCs w:val="32"/>
          <w:highlight w:val="none"/>
        </w:rPr>
        <w:t>③生态效益指标</w:t>
      </w:r>
    </w:p>
    <w:p w14:paraId="4195E3AE">
      <w:pPr>
        <w:spacing w:line="600" w:lineRule="exact"/>
        <w:ind w:firstLine="640"/>
        <w:rPr>
          <w:rFonts w:hint="eastAsia"/>
          <w:color w:val="auto"/>
          <w:sz w:val="32"/>
          <w:szCs w:val="32"/>
          <w:highlight w:val="none"/>
        </w:rPr>
      </w:pPr>
      <w:r>
        <w:rPr>
          <w:rFonts w:hint="eastAsia"/>
          <w:color w:val="auto"/>
          <w:sz w:val="32"/>
          <w:szCs w:val="32"/>
          <w:highlight w:val="none"/>
          <w:lang w:val="en-US" w:eastAsia="zh-CN"/>
        </w:rPr>
        <w:t>无此项指标</w:t>
      </w:r>
      <w:r>
        <w:rPr>
          <w:rFonts w:hint="eastAsia"/>
          <w:color w:val="auto"/>
          <w:sz w:val="32"/>
          <w:szCs w:val="32"/>
          <w:highlight w:val="none"/>
        </w:rPr>
        <w:t>。</w:t>
      </w:r>
    </w:p>
    <w:p w14:paraId="6DB34D04">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14:paraId="3951CF7D">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受益群众满意度</w:t>
      </w:r>
      <w:r>
        <w:rPr>
          <w:rFonts w:hint="eastAsia"/>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大于等于95%</w:t>
      </w:r>
      <w:r>
        <w:rPr>
          <w:rFonts w:hint="eastAsia"/>
          <w:color w:val="auto"/>
          <w:sz w:val="32"/>
          <w:szCs w:val="32"/>
          <w:highlight w:val="none"/>
        </w:rPr>
        <w:t>”。</w:t>
      </w:r>
    </w:p>
    <w:p w14:paraId="585205E7">
      <w:pPr>
        <w:pStyle w:val="3"/>
        <w:spacing w:line="600" w:lineRule="exact"/>
        <w:ind w:firstLine="640"/>
        <w:rPr>
          <w:color w:val="auto"/>
          <w:szCs w:val="32"/>
          <w:highlight w:val="none"/>
        </w:rPr>
      </w:pPr>
      <w:r>
        <w:rPr>
          <w:rFonts w:hint="eastAsia"/>
          <w:color w:val="auto"/>
          <w:szCs w:val="32"/>
          <w:highlight w:val="none"/>
        </w:rPr>
        <w:t>二、绩效评价工作开展情况</w:t>
      </w:r>
    </w:p>
    <w:p w14:paraId="50319FB7">
      <w:pPr>
        <w:pStyle w:val="4"/>
        <w:numPr>
          <w:ilvl w:val="0"/>
          <w:numId w:val="4"/>
        </w:numPr>
        <w:spacing w:line="600" w:lineRule="exact"/>
        <w:ind w:firstLine="643"/>
        <w:rPr>
          <w:rFonts w:ascii="楷体_GB2312" w:eastAsia="楷体_GB2312"/>
          <w:color w:val="auto"/>
          <w:szCs w:val="32"/>
          <w:highlight w:val="none"/>
        </w:rPr>
      </w:pPr>
      <w:bookmarkStart w:id="1" w:name="_Toc5462343"/>
      <w:bookmarkStart w:id="2" w:name="_Toc21664"/>
      <w:bookmarkStart w:id="3" w:name="_Toc480473081"/>
      <w:bookmarkStart w:id="4" w:name="_Toc22922"/>
      <w:bookmarkStart w:id="5" w:name="_Toc22169_WPSOffice_Level2"/>
      <w:bookmarkStart w:id="6" w:name="_Toc5258"/>
      <w:bookmarkStart w:id="7" w:name="_Toc12868"/>
      <w:bookmarkStart w:id="8" w:name="_Toc26632"/>
      <w:r>
        <w:rPr>
          <w:rFonts w:hint="eastAsia" w:ascii="楷体_GB2312" w:eastAsia="楷体_GB2312"/>
          <w:color w:val="auto"/>
          <w:szCs w:val="32"/>
          <w:highlight w:val="none"/>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highlight w:val="none"/>
        </w:rPr>
        <w:t>、对象和范围</w:t>
      </w:r>
    </w:p>
    <w:p w14:paraId="17052EEE">
      <w:pPr>
        <w:bidi w:val="0"/>
        <w:rPr>
          <w:rFonts w:hint="eastAsia"/>
          <w:b/>
          <w:bCs/>
          <w:color w:val="auto"/>
          <w:sz w:val="32"/>
          <w:szCs w:val="32"/>
          <w:highlight w:val="none"/>
        </w:rPr>
      </w:pPr>
      <w:r>
        <w:rPr>
          <w:rFonts w:hint="eastAsia"/>
          <w:b/>
          <w:bCs/>
          <w:color w:val="auto"/>
          <w:sz w:val="32"/>
          <w:szCs w:val="32"/>
          <w:highlight w:val="none"/>
        </w:rPr>
        <w:t>1.绩效评价的目的</w:t>
      </w:r>
    </w:p>
    <w:p w14:paraId="3C34E135">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122269A6">
      <w:pPr>
        <w:bidi w:val="0"/>
        <w:rPr>
          <w:rFonts w:hint="eastAsia"/>
          <w:b/>
          <w:bCs/>
          <w:color w:val="auto"/>
          <w:sz w:val="32"/>
          <w:szCs w:val="32"/>
          <w:highlight w:val="none"/>
        </w:rPr>
      </w:pPr>
      <w:r>
        <w:rPr>
          <w:rFonts w:hint="eastAsia"/>
          <w:b/>
          <w:bCs/>
          <w:color w:val="auto"/>
          <w:sz w:val="32"/>
          <w:szCs w:val="32"/>
          <w:highlight w:val="none"/>
        </w:rPr>
        <w:t>2.绩效评价的对象和范围</w:t>
      </w:r>
    </w:p>
    <w:p w14:paraId="2A9F176D">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年度我单位实施的</w:t>
      </w:r>
      <w:r>
        <w:rPr>
          <w:rStyle w:val="15"/>
          <w:rFonts w:hint="eastAsia" w:ascii="仿宋" w:hAnsi="仿宋" w:eastAsia="仿宋" w:cs="仿宋"/>
          <w:b w:val="0"/>
          <w:color w:val="auto"/>
          <w:sz w:val="32"/>
          <w:szCs w:val="32"/>
          <w:highlight w:val="none"/>
          <w:lang w:val="en-US" w:eastAsia="zh-CN" w:bidi="ar"/>
        </w:rPr>
        <w:t>中央补助地方公共文化体系建设补助资金（大盘鸡的故事）</w:t>
      </w:r>
      <w:r>
        <w:rPr>
          <w:rFonts w:hint="eastAsia" w:ascii="仿宋_GB2312"/>
          <w:color w:val="auto"/>
          <w:sz w:val="32"/>
          <w:szCs w:val="32"/>
          <w:highlight w:val="none"/>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B3919A5">
      <w:pPr>
        <w:pStyle w:val="4"/>
        <w:numPr>
          <w:ilvl w:val="0"/>
          <w:numId w:val="4"/>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评价工作简述</w:t>
      </w:r>
    </w:p>
    <w:p w14:paraId="6CDB0D43">
      <w:pPr>
        <w:bidi w:val="0"/>
        <w:rPr>
          <w:rFonts w:hint="eastAsia"/>
          <w:b/>
          <w:bCs/>
          <w:color w:val="auto"/>
          <w:sz w:val="32"/>
          <w:szCs w:val="32"/>
          <w:highlight w:val="none"/>
        </w:rPr>
      </w:pPr>
      <w:r>
        <w:rPr>
          <w:rFonts w:hint="eastAsia"/>
          <w:b/>
          <w:bCs/>
          <w:color w:val="auto"/>
          <w:sz w:val="32"/>
          <w:szCs w:val="32"/>
          <w:highlight w:val="none"/>
        </w:rPr>
        <w:t>1.绩效评价原则</w:t>
      </w:r>
    </w:p>
    <w:p w14:paraId="5883C622">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Style w:val="15"/>
          <w:rFonts w:hint="eastAsia" w:ascii="仿宋" w:hAnsi="仿宋" w:eastAsia="仿宋" w:cs="仿宋"/>
          <w:b w:val="0"/>
          <w:color w:val="auto"/>
          <w:sz w:val="32"/>
          <w:szCs w:val="32"/>
          <w:highlight w:val="none"/>
          <w:lang w:val="en-US" w:eastAsia="zh-CN" w:bidi="ar"/>
        </w:rPr>
        <w:t>中央补助地方公共文化体系建设补助资金（大盘鸡的故事）</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14:paraId="31597C95">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14:paraId="41CE2651">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14:paraId="701E3E44">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14:paraId="1E8EAFCF">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14:paraId="4989CD5E">
      <w:pPr>
        <w:bidi w:val="0"/>
        <w:rPr>
          <w:rFonts w:hint="eastAsia"/>
          <w:b/>
          <w:bCs/>
          <w:color w:val="auto"/>
          <w:sz w:val="32"/>
          <w:szCs w:val="32"/>
          <w:highlight w:val="none"/>
        </w:rPr>
      </w:pPr>
      <w:bookmarkStart w:id="9" w:name="_Toc419984722"/>
      <w:bookmarkStart w:id="10" w:name="_Toc428278230"/>
      <w:bookmarkStart w:id="11" w:name="_Toc26131"/>
      <w:bookmarkStart w:id="12" w:name="_Toc1913"/>
      <w:r>
        <w:rPr>
          <w:rFonts w:hint="eastAsia"/>
          <w:b/>
          <w:bCs/>
          <w:color w:val="auto"/>
          <w:sz w:val="32"/>
          <w:szCs w:val="32"/>
          <w:highlight w:val="none"/>
        </w:rPr>
        <w:t>2.绩效评价指标体系及绩效评价</w:t>
      </w:r>
      <w:bookmarkEnd w:id="9"/>
      <w:bookmarkEnd w:id="10"/>
      <w:bookmarkEnd w:id="11"/>
      <w:bookmarkEnd w:id="12"/>
      <w:r>
        <w:rPr>
          <w:rFonts w:hint="eastAsia"/>
          <w:b/>
          <w:bCs/>
          <w:color w:val="auto"/>
          <w:sz w:val="32"/>
          <w:szCs w:val="32"/>
          <w:highlight w:val="none"/>
        </w:rPr>
        <w:t>标准</w:t>
      </w:r>
    </w:p>
    <w:p w14:paraId="03C870EC">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14:paraId="4C6396F1">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14:paraId="252E362D">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成本、项目效益。</w:t>
      </w:r>
    </w:p>
    <w:p w14:paraId="0254D477">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5D64007E">
      <w:pPr>
        <w:bidi w:val="0"/>
        <w:rPr>
          <w:rFonts w:hint="eastAsia"/>
          <w:b/>
          <w:bCs/>
          <w:color w:val="auto"/>
          <w:sz w:val="32"/>
          <w:szCs w:val="32"/>
          <w:highlight w:val="none"/>
        </w:rPr>
      </w:pPr>
      <w:r>
        <w:rPr>
          <w:rFonts w:hint="eastAsia"/>
          <w:b/>
          <w:bCs/>
          <w:color w:val="auto"/>
          <w:sz w:val="32"/>
          <w:szCs w:val="32"/>
          <w:highlight w:val="none"/>
        </w:rPr>
        <w:t>3.评价方法</w:t>
      </w:r>
    </w:p>
    <w:p w14:paraId="5B0CAB3E">
      <w:pPr>
        <w:pStyle w:val="23"/>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14:paraId="248BC91E">
      <w:pPr>
        <w:pStyle w:val="23"/>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68A9EC04">
      <w:pPr>
        <w:pStyle w:val="23"/>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B671C87">
      <w:pPr>
        <w:bidi w:val="0"/>
        <w:rPr>
          <w:rFonts w:hint="eastAsia"/>
          <w:b/>
          <w:bCs/>
          <w:color w:val="auto"/>
          <w:sz w:val="32"/>
          <w:szCs w:val="32"/>
          <w:highlight w:val="none"/>
        </w:rPr>
      </w:pPr>
      <w:r>
        <w:rPr>
          <w:rFonts w:hint="eastAsia"/>
          <w:b/>
          <w:bCs/>
          <w:color w:val="auto"/>
          <w:sz w:val="32"/>
          <w:szCs w:val="32"/>
          <w:highlight w:val="none"/>
        </w:rPr>
        <w:t>4.评价标准</w:t>
      </w:r>
    </w:p>
    <w:p w14:paraId="509B3C35">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788A9169">
      <w:pPr>
        <w:pStyle w:val="4"/>
        <w:spacing w:line="600" w:lineRule="exact"/>
        <w:ind w:left="420" w:firstLine="0" w:firstLineChars="0"/>
        <w:rPr>
          <w:color w:val="auto"/>
          <w:szCs w:val="32"/>
          <w:highlight w:val="none"/>
        </w:rPr>
      </w:pPr>
      <w:r>
        <w:rPr>
          <w:rFonts w:hint="eastAsia"/>
          <w:color w:val="auto"/>
          <w:szCs w:val="32"/>
          <w:highlight w:val="none"/>
        </w:rPr>
        <w:t>（三）绩效评价工作过程</w:t>
      </w:r>
    </w:p>
    <w:p w14:paraId="07475EFF">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14:paraId="2A0F3F13">
      <w:pPr>
        <w:pStyle w:val="22"/>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14:paraId="574407A1">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杨志兵</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14:paraId="321E3849">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阿依努尔</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14:paraId="15E3D168">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郑芬</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14:paraId="0DA5EC46">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14:paraId="38937050">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14:paraId="636FA32B">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14:paraId="60520D92">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14:paraId="28CAACA6">
      <w:pPr>
        <w:pStyle w:val="22"/>
        <w:spacing w:line="600" w:lineRule="exact"/>
        <w:ind w:firstLine="640"/>
        <w:rPr>
          <w:rFonts w:ascii="仿宋_GB2312" w:hAnsi="仿宋_GB2312" w:cs="仿宋_GB2312"/>
          <w:color w:val="auto"/>
          <w:sz w:val="32"/>
          <w:szCs w:val="32"/>
          <w:highlight w:val="none"/>
        </w:rPr>
      </w:pPr>
      <w:bookmarkStart w:id="13" w:name="_Toc2618"/>
      <w:r>
        <w:rPr>
          <w:rFonts w:hint="eastAsia" w:ascii="仿宋_GB2312" w:hAnsi="仿宋_GB2312" w:cs="仿宋_GB2312"/>
          <w:color w:val="auto"/>
          <w:sz w:val="32"/>
          <w:szCs w:val="32"/>
          <w:highlight w:val="none"/>
        </w:rPr>
        <w:t>第四阶段：撰写与提交评价报告</w:t>
      </w:r>
      <w:bookmarkEnd w:id="13"/>
    </w:p>
    <w:p w14:paraId="1807641C">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14:paraId="630AD62F">
      <w:pPr>
        <w:pStyle w:val="22"/>
        <w:spacing w:line="600" w:lineRule="exact"/>
        <w:ind w:firstLine="640"/>
        <w:rPr>
          <w:rFonts w:ascii="仿宋_GB2312" w:hAnsi="仿宋_GB2312" w:cs="仿宋_GB2312"/>
          <w:color w:val="auto"/>
          <w:sz w:val="32"/>
          <w:szCs w:val="32"/>
          <w:highlight w:val="none"/>
        </w:rPr>
      </w:pPr>
      <w:bookmarkStart w:id="14" w:name="_Toc5055"/>
      <w:r>
        <w:rPr>
          <w:rFonts w:hint="eastAsia" w:ascii="仿宋_GB2312" w:hAnsi="仿宋_GB2312" w:cs="仿宋_GB2312"/>
          <w:color w:val="auto"/>
          <w:sz w:val="32"/>
          <w:szCs w:val="32"/>
          <w:highlight w:val="none"/>
        </w:rPr>
        <w:t>第五阶段：归集档案</w:t>
      </w:r>
      <w:bookmarkEnd w:id="14"/>
    </w:p>
    <w:p w14:paraId="75C1FE36">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14:paraId="045E44DC">
      <w:pPr>
        <w:pStyle w:val="3"/>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14:paraId="322D4513">
      <w:pPr>
        <w:pStyle w:val="24"/>
        <w:spacing w:before="0" w:after="0" w:line="600" w:lineRule="exact"/>
        <w:ind w:left="560"/>
        <w:rPr>
          <w:rFonts w:ascii="仿宋_GB2312" w:hAnsi="仿宋_GB2312" w:cs="仿宋_GB2312"/>
          <w:color w:val="auto"/>
          <w:sz w:val="32"/>
          <w:highlight w:val="none"/>
        </w:rPr>
      </w:pPr>
      <w:bookmarkStart w:id="15" w:name="_Toc68364665"/>
      <w:r>
        <w:rPr>
          <w:rFonts w:hint="eastAsia" w:ascii="仿宋_GB2312" w:hAnsi="仿宋_GB2312" w:cs="仿宋_GB2312"/>
          <w:color w:val="auto"/>
          <w:sz w:val="32"/>
          <w:highlight w:val="none"/>
        </w:rPr>
        <w:t>（一）综合评价情况</w:t>
      </w:r>
      <w:bookmarkEnd w:id="15"/>
    </w:p>
    <w:p w14:paraId="335A5A0B">
      <w:pPr>
        <w:spacing w:line="600" w:lineRule="exact"/>
        <w:ind w:firstLine="640"/>
        <w:rPr>
          <w:rFonts w:ascii="仿宋_GB2312"/>
          <w:color w:val="auto"/>
          <w:sz w:val="32"/>
          <w:szCs w:val="32"/>
          <w:highlight w:val="none"/>
        </w:rPr>
      </w:pPr>
      <w:r>
        <w:rPr>
          <w:rFonts w:hint="eastAsia" w:ascii="仿宋_GB2312"/>
          <w:color w:val="auto"/>
          <w:sz w:val="32"/>
          <w:szCs w:val="32"/>
          <w:highlight w:val="none"/>
        </w:rPr>
        <w:t>通过</w:t>
      </w:r>
      <w:r>
        <w:rPr>
          <w:rStyle w:val="15"/>
          <w:rFonts w:hint="eastAsia" w:ascii="仿宋" w:hAnsi="仿宋" w:eastAsia="仿宋" w:cs="仿宋"/>
          <w:b w:val="0"/>
          <w:color w:val="auto"/>
          <w:sz w:val="32"/>
          <w:szCs w:val="32"/>
          <w:highlight w:val="none"/>
          <w:lang w:val="en-US" w:eastAsia="zh-CN" w:bidi="ar"/>
        </w:rPr>
        <w:t>中央补助地方公共文化体系建设补助资金（大盘鸡的故事）</w:t>
      </w:r>
      <w:r>
        <w:rPr>
          <w:rFonts w:hint="eastAsia" w:ascii="仿宋_GB2312"/>
          <w:color w:val="auto"/>
          <w:sz w:val="32"/>
          <w:szCs w:val="32"/>
          <w:highlight w:val="none"/>
        </w:rPr>
        <w:t>项目的实施，解决了创作大盘鸡系列的文化精品力作</w:t>
      </w:r>
      <w:r>
        <w:rPr>
          <w:rFonts w:hint="eastAsia" w:ascii="仿宋_GB2312"/>
          <w:color w:val="auto"/>
          <w:sz w:val="32"/>
          <w:szCs w:val="32"/>
          <w:highlight w:val="none"/>
          <w:lang w:val="en-US" w:eastAsia="zh-CN"/>
        </w:rPr>
        <w:t>资金</w:t>
      </w:r>
      <w:r>
        <w:rPr>
          <w:rFonts w:hint="eastAsia" w:ascii="仿宋_GB2312"/>
          <w:color w:val="auto"/>
          <w:sz w:val="32"/>
          <w:szCs w:val="32"/>
          <w:highlight w:val="none"/>
        </w:rPr>
        <w:t>问题，实现了进一步繁荣发展沙湾市文化事业、推进文化润疆工程深入实施</w:t>
      </w:r>
      <w:r>
        <w:rPr>
          <w:rFonts w:hint="eastAsia" w:ascii="仿宋_GB2312"/>
          <w:color w:val="auto"/>
          <w:sz w:val="32"/>
          <w:szCs w:val="32"/>
          <w:highlight w:val="none"/>
          <w:lang w:val="en-US" w:eastAsia="zh-CN"/>
        </w:rPr>
        <w:t>的</w:t>
      </w:r>
      <w:r>
        <w:rPr>
          <w:rFonts w:hint="eastAsia" w:ascii="仿宋_GB2312"/>
          <w:color w:val="auto"/>
          <w:sz w:val="32"/>
          <w:szCs w:val="32"/>
          <w:highlight w:val="none"/>
        </w:rPr>
        <w:t>效益，该项目预算执行率达</w:t>
      </w:r>
      <w:r>
        <w:rPr>
          <w:rFonts w:hint="eastAsia" w:ascii="仿宋_GB2312"/>
          <w:color w:val="auto"/>
          <w:sz w:val="32"/>
          <w:szCs w:val="32"/>
          <w:highlight w:val="none"/>
          <w:lang w:val="en-US" w:eastAsia="zh-CN"/>
        </w:rPr>
        <w:t>100</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14:paraId="15BF93DB">
      <w:pPr>
        <w:pStyle w:val="24"/>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14:paraId="2DFEEF2C">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Style w:val="15"/>
          <w:rFonts w:hint="eastAsia" w:ascii="仿宋" w:hAnsi="仿宋" w:eastAsia="仿宋" w:cs="仿宋"/>
          <w:b w:val="0"/>
          <w:color w:val="auto"/>
          <w:sz w:val="32"/>
          <w:szCs w:val="32"/>
          <w:highlight w:val="none"/>
          <w:lang w:val="en-US" w:eastAsia="zh-CN" w:bidi="ar"/>
        </w:rPr>
        <w:t>中央补助地方公共文化体系建设补助资金（大盘鸡的故事）</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100</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val="en-US" w:eastAsia="zh-CN"/>
        </w:rPr>
        <w:t>优</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40</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14:paraId="0317AE40">
      <w:pPr>
        <w:pStyle w:val="3"/>
        <w:spacing w:line="600" w:lineRule="exact"/>
        <w:ind w:firstLine="640"/>
        <w:rPr>
          <w:color w:val="auto"/>
          <w:szCs w:val="32"/>
          <w:highlight w:val="none"/>
        </w:rPr>
      </w:pPr>
      <w:r>
        <w:rPr>
          <w:rFonts w:hint="eastAsia"/>
          <w:color w:val="auto"/>
          <w:szCs w:val="32"/>
          <w:highlight w:val="none"/>
        </w:rPr>
        <w:t>四、绩效评价指标分析</w:t>
      </w:r>
    </w:p>
    <w:p w14:paraId="5AF13F3A">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14:paraId="1F3E5564">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115AE6CD">
      <w:pPr>
        <w:pStyle w:val="25"/>
        <w:numPr>
          <w:ilvl w:val="0"/>
          <w:numId w:val="0"/>
        </w:numPr>
        <w:spacing w:line="600" w:lineRule="exact"/>
        <w:ind w:firstLine="667" w:firstLineChars="200"/>
        <w:rPr>
          <w:rFonts w:hint="eastAsia" w:cs="仿宋_GB2312"/>
          <w:color w:val="auto"/>
          <w:highlight w:val="none"/>
        </w:rPr>
      </w:pPr>
      <w:r>
        <w:rPr>
          <w:rFonts w:hint="eastAsia" w:cs="仿宋_GB2312"/>
          <w:b/>
          <w:bCs/>
          <w:color w:val="auto"/>
          <w:highlight w:val="none"/>
          <w:lang w:val="en-US" w:eastAsia="zh-CN"/>
        </w:rPr>
        <w:t>1.</w:t>
      </w:r>
      <w:r>
        <w:rPr>
          <w:rFonts w:hint="eastAsia" w:cs="仿宋_GB2312"/>
          <w:b/>
          <w:bCs/>
          <w:color w:val="auto"/>
          <w:highlight w:val="none"/>
        </w:rPr>
        <w:t>立项依据充分性：</w:t>
      </w:r>
      <w:r>
        <w:rPr>
          <w:rFonts w:hint="eastAsia" w:cs="仿宋_GB2312"/>
          <w:color w:val="auto"/>
          <w:highlight w:val="none"/>
          <w:lang w:eastAsia="zh-Hans"/>
        </w:rPr>
        <w:t>本项目是由</w:t>
      </w:r>
      <w:r>
        <w:rPr>
          <w:rFonts w:hint="eastAsia" w:cs="仿宋_GB2312"/>
          <w:color w:val="auto"/>
          <w:highlight w:val="none"/>
          <w:lang w:val="en-US" w:eastAsia="zh-CN"/>
        </w:rPr>
        <w:t>沙湾市文工团</w:t>
      </w:r>
      <w:r>
        <w:rPr>
          <w:rFonts w:hint="eastAsia" w:cs="仿宋_GB2312"/>
          <w:color w:val="auto"/>
          <w:highlight w:val="none"/>
          <w:lang w:eastAsia="zh-Hans"/>
        </w:rPr>
        <w:t>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2023</w:t>
      </w:r>
      <w:r>
        <w:rPr>
          <w:rFonts w:hint="eastAsia" w:cs="仿宋_GB2312"/>
          <w:color w:val="auto"/>
          <w:highlight w:val="none"/>
          <w:lang w:eastAsia="zh-Hans"/>
        </w:rPr>
        <w:t>年</w:t>
      </w:r>
      <w:r>
        <w:rPr>
          <w:rFonts w:hint="eastAsia" w:cs="仿宋_GB2312"/>
          <w:color w:val="auto"/>
          <w:highlight w:val="none"/>
          <w:lang w:val="en-US" w:eastAsia="zh-CN"/>
        </w:rPr>
        <w:t>1</w:t>
      </w:r>
      <w:r>
        <w:rPr>
          <w:rFonts w:hint="eastAsia" w:cs="仿宋_GB2312"/>
          <w:color w:val="auto"/>
          <w:highlight w:val="none"/>
          <w:lang w:eastAsia="zh-Hans"/>
        </w:rPr>
        <w:t>月批复设立</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cs="仿宋_GB2312"/>
          <w:color w:val="auto"/>
          <w:highlight w:val="none"/>
          <w:lang w:eastAsia="zh-Hans"/>
        </w:rPr>
        <w:t>《</w:t>
      </w:r>
      <w:r>
        <w:rPr>
          <w:rFonts w:hint="eastAsia" w:cs="仿宋_GB2312"/>
          <w:color w:val="auto"/>
          <w:highlight w:val="none"/>
          <w:lang w:eastAsia="zh-Hans"/>
        </w:rPr>
        <w:t>塔地财教[2023]29号</w:t>
      </w:r>
      <w:r>
        <w:rPr>
          <w:rFonts w:hint="eastAsia" w:cs="仿宋_GB2312"/>
          <w:color w:val="auto"/>
          <w:highlight w:val="none"/>
          <w:lang w:eastAsia="zh-CN"/>
        </w:rPr>
        <w:t>、塔地财教[2021]38号</w:t>
      </w:r>
      <w:r>
        <w:rPr>
          <w:rFonts w:cs="仿宋_GB2312"/>
          <w:color w:val="auto"/>
          <w:highlight w:val="none"/>
          <w:lang w:eastAsia="zh-Hans"/>
        </w:rPr>
        <w:t>》</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58DFBD2A">
      <w:pPr>
        <w:pStyle w:val="25"/>
        <w:numPr>
          <w:ilvl w:val="0"/>
          <w:numId w:val="0"/>
        </w:numPr>
        <w:spacing w:line="600" w:lineRule="exact"/>
        <w:ind w:firstLine="667" w:firstLineChars="200"/>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0D6E9994">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14:paraId="17C6EB8F">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14:paraId="790B0C20">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1B03F3FB">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1793DC12">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14:paraId="0B0CB4E4">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20F341BF">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14:paraId="0F2F489E">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bCs/>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40</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40</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100</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4BFF2BB5">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项目任务下达后</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val="en-US" w:eastAsia="zh-CN"/>
        </w:rPr>
        <w:t>沙湾市文工团财务管理制度</w:t>
      </w:r>
      <w:r>
        <w:rPr>
          <w:rFonts w:ascii="仿宋_GB2312" w:cs="仿宋_GB2312"/>
          <w:color w:val="auto"/>
          <w:sz w:val="32"/>
          <w:szCs w:val="32"/>
          <w:highlight w:val="none"/>
        </w:rPr>
        <w:t>》</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45083F73">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val="en-US" w:eastAsia="zh-CN"/>
        </w:rPr>
        <w:t>沙湾市文工团项目管理制度</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2606540A">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ascii="仿宋_GB2312" w:cs="仿宋_GB2312"/>
          <w:color w:val="auto"/>
          <w:sz w:val="32"/>
          <w:szCs w:val="32"/>
          <w:highlight w:val="none"/>
        </w:rPr>
        <w:t>党</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4FC8CCC2">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14:paraId="7C3E720A">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40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48D7A50A">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1.产出数量</w:t>
      </w:r>
    </w:p>
    <w:p w14:paraId="33652A01">
      <w:pPr>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“文艺精品创作数量”指标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val="en-US" w:eastAsia="zh-CN"/>
        </w:rPr>
        <w:t>大于等于1个</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现场核查</w:t>
      </w:r>
      <w:r>
        <w:rPr>
          <w:rFonts w:hint="eastAsia" w:ascii="仿宋_GB2312" w:hAnsi="仿宋_GB2312" w:cs="仿宋_GB2312"/>
          <w:color w:val="auto"/>
          <w:sz w:val="32"/>
          <w:szCs w:val="32"/>
          <w:highlight w:val="none"/>
          <w:lang w:eastAsia="zh-Hans"/>
        </w:rPr>
        <w:t>验收可知，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大盘鸡的故事</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创作作品1个</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rPr>
        <w:t>分。</w:t>
      </w:r>
    </w:p>
    <w:p w14:paraId="538646AE">
      <w:pPr>
        <w:spacing w:line="600" w:lineRule="exact"/>
        <w:ind w:left="0" w:leftChars="0" w:firstLine="643" w:firstLineChars="200"/>
        <w:rPr>
          <w:rFonts w:ascii="仿宋_GB2312"/>
          <w:b/>
          <w:bCs/>
          <w:color w:val="auto"/>
          <w:sz w:val="32"/>
          <w:highlight w:val="none"/>
        </w:rPr>
      </w:pPr>
      <w:r>
        <w:rPr>
          <w:rFonts w:hint="eastAsia" w:ascii="仿宋_GB2312"/>
          <w:b/>
          <w:bCs/>
          <w:color w:val="auto"/>
          <w:sz w:val="32"/>
          <w:highlight w:val="none"/>
        </w:rPr>
        <w:t>2.产出质量</w:t>
      </w:r>
    </w:p>
    <w:p w14:paraId="3C5335D9">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文艺作品创作合格率</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rPr>
        <w:t>100%</w:t>
      </w:r>
      <w:r>
        <w:rPr>
          <w:rFonts w:hint="eastAsia" w:ascii="仿宋_GB2312" w:hAnsi="仿宋_GB2312" w:cs="仿宋_GB2312"/>
          <w:color w:val="auto"/>
          <w:sz w:val="32"/>
          <w:szCs w:val="32"/>
          <w:highlight w:val="none"/>
          <w:lang w:eastAsia="zh-Hans"/>
        </w:rPr>
        <w:t>”，根据现场核查</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创作的《大盘鸡的故事》文化作品</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是符合文化宣传思想要求</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得到了有效利用</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有效利用</w:t>
      </w:r>
      <w:r>
        <w:rPr>
          <w:rFonts w:hint="eastAsia" w:ascii="仿宋_GB2312" w:hAnsi="仿宋_GB2312" w:cs="仿宋_GB2312"/>
          <w:color w:val="auto"/>
          <w:sz w:val="32"/>
          <w:szCs w:val="32"/>
          <w:highlight w:val="none"/>
          <w:lang w:eastAsia="zh-Hans"/>
        </w:rPr>
        <w:t>率达</w:t>
      </w:r>
      <w:r>
        <w:rPr>
          <w:rFonts w:ascii="仿宋_GB2312" w:hAnsi="仿宋_GB2312" w:cs="仿宋_GB2312"/>
          <w:color w:val="auto"/>
          <w:sz w:val="32"/>
          <w:szCs w:val="32"/>
          <w:highlight w:val="none"/>
          <w:lang w:eastAsia="zh-Hans"/>
        </w:rPr>
        <w:t>100%，</w:t>
      </w:r>
      <w:r>
        <w:rPr>
          <w:rFonts w:hint="eastAsia" w:ascii="仿宋_GB2312" w:hAnsi="仿宋_GB2312" w:cs="仿宋_GB2312"/>
          <w:color w:val="auto"/>
          <w:sz w:val="32"/>
          <w:szCs w:val="32"/>
          <w:highlight w:val="none"/>
        </w:rPr>
        <w:t>与预期目标一致，根据评分标准，该指标</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14:paraId="35519FCF">
      <w:pPr>
        <w:spacing w:line="600" w:lineRule="exact"/>
        <w:ind w:firstLine="640"/>
        <w:rPr>
          <w:rFonts w:hint="eastAsia"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lang w:eastAsia="zh-CN"/>
        </w:rPr>
        <w:t>“资金使用合格率”指标，预期指标值为“100%”，根据项目合同和资金支付凭证显示，支付合格率达100%，与预期</w:t>
      </w:r>
      <w:r>
        <w:rPr>
          <w:rFonts w:hint="eastAsia" w:ascii="仿宋_GB2312" w:hAnsi="仿宋_GB2312" w:cs="仿宋_GB2312"/>
          <w:color w:val="auto"/>
          <w:sz w:val="32"/>
          <w:szCs w:val="32"/>
          <w:highlight w:val="none"/>
          <w:lang w:eastAsia="zh-Hans"/>
        </w:rPr>
        <w:t>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eastAsia="zh-Hans"/>
        </w:rPr>
        <w:t>分。</w:t>
      </w:r>
    </w:p>
    <w:p w14:paraId="30E83D95">
      <w:pPr>
        <w:pStyle w:val="6"/>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14:paraId="0E0B6215">
      <w:pPr>
        <w:pStyle w:val="6"/>
        <w:spacing w:before="0" w:after="0" w:line="600" w:lineRule="exact"/>
        <w:ind w:firstLine="640"/>
        <w:jc w:val="both"/>
        <w:rPr>
          <w:rFonts w:ascii="仿宋_GB2312" w:cs="仿宋_GB2312"/>
          <w:b w:val="0"/>
          <w:color w:val="auto"/>
          <w:sz w:val="32"/>
          <w:szCs w:val="32"/>
          <w:highlight w:val="none"/>
        </w:rPr>
      </w:pP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资金支付及时率</w:t>
      </w:r>
      <w:r>
        <w:rPr>
          <w:rFonts w:hint="eastAsia" w:ascii="仿宋_GB2312"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rPr>
        <w:t>100%</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根据资金支付凭证显示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rPr>
        <w:t>2</w:t>
      </w:r>
      <w:r>
        <w:rPr>
          <w:rFonts w:ascii="仿宋_GB2312" w:cs="仿宋_GB2312"/>
          <w:b w:val="0"/>
          <w:color w:val="auto"/>
          <w:sz w:val="32"/>
          <w:szCs w:val="32"/>
          <w:highlight w:val="none"/>
        </w:rPr>
        <w:t>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rPr>
        <w:t>月完成验收，按合同约定，</w:t>
      </w:r>
      <w:r>
        <w:rPr>
          <w:rFonts w:hint="eastAsia" w:ascii="仿宋_GB2312" w:cs="仿宋_GB2312"/>
          <w:b w:val="0"/>
          <w:color w:val="auto"/>
          <w:sz w:val="32"/>
          <w:szCs w:val="32"/>
          <w:highlight w:val="none"/>
          <w:lang w:eastAsia="zh-Hans"/>
        </w:rPr>
        <w:t>资金已于</w:t>
      </w:r>
      <w:r>
        <w:rPr>
          <w:rFonts w:ascii="仿宋_GB2312" w:cs="仿宋_GB2312"/>
          <w:b w:val="0"/>
          <w:color w:val="auto"/>
          <w:sz w:val="32"/>
          <w:szCs w:val="32"/>
          <w:highlight w:val="none"/>
          <w:lang w:eastAsia="zh-Hans"/>
        </w:rPr>
        <w:t>202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lang w:eastAsia="zh-Hans"/>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lang w:eastAsia="zh-Hans"/>
        </w:rPr>
        <w:t>月全部支付完毕</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，根据评分标准，该指标</w:t>
      </w:r>
      <w:r>
        <w:rPr>
          <w:rFonts w:hint="eastAsia" w:ascii="仿宋_GB2312"/>
          <w:b w:val="0"/>
          <w:bCs/>
          <w:color w:val="auto"/>
          <w:sz w:val="32"/>
          <w:szCs w:val="32"/>
          <w:highlight w:val="none"/>
          <w:lang w:val="en-US" w:eastAsia="zh-CN"/>
        </w:rPr>
        <w:t>10</w:t>
      </w:r>
      <w:r>
        <w:rPr>
          <w:rFonts w:hint="eastAsia" w:ascii="仿宋_GB2312" w:cs="仿宋_GB2312"/>
          <w:b w:val="0"/>
          <w:bCs/>
          <w:color w:val="auto"/>
          <w:sz w:val="32"/>
          <w:szCs w:val="32"/>
          <w:highlight w:val="none"/>
        </w:rPr>
        <w:t>分，得</w:t>
      </w:r>
      <w:r>
        <w:rPr>
          <w:rFonts w:hint="eastAsia" w:ascii="仿宋_GB2312"/>
          <w:b w:val="0"/>
          <w:bCs/>
          <w:color w:val="auto"/>
          <w:sz w:val="32"/>
          <w:szCs w:val="32"/>
          <w:highlight w:val="none"/>
          <w:lang w:val="en-US" w:eastAsia="zh-CN"/>
        </w:rPr>
        <w:t>10</w:t>
      </w:r>
      <w:r>
        <w:rPr>
          <w:rFonts w:hint="eastAsia" w:ascii="仿宋_GB2312" w:cs="仿宋_GB2312"/>
          <w:b w:val="0"/>
          <w:color w:val="auto"/>
          <w:sz w:val="32"/>
          <w:szCs w:val="32"/>
          <w:highlight w:val="none"/>
        </w:rPr>
        <w:t>分。</w:t>
      </w:r>
    </w:p>
    <w:p w14:paraId="211CD9B3">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14:paraId="03D05AC5">
      <w:pPr>
        <w:spacing w:line="600" w:lineRule="exact"/>
        <w:ind w:firstLine="640"/>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办公费用成本</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val="en-US" w:eastAsia="zh-CN"/>
        </w:rPr>
        <w:t>小于等于</w:t>
      </w:r>
      <w:r>
        <w:rPr>
          <w:rFonts w:hint="eastAsia" w:ascii="仿宋_GB2312" w:eastAsia="宋体" w:cs="仿宋_GB2312"/>
          <w:color w:val="auto"/>
          <w:sz w:val="32"/>
          <w:szCs w:val="32"/>
          <w:highlight w:val="none"/>
          <w:lang w:val="en-US" w:eastAsia="zh-CN"/>
        </w:rPr>
        <w:t>16</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”，根据项目合同和资金支付凭证显示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16</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14:paraId="75882AA3">
      <w:pPr>
        <w:spacing w:line="600" w:lineRule="exact"/>
        <w:ind w:firstLine="640"/>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文艺精品创作费成本</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val="en-US" w:eastAsia="zh-CN"/>
        </w:rPr>
        <w:t>小于等于</w:t>
      </w:r>
      <w:r>
        <w:rPr>
          <w:rFonts w:hint="eastAsia" w:ascii="宋体" w:hAnsi="宋体" w:eastAsia="宋体" w:cs="Arial"/>
          <w:color w:val="auto"/>
          <w:sz w:val="32"/>
          <w:szCs w:val="32"/>
          <w:highlight w:val="none"/>
          <w:lang w:val="en-US" w:eastAsia="zh-CN"/>
        </w:rPr>
        <w:t>24</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”，根据项目合同和资金支付凭证显示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24</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费用</w:t>
      </w:r>
      <w:r>
        <w:rPr>
          <w:rFonts w:hint="eastAsia" w:ascii="仿宋_GB2312" w:cs="仿宋_GB2312"/>
          <w:color w:val="auto"/>
          <w:sz w:val="32"/>
          <w:szCs w:val="32"/>
          <w:highlight w:val="none"/>
        </w:rPr>
        <w:t>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14:paraId="601F11DE">
      <w:pPr>
        <w:pStyle w:val="4"/>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14:paraId="0046A1E0">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color w:val="auto"/>
          <w:sz w:val="32"/>
          <w:szCs w:val="32"/>
          <w:highlight w:val="none"/>
          <w:u w:color="000000"/>
          <w:lang w:val="zh-TW" w:eastAsia="zh-TW"/>
        </w:rPr>
        <w:t>项目</w:t>
      </w:r>
      <w:r>
        <w:rPr>
          <w:rFonts w:hint="eastAsia" w:ascii="仿宋_GB2312"/>
          <w:color w:val="auto"/>
          <w:sz w:val="32"/>
          <w:szCs w:val="32"/>
          <w:highlight w:val="none"/>
        </w:rPr>
        <w:t>效益</w:t>
      </w:r>
      <w:r>
        <w:rPr>
          <w:rFonts w:hint="eastAsia"/>
          <w:color w:val="auto"/>
          <w:sz w:val="32"/>
          <w:szCs w:val="32"/>
          <w:highlight w:val="none"/>
          <w:u w:color="000000"/>
          <w:lang w:val="zh-TW" w:eastAsia="zh-TW"/>
        </w:rPr>
        <w:t>类指标由</w:t>
      </w:r>
      <w:r>
        <w:rPr>
          <w:rFonts w:hint="eastAsia"/>
          <w:color w:val="auto"/>
          <w:sz w:val="32"/>
          <w:szCs w:val="32"/>
          <w:highlight w:val="none"/>
          <w:u w:color="000000"/>
          <w:lang w:val="en-US" w:eastAsia="zh-CN"/>
        </w:rPr>
        <w:t>社会效益</w:t>
      </w:r>
      <w:r>
        <w:rPr>
          <w:rFonts w:hint="eastAsia" w:ascii="仿宋_GB2312" w:hAnsi="仿宋_GB2312" w:eastAsia="仿宋_GB2312" w:cs="仿宋_GB2312"/>
          <w:color w:val="auto"/>
          <w:sz w:val="32"/>
          <w:szCs w:val="32"/>
          <w:highlight w:val="none"/>
          <w:u w:color="000000"/>
          <w:lang w:val="en-US" w:eastAsia="zh-CN"/>
        </w:rPr>
        <w:t>1</w:t>
      </w:r>
      <w:r>
        <w:rPr>
          <w:rFonts w:hint="eastAsia" w:ascii="仿宋_GB2312" w:hAnsi="仿宋_GB2312" w:eastAsia="仿宋_GB2312" w:cs="仿宋_GB2312"/>
          <w:color w:val="auto"/>
          <w:sz w:val="32"/>
          <w:szCs w:val="32"/>
          <w:highlight w:val="none"/>
          <w:u w:color="000000"/>
          <w:lang w:val="zh-TW" w:eastAsia="zh-TW"/>
        </w:rPr>
        <w:t>个</w:t>
      </w:r>
      <w:r>
        <w:rPr>
          <w:rFonts w:hint="eastAsia"/>
          <w:color w:val="auto"/>
          <w:sz w:val="32"/>
          <w:szCs w:val="32"/>
          <w:highlight w:val="none"/>
          <w:u w:color="000000"/>
          <w:lang w:val="zh-TW"/>
        </w:rPr>
        <w:t>二</w:t>
      </w:r>
      <w:r>
        <w:rPr>
          <w:rFonts w:hint="eastAsia"/>
          <w:color w:val="auto"/>
          <w:sz w:val="32"/>
          <w:szCs w:val="32"/>
          <w:highlight w:val="none"/>
          <w:u w:color="000000"/>
          <w:lang w:val="zh-TW" w:eastAsia="zh-TW"/>
        </w:rPr>
        <w:t>级指标和</w:t>
      </w:r>
      <w:r>
        <w:rPr>
          <w:rFonts w:hint="eastAsia" w:ascii="仿宋_GB2312" w:hAnsi="仿宋_GB2312" w:eastAsia="仿宋_GB2312" w:cs="仿宋_GB2312"/>
          <w:color w:val="auto"/>
          <w:sz w:val="32"/>
          <w:szCs w:val="32"/>
          <w:highlight w:val="none"/>
          <w:u w:color="000000"/>
          <w:lang w:val="en-US" w:eastAsia="zh-CN"/>
        </w:rPr>
        <w:t>1</w:t>
      </w:r>
      <w:r>
        <w:rPr>
          <w:rFonts w:hint="eastAsia" w:ascii="仿宋_GB2312" w:hAnsi="仿宋_GB2312" w:eastAsia="仿宋_GB2312" w:cs="仿宋_GB2312"/>
          <w:color w:val="auto"/>
          <w:sz w:val="32"/>
          <w:szCs w:val="32"/>
          <w:highlight w:val="none"/>
          <w:u w:color="000000"/>
          <w:lang w:val="zh-TW" w:eastAsia="zh-TW"/>
        </w:rPr>
        <w:t>个</w:t>
      </w:r>
      <w:r>
        <w:rPr>
          <w:rFonts w:hint="eastAsia" w:ascii="仿宋_GB2312" w:hAnsi="仿宋_GB2312" w:eastAsia="仿宋_GB2312" w:cs="仿宋_GB2312"/>
          <w:color w:val="auto"/>
          <w:sz w:val="32"/>
          <w:szCs w:val="32"/>
          <w:highlight w:val="none"/>
          <w:u w:color="000000"/>
        </w:rPr>
        <w:t>三</w:t>
      </w:r>
      <w:r>
        <w:rPr>
          <w:rFonts w:hint="eastAsia"/>
          <w:color w:val="auto"/>
          <w:sz w:val="32"/>
          <w:szCs w:val="32"/>
          <w:highlight w:val="none"/>
          <w:u w:color="000000"/>
          <w:lang w:val="zh-TW" w:eastAsia="zh-TW"/>
        </w:rPr>
        <w:t>级指标构成，</w:t>
      </w:r>
      <w:r>
        <w:rPr>
          <w:rFonts w:hint="eastAsia" w:ascii="仿宋_GB2312" w:cs="仿宋_GB2312"/>
          <w:color w:val="auto"/>
          <w:sz w:val="32"/>
          <w:szCs w:val="32"/>
          <w:highlight w:val="none"/>
        </w:rPr>
        <w:t>权重分为</w:t>
      </w:r>
      <w:r>
        <w:rPr>
          <w:rFonts w:hint="eastAsia" w:ascii="仿宋_GB2312" w:cs="仿宋_GB2312"/>
          <w:color w:val="auto"/>
          <w:sz w:val="32"/>
          <w:szCs w:val="32"/>
          <w:highlight w:val="none"/>
          <w:lang w:val="en-US" w:eastAsia="zh-CN"/>
        </w:rPr>
        <w:t>2</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20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5697A66F">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14:paraId="31FB0DE5">
      <w:pPr>
        <w:spacing w:line="600" w:lineRule="exact"/>
        <w:ind w:firstLine="640"/>
        <w:rPr>
          <w:color w:val="auto"/>
          <w:highlight w:val="none"/>
        </w:rPr>
      </w:pPr>
      <w:r>
        <w:rPr>
          <w:rFonts w:hint="eastAsia" w:ascii="仿宋_GB2312"/>
          <w:color w:val="auto"/>
          <w:sz w:val="32"/>
          <w:szCs w:val="32"/>
          <w:highlight w:val="none"/>
          <w:lang w:eastAsia="zh-Hans"/>
        </w:rPr>
        <w:t>“</w:t>
      </w:r>
      <w:r>
        <w:rPr>
          <w:rFonts w:hint="eastAsia" w:ascii="仿宋_GB2312"/>
          <w:color w:val="auto"/>
          <w:sz w:val="32"/>
          <w:szCs w:val="32"/>
          <w:highlight w:val="none"/>
        </w:rPr>
        <w:t>保障优秀文化作品的传播</w:t>
      </w:r>
      <w:r>
        <w:rPr>
          <w:rFonts w:hint="eastAsia" w:ascii="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eastAsia="zh-Hans"/>
        </w:rPr>
        <w:t>“有效保障”，</w:t>
      </w:r>
      <w:r>
        <w:rPr>
          <w:rFonts w:hint="eastAsia"/>
          <w:color w:val="auto"/>
          <w:sz w:val="32"/>
          <w:szCs w:val="32"/>
          <w:highlight w:val="none"/>
        </w:rPr>
        <w:t>根据</w:t>
      </w:r>
      <w:r>
        <w:rPr>
          <w:rFonts w:hint="eastAsia" w:ascii="仿宋_GB2312"/>
          <w:color w:val="auto"/>
          <w:sz w:val="32"/>
          <w:szCs w:val="32"/>
          <w:highlight w:val="none"/>
          <w:lang w:eastAsia="zh-Hans"/>
        </w:rPr>
        <w:t>本单位年度考核情况</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基本达成目标</w:t>
      </w:r>
      <w:r>
        <w:rPr>
          <w:rFonts w:hint="eastAsia" w:ascii="仿宋_GB2312"/>
          <w:color w:val="auto"/>
          <w:sz w:val="32"/>
          <w:szCs w:val="32"/>
          <w:highlight w:val="none"/>
          <w:lang w:eastAsia="zh-Hans"/>
        </w:rPr>
        <w:t>”</w:t>
      </w:r>
      <w:r>
        <w:rPr>
          <w:rFonts w:hint="eastAsia" w:ascii="仿宋_GB2312"/>
          <w:color w:val="auto"/>
          <w:sz w:val="32"/>
          <w:szCs w:val="32"/>
          <w:highlight w:val="none"/>
          <w:lang w:eastAsia="zh-CN"/>
        </w:rPr>
        <w:t>。</w:t>
      </w:r>
      <w:r>
        <w:rPr>
          <w:rFonts w:hint="eastAsia" w:ascii="仿宋_GB2312"/>
          <w:color w:val="auto"/>
          <w:sz w:val="32"/>
          <w:szCs w:val="32"/>
          <w:highlight w:val="none"/>
        </w:rPr>
        <w:t>根据评分标准，该指标</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w:t>
      </w:r>
    </w:p>
    <w:p w14:paraId="6A96EC39">
      <w:pPr>
        <w:spacing w:line="600" w:lineRule="exact"/>
        <w:ind w:firstLine="640"/>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2.</w:t>
      </w:r>
      <w:r>
        <w:rPr>
          <w:rFonts w:hint="eastAsia" w:ascii="仿宋_GB2312"/>
          <w:b/>
          <w:bCs/>
          <w:color w:val="auto"/>
          <w:sz w:val="32"/>
          <w:szCs w:val="32"/>
          <w:highlight w:val="none"/>
        </w:rPr>
        <w:t>经济效益指标</w:t>
      </w:r>
    </w:p>
    <w:p w14:paraId="1B888C11">
      <w:pPr>
        <w:spacing w:line="600" w:lineRule="exact"/>
        <w:ind w:firstLine="643"/>
        <w:rPr>
          <w:rFonts w:hint="eastAsia" w:ascii="仿宋_GB2312"/>
          <w:color w:val="auto"/>
          <w:sz w:val="32"/>
          <w:szCs w:val="32"/>
          <w:highlight w:val="none"/>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14:paraId="50C5C5E5">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14:paraId="17A324B3">
      <w:pPr>
        <w:spacing w:line="600" w:lineRule="exact"/>
        <w:ind w:firstLine="640"/>
        <w:rPr>
          <w:rFonts w:hint="eastAsia" w:ascii="仿宋_GB2312" w:eastAsia="仿宋_GB2312"/>
          <w:b/>
          <w:color w:val="auto"/>
          <w:sz w:val="32"/>
          <w:szCs w:val="32"/>
          <w:highlight w:val="none"/>
          <w:lang w:eastAsia="zh-CN"/>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14:paraId="7C3D38AD">
      <w:pPr>
        <w:pStyle w:val="4"/>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14:paraId="109A0204">
      <w:pPr>
        <w:pStyle w:val="22"/>
        <w:spacing w:line="600" w:lineRule="exact"/>
        <w:ind w:firstLine="640"/>
        <w:rPr>
          <w:rFonts w:hint="eastAsia" w:ascii="仿宋_GB2312" w:cs="仿宋_GB2312"/>
          <w:color w:val="auto"/>
          <w:kern w:val="2"/>
          <w:sz w:val="32"/>
          <w:szCs w:val="32"/>
          <w:highlight w:val="none"/>
        </w:rPr>
      </w:pPr>
      <w:bookmarkStart w:id="16" w:name="_Toc1921"/>
      <w:bookmarkStart w:id="17" w:name="_Toc28290"/>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val="en-US" w:eastAsia="zh-CN"/>
        </w:rPr>
        <w:t>受益群众满意度</w:t>
      </w:r>
      <w:r>
        <w:rPr>
          <w:rFonts w:hint="eastAsia" w:ascii="仿宋_GB2312" w:cs="仿宋_GB2312"/>
          <w:color w:val="auto"/>
          <w:kern w:val="2"/>
          <w:sz w:val="32"/>
          <w:szCs w:val="32"/>
          <w:highlight w:val="none"/>
          <w:lang w:eastAsia="zh-Hans"/>
        </w:rPr>
        <w:t>”</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仿宋_GB2312" w:hAnsi="仿宋_GB2312" w:eastAsia="仿宋_GB2312" w:cs="仿宋_GB2312"/>
          <w:color w:val="auto"/>
          <w:kern w:val="2"/>
          <w:sz w:val="32"/>
          <w:szCs w:val="32"/>
          <w:highlight w:val="none"/>
          <w:lang w:val="en-US" w:eastAsia="zh-CN"/>
        </w:rPr>
        <w:t>大于等于</w:t>
      </w:r>
      <w:r>
        <w:rPr>
          <w:rFonts w:ascii="仿宋_GB2312" w:cs="仿宋_GB2312"/>
          <w:color w:val="auto"/>
          <w:kern w:val="2"/>
          <w:sz w:val="32"/>
          <w:szCs w:val="32"/>
          <w:highlight w:val="none"/>
          <w:lang w:eastAsia="zh-Hans"/>
        </w:rPr>
        <w:t>95%</w:t>
      </w:r>
      <w:r>
        <w:rPr>
          <w:rFonts w:hint="eastAsia" w:ascii="仿宋_GB2312" w:cs="仿宋_GB2312"/>
          <w:color w:val="auto"/>
          <w:kern w:val="2"/>
          <w:sz w:val="32"/>
          <w:szCs w:val="32"/>
          <w:highlight w:val="none"/>
          <w:lang w:eastAsia="zh-Hans"/>
        </w:rPr>
        <w:t>”，根据对</w:t>
      </w:r>
      <w:r>
        <w:rPr>
          <w:rFonts w:hint="eastAsia" w:ascii="仿宋_GB2312" w:cs="仿宋_GB2312"/>
          <w:color w:val="auto"/>
          <w:kern w:val="2"/>
          <w:sz w:val="32"/>
          <w:szCs w:val="32"/>
          <w:highlight w:val="none"/>
          <w:lang w:val="en-US" w:eastAsia="zh-CN"/>
        </w:rPr>
        <w:t>群众</w:t>
      </w:r>
      <w:r>
        <w:rPr>
          <w:rFonts w:hint="eastAsia" w:ascii="仿宋_GB2312" w:cs="仿宋_GB2312"/>
          <w:color w:val="auto"/>
          <w:kern w:val="2"/>
          <w:sz w:val="32"/>
          <w:szCs w:val="32"/>
          <w:highlight w:val="none"/>
          <w:lang w:eastAsia="zh-Hans"/>
        </w:rPr>
        <w:t>进行满意度问卷调查的结果可知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群众</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95</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w:t>
      </w:r>
    </w:p>
    <w:p w14:paraId="28DC0CF9">
      <w:pPr>
        <w:pStyle w:val="3"/>
        <w:spacing w:line="600" w:lineRule="exact"/>
        <w:ind w:firstLine="640"/>
        <w:rPr>
          <w:color w:val="auto"/>
          <w:szCs w:val="32"/>
          <w:highlight w:val="none"/>
        </w:rPr>
      </w:pPr>
      <w:r>
        <w:rPr>
          <w:rFonts w:hint="eastAsia"/>
          <w:color w:val="auto"/>
          <w:szCs w:val="32"/>
          <w:highlight w:val="none"/>
        </w:rPr>
        <w:t>五、预算执行进度与绩效指标偏差情况</w:t>
      </w:r>
    </w:p>
    <w:p w14:paraId="36C6F6CF">
      <w:pPr>
        <w:pStyle w:val="4"/>
        <w:numPr>
          <w:ilvl w:val="0"/>
          <w:numId w:val="6"/>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14:paraId="02C1BAF2">
      <w:pPr>
        <w:pStyle w:val="22"/>
        <w:spacing w:line="600" w:lineRule="exact"/>
        <w:ind w:firstLine="640"/>
        <w:rPr>
          <w:rFonts w:ascii="仿宋_GB2312"/>
          <w:color w:val="auto"/>
          <w:sz w:val="32"/>
          <w:szCs w:val="32"/>
          <w:highlight w:val="none"/>
          <w:lang w:eastAsia="zh-Hans"/>
        </w:rPr>
      </w:pPr>
      <w:r>
        <w:rPr>
          <w:rFonts w:hint="eastAsia" w:ascii="仿宋_GB2312"/>
          <w:color w:val="auto"/>
          <w:sz w:val="32"/>
          <w:szCs w:val="32"/>
          <w:highlight w:val="none"/>
          <w:lang w:eastAsia="zh-Hans"/>
        </w:rPr>
        <w:t>中央补助地方公共文化体系建设补助资金（大盘鸡的故事）项目预算金额</w:t>
      </w:r>
      <w:r>
        <w:rPr>
          <w:rFonts w:hint="eastAsia" w:ascii="仿宋_GB2312"/>
          <w:color w:val="auto"/>
          <w:sz w:val="32"/>
          <w:szCs w:val="32"/>
          <w:highlight w:val="none"/>
          <w:lang w:val="en-US" w:eastAsia="zh-CN"/>
        </w:rPr>
        <w:t>40</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40</w:t>
      </w:r>
      <w:r>
        <w:rPr>
          <w:rFonts w:hint="eastAsia" w:ascii="仿宋_GB2312"/>
          <w:color w:val="auto"/>
          <w:sz w:val="32"/>
          <w:szCs w:val="32"/>
          <w:highlight w:val="none"/>
        </w:rPr>
        <w:t>万元</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全年项目</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40</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100</w:t>
      </w:r>
      <w:r>
        <w:rPr>
          <w:rFonts w:hint="eastAsia" w:ascii="仿宋_GB2312"/>
          <w:color w:val="auto"/>
          <w:sz w:val="32"/>
          <w:szCs w:val="32"/>
          <w:highlight w:val="none"/>
          <w:lang w:eastAsia="zh-Hans"/>
        </w:rPr>
        <w:t>%。</w:t>
      </w:r>
    </w:p>
    <w:p w14:paraId="6495D0BF">
      <w:pPr>
        <w:pStyle w:val="4"/>
        <w:numPr>
          <w:ilvl w:val="0"/>
          <w:numId w:val="6"/>
        </w:numPr>
        <w:spacing w:line="600" w:lineRule="exact"/>
        <w:ind w:firstLine="643"/>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14:paraId="2E7D616C">
      <w:pPr>
        <w:spacing w:line="600" w:lineRule="exact"/>
        <w:ind w:firstLine="640"/>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年本单位负责实施的中央补助地方公共文化体系建设补助资金（大盘鸡的故事）项目的绩效目标及指标已经全部达成，不存在偏差情况。</w:t>
      </w:r>
    </w:p>
    <w:bookmarkEnd w:id="16"/>
    <w:bookmarkEnd w:id="17"/>
    <w:p w14:paraId="0C651EC3">
      <w:pPr>
        <w:pStyle w:val="3"/>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14:paraId="2C806F79">
      <w:pPr>
        <w:pStyle w:val="24"/>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（一）主要经验及做法</w:t>
      </w:r>
    </w:p>
    <w:p w14:paraId="74997DD5">
      <w:pPr>
        <w:pStyle w:val="22"/>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1.</w:t>
      </w:r>
      <w:r>
        <w:rPr>
          <w:rFonts w:hint="eastAsia" w:ascii="仿宋_GB2312" w:hAnsi="仿宋_GB2312" w:cs="仿宋_GB2312"/>
          <w:color w:val="auto"/>
          <w:sz w:val="32"/>
          <w:szCs w:val="32"/>
          <w:highlight w:val="none"/>
        </w:rPr>
        <w:t>为有效推进项目工作开展，提高财政资金使用效益，项目领导小组进一步强化项目意识，一项一项抓好具体落实，确保了项目按时保质完成，保障了项目效益发挥。</w:t>
      </w:r>
    </w:p>
    <w:p w14:paraId="0348D1EF">
      <w:pPr>
        <w:pStyle w:val="22"/>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2.</w:t>
      </w:r>
      <w:r>
        <w:rPr>
          <w:rFonts w:hint="eastAsia" w:ascii="仿宋_GB2312" w:hAnsi="仿宋_GB2312" w:cs="仿宋_GB2312"/>
          <w:color w:val="auto"/>
          <w:sz w:val="32"/>
          <w:szCs w:val="32"/>
          <w:highlight w:val="none"/>
        </w:rPr>
        <w:t>通过资料审核对资金执行进度及绩效目标实现程度开展审核，对绩效监控中发现的问题及时整改，强化资金使用过程管理，</w:t>
      </w:r>
      <w:r>
        <w:rPr>
          <w:rFonts w:hint="eastAsia" w:ascii="仿宋_GB2312" w:hAnsi="仿宋_GB2312" w:cs="仿宋_GB2312"/>
          <w:color w:val="auto"/>
          <w:sz w:val="32"/>
          <w:szCs w:val="32"/>
          <w:highlight w:val="none"/>
          <w:lang w:eastAsia="zh-CN"/>
        </w:rPr>
        <w:t>有效地降低了资金偏离</w:t>
      </w:r>
      <w:r>
        <w:rPr>
          <w:rFonts w:hint="eastAsia" w:ascii="仿宋_GB2312" w:hAnsi="仿宋_GB2312" w:cs="仿宋_GB2312"/>
          <w:color w:val="auto"/>
          <w:sz w:val="32"/>
          <w:szCs w:val="32"/>
          <w:highlight w:val="none"/>
        </w:rPr>
        <w:t>政策目标的风险，提高了资金使用效益。</w:t>
      </w:r>
    </w:p>
    <w:p w14:paraId="4AA7AB86">
      <w:pPr>
        <w:pStyle w:val="22"/>
        <w:spacing w:line="600" w:lineRule="exact"/>
        <w:ind w:firstLine="643"/>
        <w:rPr>
          <w:rFonts w:ascii="仿宋_GB2312" w:hAnsi="仿宋_GB2312" w:cs="仿宋_GB2312"/>
          <w:color w:val="auto"/>
          <w:sz w:val="32"/>
          <w:szCs w:val="32"/>
          <w:highlight w:val="none"/>
        </w:rPr>
      </w:pPr>
      <w:bookmarkStart w:id="18" w:name="_Toc68364674"/>
      <w:r>
        <w:rPr>
          <w:rFonts w:ascii="仿宋_GB2312" w:hAnsi="仿宋_GB2312" w:cs="仿宋_GB2312"/>
          <w:b/>
          <w:bCs/>
          <w:color w:val="auto"/>
          <w:sz w:val="32"/>
          <w:szCs w:val="32"/>
          <w:highlight w:val="none"/>
        </w:rPr>
        <w:t>3</w:t>
      </w:r>
      <w:r>
        <w:rPr>
          <w:rFonts w:hint="eastAsia" w:ascii="仿宋_GB2312" w:hAnsi="仿宋_GB2312" w:cs="仿宋_GB2312"/>
          <w:b/>
          <w:bCs/>
          <w:color w:val="auto"/>
          <w:sz w:val="32"/>
          <w:szCs w:val="32"/>
          <w:highlight w:val="none"/>
        </w:rPr>
        <w:t>.</w:t>
      </w:r>
      <w:r>
        <w:rPr>
          <w:rFonts w:hint="eastAsia" w:ascii="仿宋_GB2312" w:hAnsi="仿宋_GB2312" w:cs="仿宋_GB2312"/>
          <w:color w:val="auto"/>
          <w:sz w:val="32"/>
          <w:szCs w:val="32"/>
          <w:highlight w:val="none"/>
        </w:rPr>
        <w:t>及时对项目实施进度与资金支付进度进行全程跟踪问效，发现问题及时解决</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确保项目按计划进行，杜绝截留、挤占或挪用项目资金的情况发生。</w:t>
      </w:r>
    </w:p>
    <w:p w14:paraId="45A55089">
      <w:pPr>
        <w:pStyle w:val="24"/>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（二）存在问题及原因分析</w:t>
      </w:r>
      <w:bookmarkEnd w:id="18"/>
    </w:p>
    <w:p w14:paraId="0D09985C">
      <w:pPr>
        <w:pStyle w:val="22"/>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1.</w:t>
      </w:r>
      <w:r>
        <w:rPr>
          <w:rFonts w:hint="eastAsia" w:ascii="仿宋_GB2312" w:hAnsi="仿宋_GB2312" w:cs="仿宋_GB2312"/>
          <w:color w:val="auto"/>
          <w:sz w:val="32"/>
          <w:szCs w:val="32"/>
          <w:highlight w:val="none"/>
        </w:rPr>
        <w:t>单位对全面实施绩效管理认识不够，绩效水平不高，单位内部绩效管理工作力量薄弱，多数以财务人员牵头开展绩效管理，工作推动机制不全，业务人员业务能力和素质还有待进一步提升。</w:t>
      </w:r>
    </w:p>
    <w:p w14:paraId="5AA61EB2">
      <w:pPr>
        <w:pStyle w:val="22"/>
        <w:spacing w:line="600" w:lineRule="exact"/>
        <w:ind w:firstLine="643"/>
        <w:rPr>
          <w:rFonts w:ascii="仿宋_GB2312" w:hAnsi="仿宋_GB2312" w:cs="仿宋_GB2312"/>
          <w:color w:val="auto"/>
          <w:sz w:val="32"/>
          <w:highlight w:val="none"/>
        </w:rPr>
      </w:pPr>
      <w:r>
        <w:rPr>
          <w:rFonts w:hint="eastAsia" w:ascii="仿宋_GB2312" w:hAnsi="仿宋_GB2312" w:cs="仿宋_GB2312"/>
          <w:b/>
          <w:bCs/>
          <w:color w:val="auto"/>
          <w:sz w:val="32"/>
          <w:szCs w:val="32"/>
          <w:highlight w:val="none"/>
        </w:rPr>
        <w:t>2.</w:t>
      </w:r>
      <w:r>
        <w:rPr>
          <w:rFonts w:hint="eastAsia" w:ascii="仿宋_GB2312" w:hAnsi="仿宋_GB2312" w:cs="仿宋_GB2312"/>
          <w:color w:val="auto"/>
          <w:kern w:val="0"/>
          <w:sz w:val="32"/>
          <w:szCs w:val="32"/>
          <w:highlight w:val="none"/>
        </w:rPr>
        <w:t>单位人员对绩效档案管理工作重视程度不够，不注重关键时间节点材料的鉴定归档，造成绩效管理工作档案缺失</w:t>
      </w:r>
      <w:r>
        <w:rPr>
          <w:rFonts w:hint="eastAsia" w:ascii="仿宋_GB2312" w:hAnsi="仿宋_GB2312" w:cs="仿宋_GB2312"/>
          <w:color w:val="auto"/>
          <w:kern w:val="0"/>
          <w:sz w:val="32"/>
          <w:szCs w:val="32"/>
          <w:highlight w:val="none"/>
          <w:lang w:eastAsia="zh-CN"/>
        </w:rPr>
        <w:t>，</w:t>
      </w:r>
      <w:r>
        <w:rPr>
          <w:rFonts w:hint="eastAsia" w:ascii="仿宋_GB2312" w:hAnsi="仿宋_GB2312" w:cs="仿宋_GB2312"/>
          <w:color w:val="auto"/>
          <w:kern w:val="0"/>
          <w:sz w:val="32"/>
          <w:szCs w:val="32"/>
          <w:highlight w:val="none"/>
        </w:rPr>
        <w:t>档案管</w:t>
      </w:r>
      <w:r>
        <w:rPr>
          <w:rFonts w:hint="eastAsia" w:ascii="仿宋_GB2312" w:hAnsi="仿宋_GB2312" w:cs="仿宋_GB2312"/>
          <w:color w:val="auto"/>
          <w:sz w:val="32"/>
          <w:highlight w:val="none"/>
        </w:rPr>
        <w:t>理与实际业务存在一定偏差，未发挥其综合价值。</w:t>
      </w:r>
    </w:p>
    <w:p w14:paraId="5A467A73">
      <w:pPr>
        <w:pStyle w:val="22"/>
        <w:spacing w:line="600" w:lineRule="exact"/>
        <w:ind w:firstLine="643"/>
        <w:rPr>
          <w:rFonts w:ascii="仿宋_GB2312" w:hAnsi="仿宋_GB2312" w:cs="仿宋_GB2312"/>
          <w:color w:val="auto"/>
          <w:kern w:val="0"/>
          <w:sz w:val="32"/>
          <w:szCs w:val="32"/>
          <w:highlight w:val="none"/>
        </w:rPr>
      </w:pPr>
      <w:r>
        <w:rPr>
          <w:rFonts w:hint="eastAsia" w:ascii="仿宋_GB2312" w:hAnsi="仿宋_GB2312" w:cs="仿宋_GB2312"/>
          <w:b/>
          <w:bCs/>
          <w:color w:val="auto"/>
          <w:sz w:val="32"/>
          <w:szCs w:val="32"/>
          <w:highlight w:val="none"/>
        </w:rPr>
        <w:t>3.</w:t>
      </w:r>
      <w:r>
        <w:rPr>
          <w:rFonts w:hint="eastAsia" w:ascii="仿宋_GB2312" w:hAnsi="仿宋_GB2312" w:cs="仿宋_GB2312"/>
          <w:color w:val="auto"/>
          <w:kern w:val="0"/>
          <w:sz w:val="32"/>
          <w:szCs w:val="32"/>
          <w:highlight w:val="none"/>
        </w:rPr>
        <w:t>项目支出绩效评价工作还存在自我审定的局限性，评价报告多局限于描述项目实施情况，对项目的</w:t>
      </w:r>
      <w:r>
        <w:rPr>
          <w:rFonts w:hint="eastAsia" w:ascii="仿宋_GB2312" w:hAnsi="仿宋_GB2312" w:cs="仿宋_GB2312"/>
          <w:color w:val="auto"/>
          <w:kern w:val="0"/>
          <w:sz w:val="32"/>
          <w:szCs w:val="32"/>
          <w:highlight w:val="none"/>
          <w:lang w:eastAsia="zh-CN"/>
        </w:rPr>
        <w:t>打分不严谨</w:t>
      </w:r>
      <w:r>
        <w:rPr>
          <w:rFonts w:hint="eastAsia" w:ascii="仿宋_GB2312" w:hAnsi="仿宋_GB2312" w:cs="仿宋_GB2312"/>
          <w:color w:val="auto"/>
          <w:kern w:val="0"/>
          <w:sz w:val="32"/>
          <w:szCs w:val="32"/>
          <w:highlight w:val="none"/>
        </w:rPr>
        <w:t>，会影响评价质量。</w:t>
      </w:r>
    </w:p>
    <w:p w14:paraId="6A592AF8">
      <w:pPr>
        <w:pStyle w:val="3"/>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14:paraId="43EDB8F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科学合理编制预算，严格执行预算。进一步提高预算编制到位率，做准做全基本支出预算，做全项目支出预算，加强预算支出的审核、跟踪及预算执行情况分析，提高预算编制严谨性和可控性。</w:t>
      </w:r>
    </w:p>
    <w:p w14:paraId="75E68A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2进一步加强项目资金管理。严格实行项目管理程序化，实现项目申报、实施、拨付、评价全流程监督与控制，规范专项资金管理，提高专项资金的使用效益。</w:t>
      </w:r>
    </w:p>
    <w:p w14:paraId="72DEAC2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3.加强内部管理，严格执行预算，坚持厉行节约，进一步降低财务支出。</w:t>
      </w:r>
    </w:p>
    <w:p w14:paraId="2CDA94B6">
      <w:pPr>
        <w:pStyle w:val="3"/>
        <w:spacing w:line="600" w:lineRule="exact"/>
        <w:ind w:firstLine="640"/>
        <w:rPr>
          <w:color w:val="auto"/>
          <w:szCs w:val="32"/>
          <w:highlight w:val="none"/>
        </w:rPr>
      </w:pPr>
      <w:r>
        <w:rPr>
          <w:rFonts w:hint="eastAsia"/>
          <w:color w:val="auto"/>
          <w:szCs w:val="32"/>
          <w:highlight w:val="none"/>
        </w:rPr>
        <w:t>八、其他需要说明的问题</w:t>
      </w:r>
    </w:p>
    <w:p w14:paraId="3CAA89FD">
      <w:pPr>
        <w:pStyle w:val="22"/>
        <w:spacing w:line="600" w:lineRule="exact"/>
        <w:ind w:firstLine="624"/>
        <w:rPr>
          <w:rFonts w:hint="eastAsia" w:ascii="仿宋_GB2312"/>
          <w:color w:val="auto"/>
          <w:sz w:val="32"/>
          <w:szCs w:val="32"/>
          <w:highlight w:val="none"/>
        </w:rPr>
      </w:pPr>
      <w:r>
        <w:rPr>
          <w:rFonts w:hint="eastAsia"/>
          <w:color w:val="auto"/>
          <w:spacing w:val="-4"/>
          <w:sz w:val="32"/>
          <w:szCs w:val="32"/>
          <w:highlight w:val="none"/>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7F608">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181E036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181E036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18DE0">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399EC">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F452F">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2C324">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78185">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zNDNiMTk4Y2IwMzU3OGZlYTYyNTY0YjI5MmE4ODA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9DA2487"/>
    <w:rsid w:val="0A0847EA"/>
    <w:rsid w:val="12F1313F"/>
    <w:rsid w:val="20A3502D"/>
    <w:rsid w:val="2378574D"/>
    <w:rsid w:val="245E1E24"/>
    <w:rsid w:val="29B55534"/>
    <w:rsid w:val="2B64126D"/>
    <w:rsid w:val="2E483E7E"/>
    <w:rsid w:val="2FF22A22"/>
    <w:rsid w:val="33944516"/>
    <w:rsid w:val="386B35C6"/>
    <w:rsid w:val="3E2D1506"/>
    <w:rsid w:val="49A75425"/>
    <w:rsid w:val="4C806158"/>
    <w:rsid w:val="50F17F9B"/>
    <w:rsid w:val="52C60B53"/>
    <w:rsid w:val="58D65B4A"/>
    <w:rsid w:val="5D7317A1"/>
    <w:rsid w:val="5EDF9208"/>
    <w:rsid w:val="5FAFB075"/>
    <w:rsid w:val="63411987"/>
    <w:rsid w:val="666B65DB"/>
    <w:rsid w:val="68291A1A"/>
    <w:rsid w:val="691B1594"/>
    <w:rsid w:val="6A8A5153"/>
    <w:rsid w:val="6F0D6C22"/>
    <w:rsid w:val="6FD35114"/>
    <w:rsid w:val="6FE70C15"/>
    <w:rsid w:val="6FF38B9B"/>
    <w:rsid w:val="73D9A77D"/>
    <w:rsid w:val="73F90A54"/>
    <w:rsid w:val="7657F55C"/>
    <w:rsid w:val="76D2301A"/>
    <w:rsid w:val="77861774"/>
    <w:rsid w:val="77950EE9"/>
    <w:rsid w:val="77978BBA"/>
    <w:rsid w:val="77FD56A3"/>
    <w:rsid w:val="786D3A99"/>
    <w:rsid w:val="79300B45"/>
    <w:rsid w:val="7AFFA044"/>
    <w:rsid w:val="7C2603C7"/>
    <w:rsid w:val="7C333BDD"/>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8"/>
    <w:qFormat/>
    <w:uiPriority w:val="0"/>
    <w:pPr>
      <w:spacing w:line="240" w:lineRule="auto"/>
    </w:pPr>
    <w:rPr>
      <w:sz w:val="18"/>
      <w:szCs w:val="18"/>
    </w:rPr>
  </w:style>
  <w:style w:type="paragraph" w:styleId="8">
    <w:name w:val="footer"/>
    <w:basedOn w:val="1"/>
    <w:link w:val="2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Cambria" w:hAnsi="Cambria" w:eastAsia="宋体"/>
      <w:b/>
      <w:bCs/>
      <w:kern w:val="28"/>
      <w:sz w:val="32"/>
      <w:szCs w:val="3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7"/>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8"/>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2"/>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7137</Words>
  <Characters>7460</Characters>
  <Lines>62</Lines>
  <Paragraphs>17</Paragraphs>
  <TotalTime>4</TotalTime>
  <ScaleCrop>false</ScaleCrop>
  <LinksUpToDate>false</LinksUpToDate>
  <CharactersWithSpaces>7472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潘猫咪</cp:lastModifiedBy>
  <cp:lastPrinted>2021-03-04T11:49:00Z</cp:lastPrinted>
  <dcterms:modified xsi:type="dcterms:W3CDTF">2024-11-08T13:31:01Z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513D3ED8E4AB48418A7C1DB971A37E23_13</vt:lpwstr>
  </property>
</Properties>
</file>