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沙湾市文工团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hAnsi="仿宋_GB2312" w:eastAsia="仿宋_GB2312" w:cs="仿宋_GB2312"/>
          <w:sz w:val="32"/>
          <w:szCs w:val="32"/>
          <w:highlight w:val="none"/>
          <w:lang w:val="en-US" w:eastAsia="zh-CN"/>
        </w:rPr>
      </w:pPr>
      <w:bookmarkStart w:id="4" w:name="_Toc31238"/>
      <w:bookmarkStart w:id="5" w:name="_Toc2151"/>
      <w:r>
        <w:rPr>
          <w:rFonts w:hint="eastAsia" w:ascii="仿宋_GB2312" w:hAnsi="仿宋_GB2312" w:eastAsia="仿宋_GB2312" w:cs="仿宋_GB2312"/>
          <w:sz w:val="32"/>
          <w:szCs w:val="32"/>
          <w:highlight w:val="none"/>
          <w:lang w:val="en-US" w:eastAsia="zh-CN"/>
        </w:rPr>
        <w:t>1、宣传党的路线、方针、政策和市委、市政府的决策部署，为我市的经济社会协调发展服务。</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2、坚持“贴近实际、贴近群众、贴近生活”的原则，创作出深受各族群众喜爱的文艺作品。</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3、遵循先进文化的前进方向，坚持为人民服务、为社会主义服务的方向和百花齐放、百家争鸣的方针，积极宣传爱国主义、集体主义、社会主义义思想。</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4、虚心向人民群众学习。向生活学习。从人民群众的伟大实践和丰富多彩的生活中汲取营养，不断进行生活和艺术的积累，为人民群众提供最好的精神食粮。</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5、丰富人民群众精神文化生活，并积极创作有利于群众性文艺活动蓬勃开展的优秀作品。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沙湾市文工团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highlight w:val="none"/>
        </w:rPr>
      </w:pPr>
      <w:bookmarkStart w:id="6" w:name="_Toc3092"/>
      <w:bookmarkStart w:id="7" w:name="_Toc29374"/>
      <w:r>
        <w:rPr>
          <w:rFonts w:hint="eastAsia" w:ascii="仿宋_GB2312" w:eastAsia="仿宋_GB2312"/>
          <w:sz w:val="32"/>
          <w:szCs w:val="32"/>
          <w:highlight w:val="none"/>
          <w:lang w:eastAsia="zh-CN"/>
        </w:rPr>
        <w:t>该单位无</w:t>
      </w:r>
      <w:r>
        <w:rPr>
          <w:rFonts w:hint="eastAsia" w:ascii="仿宋_GB2312" w:eastAsia="仿宋_GB2312"/>
          <w:sz w:val="32"/>
          <w:szCs w:val="32"/>
          <w:highlight w:val="none"/>
        </w:rPr>
        <w:t>下属预算单位，下设1个处室，分别是：办公室。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146.28万元，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146.28万元，使用非财政拨款结余0.00万元，年初结转和结余0.00万元。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146.28万元，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146.28万元，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增加9.72万元</w:t>
      </w:r>
      <w:r>
        <w:rPr>
          <w:rFonts w:hint="eastAsia" w:ascii="仿宋_GB2312" w:eastAsia="仿宋_GB2312"/>
          <w:color w:val="auto"/>
          <w:spacing w:val="0"/>
          <w:sz w:val="32"/>
          <w:szCs w:val="32"/>
          <w:highlight w:val="none"/>
          <w:lang w:eastAsia="zh-CN"/>
        </w:rPr>
        <w:t>，增长7.12%，主要原因是：本年增加了自治区文艺扶持激励项目资金-舞台剧大盘鸡的故事。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146.28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146.28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本年支出146.28万元，其中：基本支出106.28万元，占72.66%；项目支出40.00万元，占27.34%；上缴上级支出0.00万元，占0.00%；经营支出0.00万元，占0.00%；对附属单位补助支出0.00万元，占0.00%。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146.28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146.28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146.28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146.28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增长7.12%,</w:t>
      </w:r>
      <w:r>
        <w:rPr>
          <w:rFonts w:hint="eastAsia" w:ascii="仿宋_GB2312" w:eastAsia="仿宋_GB2312"/>
          <w:color w:val="auto"/>
          <w:spacing w:val="0"/>
          <w:sz w:val="32"/>
          <w:szCs w:val="32"/>
          <w:highlight w:val="none"/>
          <w:lang w:eastAsia="zh-CN"/>
        </w:rPr>
        <w:t>主要原因是：本年增加了自治区文艺扶持激励项目资金-舞台剧大盘鸡的故事。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151.52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146.28</w:t>
      </w:r>
      <w:r>
        <w:rPr>
          <w:rFonts w:hint="eastAsia" w:ascii="仿宋_GB2312" w:eastAsia="仿宋_GB2312"/>
          <w:color w:val="auto"/>
          <w:spacing w:val="0"/>
          <w:sz w:val="32"/>
          <w:szCs w:val="32"/>
          <w:highlight w:val="none"/>
          <w:lang w:eastAsia="zh-CN"/>
        </w:rPr>
        <w:t>万元，预决算差异率-3.46%，主要原因是：</w:t>
      </w:r>
      <w:r>
        <w:rPr>
          <w:rFonts w:hint="eastAsia" w:ascii="仿宋_GB2312" w:eastAsia="仿宋_GB2312"/>
          <w:color w:val="auto"/>
          <w:spacing w:val="0"/>
          <w:sz w:val="32"/>
          <w:szCs w:val="32"/>
          <w:highlight w:val="none"/>
          <w:lang w:val="en-US" w:eastAsia="zh-CN"/>
        </w:rPr>
        <w:t>本年美食节经费没有支付，导致决算数小于预算数，产生了预决算差异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2023年度一般公共预算财政拨款支出146.28万元，占本年支出合计的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增长7.12%,</w:t>
      </w:r>
      <w:r>
        <w:rPr>
          <w:rFonts w:hint="eastAsia" w:ascii="仿宋_GB2312" w:eastAsia="仿宋_GB2312"/>
          <w:color w:val="auto"/>
          <w:spacing w:val="0"/>
          <w:sz w:val="32"/>
          <w:szCs w:val="32"/>
          <w:highlight w:val="none"/>
          <w:lang w:eastAsia="zh-CN"/>
        </w:rPr>
        <w:t>主要原因是：本年增加了自治区文艺扶持激励项目资金-舞台剧大盘鸡的故事。与年初预算相比，年初预算数</w:t>
      </w:r>
      <w:r>
        <w:rPr>
          <w:rFonts w:hint="eastAsia" w:ascii="仿宋_GB2312" w:eastAsia="仿宋_GB2312"/>
          <w:color w:val="auto"/>
          <w:spacing w:val="0"/>
          <w:sz w:val="32"/>
          <w:szCs w:val="32"/>
          <w:highlight w:val="none"/>
          <w:lang w:val="zh-CN" w:eastAsia="zh-CN"/>
        </w:rPr>
        <w:t>151.52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146.28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本年美食节经费没有支付，导致决算数小于预算数，产生了预决算差异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126.21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86.28%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7.58%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3.97%。</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1.卫生健康支出（类）行政事业单位医疗（款）事业单位医疗（项）:支出决算数为3.17万元，比上年决算减少2.98万元，下降48.46%，主要原因是：财聘人员减少4人</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，导致本年比上年决算减少2.98万元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2.住房保障支出（类）住房改革支出（款）住房公积金（项）:支出决算数为5.81万元，比上年决算增加0.68万元，增长13.26%，主要原因是：</w:t>
      </w:r>
      <w:r>
        <w:rPr>
          <w:rFonts w:hint="eastAsia" w:ascii="仿宋_GB2312" w:hAnsi="仿宋_GB2312" w:eastAsia="仿宋_GB2312" w:cs="仿宋_GB2312"/>
          <w:color w:val="auto"/>
          <w:kern w:val="2"/>
          <w:sz w:val="32"/>
          <w:szCs w:val="32"/>
          <w:highlight w:val="none"/>
          <w:lang w:val="zh-CN" w:eastAsia="zh-CN" w:bidi="ar-SA"/>
        </w:rPr>
        <w:t>公积金基数调整，</w:t>
      </w:r>
      <w:r>
        <w:rPr>
          <w:rFonts w:hint="eastAsia" w:ascii="仿宋_GB2312" w:hAnsi="仿宋_GB2312" w:eastAsia="仿宋_GB2312" w:cs="仿宋_GB2312"/>
          <w:color w:val="auto"/>
          <w:kern w:val="2"/>
          <w:sz w:val="32"/>
          <w:szCs w:val="32"/>
          <w:highlight w:val="none"/>
          <w:lang w:val="en-US" w:eastAsia="zh-CN" w:bidi="ar-SA"/>
        </w:rPr>
        <w:t>导致本年比上年决算增加0.68万元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3.文化旅游体育与传媒支出（类）文化和旅游（款）其他文化和旅游支出（项）:支出决算数为30.00万元，比上年决算增加30.00万元，增长100%，主要原因是：</w:t>
      </w:r>
      <w:r>
        <w:rPr>
          <w:rFonts w:hint="eastAsia" w:ascii="仿宋_GB2312" w:eastAsia="仿宋_GB2312"/>
          <w:color w:val="auto"/>
          <w:spacing w:val="0"/>
          <w:sz w:val="32"/>
          <w:szCs w:val="32"/>
          <w:highlight w:val="none"/>
          <w:lang w:eastAsia="zh-CN"/>
        </w:rPr>
        <w:t>本年增加了自治区文艺扶持激励项目资金-舞台剧大盘鸡的故事。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4.社会保障和就业支出（类）行政事业单位养老支出（款）事业单位离退休（项）:支出决算数为3.69万元，比上年决算增加1.78万元，增长93.19%，主要原因是：</w:t>
      </w:r>
      <w:r>
        <w:rPr>
          <w:rFonts w:hint="eastAsia" w:ascii="仿宋_GB2312" w:hAnsi="仿宋_GB2312" w:eastAsia="仿宋_GB2312" w:cs="仿宋_GB2312"/>
          <w:color w:val="auto"/>
          <w:kern w:val="2"/>
          <w:sz w:val="32"/>
          <w:szCs w:val="32"/>
          <w:highlight w:val="none"/>
          <w:lang w:val="zh-CN" w:eastAsia="zh-CN" w:bidi="ar-SA"/>
        </w:rPr>
        <w:t>本年退休工资调标，</w:t>
      </w:r>
      <w:r>
        <w:rPr>
          <w:rFonts w:hint="eastAsia" w:ascii="仿宋_GB2312" w:hAnsi="仿宋_GB2312" w:eastAsia="仿宋_GB2312" w:cs="仿宋_GB2312"/>
          <w:color w:val="auto"/>
          <w:kern w:val="2"/>
          <w:sz w:val="32"/>
          <w:szCs w:val="32"/>
          <w:highlight w:val="none"/>
          <w:lang w:val="en-US" w:eastAsia="zh-CN" w:bidi="ar-SA"/>
        </w:rPr>
        <w:t>新增一名退休人员，导致本年比上年决算增加1.78万元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5.文化旅游体育与传媒支出（类）其他文化旅游体育与传媒支出（款）其他文化旅游体育与传媒支出（项）:支出决算数为10.00万元，比上年决算增加10.00万元，增长100%，主要原因是：本年增加了</w:t>
      </w:r>
      <w:r>
        <w:rPr>
          <w:rFonts w:hint="eastAsia" w:ascii="仿宋_GB2312" w:hAnsi="仿宋_GB2312" w:eastAsia="仿宋_GB2312" w:cs="仿宋_GB2312"/>
          <w:color w:val="auto"/>
          <w:kern w:val="2"/>
          <w:sz w:val="32"/>
          <w:szCs w:val="32"/>
          <w:highlight w:val="none"/>
          <w:lang w:val="zh-CN" w:eastAsia="zh-CN" w:bidi="ar-SA"/>
        </w:rPr>
        <w:t>2023年中央补助地方公共文化服务体系建设补助资金</w:t>
      </w:r>
      <w:r>
        <w:rPr>
          <w:rFonts w:hint="eastAsia" w:ascii="仿宋_GB2312" w:hAnsi="仿宋_GB2312" w:eastAsia="仿宋_GB2312" w:cs="仿宋_GB2312"/>
          <w:color w:val="auto"/>
          <w:kern w:val="2"/>
          <w:sz w:val="32"/>
          <w:szCs w:val="32"/>
          <w:highlight w:val="none"/>
          <w:lang w:val="en-US" w:eastAsia="zh-CN" w:bidi="ar-SA"/>
        </w:rPr>
        <w:t>10万元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6.文化旅游体育与传媒支出（类）文化和旅游（款）艺术表演团体（项）:支出决算数为86.21万元，比上年决算减少24.40万元，下降22.06%，主要原因是：</w:t>
      </w:r>
      <w:r>
        <w:rPr>
          <w:rFonts w:hint="eastAsia" w:ascii="仿宋_GB2312" w:hAnsi="仿宋_GB2312" w:eastAsia="仿宋_GB2312" w:cs="仿宋_GB2312"/>
          <w:color w:val="auto"/>
          <w:kern w:val="2"/>
          <w:sz w:val="32"/>
          <w:szCs w:val="32"/>
          <w:highlight w:val="none"/>
          <w:lang w:val="zh-CN" w:eastAsia="zh-CN" w:bidi="ar-SA"/>
        </w:rPr>
        <w:t>本年减少了财聘人员工资。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7.社会保障和就业支出（类）行政事业单位养老支出（款）机关事业单位基本养老保险缴费支出（项）:支出决算数为7.41万元，比上年决算增加0.61万元，增长8.97%，主要原因是：</w:t>
      </w:r>
      <w:r>
        <w:rPr>
          <w:rFonts w:hint="eastAsia" w:ascii="仿宋_GB2312" w:hAnsi="仿宋_GB2312" w:eastAsia="仿宋_GB2312" w:cs="仿宋_GB2312"/>
          <w:color w:val="auto"/>
          <w:kern w:val="2"/>
          <w:sz w:val="32"/>
          <w:szCs w:val="32"/>
          <w:highlight w:val="none"/>
          <w:lang w:val="zh-CN" w:eastAsia="zh-CN" w:bidi="ar-SA"/>
        </w:rPr>
        <w:t>养老保险基数调整，</w:t>
      </w:r>
      <w:r>
        <w:rPr>
          <w:rFonts w:hint="eastAsia" w:ascii="仿宋_GB2312" w:hAnsi="仿宋_GB2312" w:eastAsia="仿宋_GB2312" w:cs="仿宋_GB2312"/>
          <w:color w:val="auto"/>
          <w:kern w:val="2"/>
          <w:sz w:val="32"/>
          <w:szCs w:val="32"/>
          <w:highlight w:val="none"/>
          <w:lang w:val="en-US" w:eastAsia="zh-CN" w:bidi="ar-SA"/>
        </w:rPr>
        <w:t>导致本年比上年决算增加0.61万元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8.社会保障和就业支出（类）行政事业单位养老支出（款）机关事业单位职业年金缴费支出（项）:支出决算数为0.00万元，比上年决算减少5.96万元，下降100%，主要原因是：</w:t>
      </w:r>
      <w:r>
        <w:rPr>
          <w:rFonts w:hint="eastAsia" w:ascii="仿宋_GB2312" w:hAnsi="仿宋_GB2312" w:eastAsia="仿宋_GB2312" w:cs="仿宋_GB2312"/>
          <w:color w:val="auto"/>
          <w:kern w:val="2"/>
          <w:sz w:val="32"/>
          <w:szCs w:val="32"/>
          <w:highlight w:val="none"/>
          <w:lang w:val="zh-CN" w:eastAsia="zh-CN" w:bidi="ar-SA"/>
        </w:rPr>
        <w:t>本年没有新增退休人员，没有缴纳职业年金。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106.28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104.49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基本工资、津贴补贴、奖金、绩效工资、机关事业单位基本养老保险缴费、职工基本医疗保险缴费、其他社会保障缴费、住房公积金、其他工资福利支出、退休费、生活补助。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1.79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办公费、取暖费、工会经费。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2022年文工团无三公经费支出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w:t>
      </w:r>
      <w:r>
        <w:rPr>
          <w:rFonts w:hint="eastAsia" w:ascii="仿宋_GB2312" w:eastAsia="仿宋_GB2312"/>
          <w:sz w:val="32"/>
          <w:szCs w:val="32"/>
          <w:highlight w:val="none"/>
          <w:lang w:eastAsia="zh-CN"/>
        </w:rPr>
        <w:t>该单位无</w:t>
      </w:r>
      <w:r>
        <w:rPr>
          <w:rFonts w:hint="eastAsia" w:ascii="仿宋_GB2312" w:eastAsia="仿宋_GB2312"/>
          <w:sz w:val="32"/>
          <w:szCs w:val="32"/>
          <w:highlight w:val="none"/>
        </w:rPr>
        <w:t>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w:t>
      </w:r>
      <w:r>
        <w:rPr>
          <w:rFonts w:hint="eastAsia" w:ascii="仿宋_GB2312" w:eastAsia="仿宋_GB2312"/>
          <w:sz w:val="32"/>
          <w:szCs w:val="32"/>
          <w:highlight w:val="none"/>
          <w:lang w:eastAsia="zh-CN"/>
        </w:rPr>
        <w:t>该单位无</w:t>
      </w:r>
      <w:r>
        <w:rPr>
          <w:rFonts w:hint="eastAsia" w:ascii="仿宋_GB2312" w:eastAsia="仿宋_GB2312"/>
          <w:sz w:val="32"/>
          <w:szCs w:val="32"/>
          <w:highlight w:val="none"/>
        </w:rPr>
        <w:t>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w:t>
      </w:r>
      <w:r>
        <w:rPr>
          <w:rFonts w:hint="eastAsia" w:ascii="仿宋_GB2312" w:eastAsia="仿宋_GB2312"/>
          <w:sz w:val="32"/>
          <w:szCs w:val="32"/>
          <w:highlight w:val="none"/>
          <w:lang w:eastAsia="zh-CN"/>
        </w:rPr>
        <w:t>该单位无</w:t>
      </w:r>
      <w:r>
        <w:rPr>
          <w:rFonts w:hint="eastAsia" w:ascii="仿宋_GB2312" w:eastAsia="仿宋_GB2312"/>
          <w:sz w:val="32"/>
          <w:szCs w:val="32"/>
          <w:highlight w:val="none"/>
        </w:rPr>
        <w:t>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w:t>
      </w:r>
      <w:r>
        <w:rPr>
          <w:rFonts w:hint="eastAsia" w:ascii="仿宋_GB2312" w:eastAsia="仿宋_GB2312"/>
          <w:sz w:val="32"/>
          <w:szCs w:val="32"/>
          <w:highlight w:val="none"/>
          <w:lang w:eastAsia="zh-CN"/>
        </w:rPr>
        <w:t>该单位无</w:t>
      </w:r>
      <w:r>
        <w:rPr>
          <w:rFonts w:hint="eastAsia" w:ascii="仿宋_GB2312" w:eastAsia="仿宋_GB2312"/>
          <w:sz w:val="32"/>
          <w:szCs w:val="32"/>
          <w:highlight w:val="none"/>
        </w:rPr>
        <w:t>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w:t>
      </w:r>
      <w:r>
        <w:rPr>
          <w:rFonts w:hint="eastAsia" w:ascii="仿宋_GB2312" w:eastAsia="仿宋_GB2312"/>
          <w:sz w:val="32"/>
          <w:szCs w:val="32"/>
          <w:highlight w:val="none"/>
          <w:lang w:eastAsia="zh-CN"/>
        </w:rPr>
        <w:t>该单位无</w:t>
      </w:r>
      <w:r>
        <w:rPr>
          <w:rFonts w:hint="eastAsia" w:ascii="仿宋_GB2312" w:eastAsia="仿宋_GB2312"/>
          <w:sz w:val="32"/>
          <w:szCs w:val="32"/>
          <w:highlight w:val="none"/>
        </w:rPr>
        <w:t>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highlight w:val="none"/>
        </w:rPr>
        <w:t>我</w:t>
      </w:r>
      <w:r>
        <w:rPr>
          <w:rFonts w:hint="eastAsia" w:ascii="仿宋_GB2312" w:eastAsia="仿宋_GB2312"/>
          <w:sz w:val="32"/>
          <w:szCs w:val="32"/>
          <w:highlight w:val="none"/>
          <w:lang w:eastAsia="zh-CN"/>
        </w:rPr>
        <w:t>单位</w:t>
      </w:r>
      <w:r>
        <w:rPr>
          <w:rFonts w:hint="eastAsia" w:ascii="仿宋_GB2312" w:eastAsia="仿宋_GB2312"/>
          <w:sz w:val="32"/>
          <w:szCs w:val="32"/>
          <w:highlight w:val="none"/>
          <w:lang w:val="en-US" w:eastAsia="zh-CN"/>
        </w:rPr>
        <w:t>本年因下乡演出减少，没有使用演出车，</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公务用车运行维护费开支</w:t>
      </w: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w:t>
      </w:r>
      <w:r>
        <w:rPr>
          <w:rFonts w:hint="eastAsia" w:ascii="仿宋_GB2312" w:eastAsia="仿宋_GB2312"/>
          <w:sz w:val="32"/>
          <w:szCs w:val="32"/>
          <w:highlight w:val="none"/>
          <w:lang w:eastAsia="zh-CN"/>
        </w:rPr>
        <w:t>该单位无</w:t>
      </w:r>
      <w:r>
        <w:rPr>
          <w:rFonts w:hint="eastAsia" w:ascii="仿宋_GB2312" w:eastAsia="仿宋_GB2312"/>
          <w:sz w:val="32"/>
          <w:szCs w:val="32"/>
          <w:highlight w:val="none"/>
        </w:rPr>
        <w:t>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沙湾市文工团（事业单位）公用经费支出1.79万元，</w:t>
      </w:r>
      <w:r>
        <w:rPr>
          <w:rFonts w:hint="eastAsia" w:ascii="仿宋_GB2312" w:hAnsi="仿宋_GB2312" w:eastAsia="仿宋_GB2312" w:cs="仿宋_GB2312"/>
          <w:color w:val="auto"/>
          <w:sz w:val="32"/>
          <w:szCs w:val="32"/>
          <w:highlight w:val="none"/>
          <w:lang w:val="zh-CN" w:eastAsia="zh-CN"/>
        </w:rPr>
        <w:t>比上年增加0.54万元，增长43.20%，主要原因是：本年因业务需要，增加了培训费、差旅费的支出。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1.75万元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其中：政府采购货物支出1.75万元、政府采购工程支出0.00万元、政府采购服务支出0.00万元。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授予中小企业合同金额1.75万元，占政府采购支出总额的100.00%，其中：授予小微企业合同金额1.75万元，占政府采购支出总额的100.00%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106.00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屋0.00平方米，价值0.00万元。车辆1辆，价值45.43万元，其中：副部（省）级及以上领导用车0辆、主要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用车0辆、其他用车1辆，其他用车主要是：演出用大巴车；单价100万元（含）以上设备（不含车辆）0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预算总额146.28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实际执行总额146.28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rPr>
        <w:t>预算绩效管理取得的成效：一是开展二胡、小品、朗读、舞蹈等培训班（活动）12期，基层文化活动氛围日益浓厚；二是加大对全县20个文化协会及社团的管理和扶持力度，提高社团参与群众文化积极性和作用发挥。发现的问题及原因：一是年初绩效目标没有细化指标；二是年初计划安排资金，对资金范围、项目标准、资金申报及审核程序作出了明细规定，但未作出可衡量的绩效指标体系，实际工作执行中，可能会导致超预算的可能性。下一步改进措施：一是高度重视财政预决算工作，加强预算的约束力；二是提高预算编制的合理性和准确性。考虑年度实际情况编制预算的同时，提高成本节约率，让预算发挥更加切实可靠的指导意义。</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本该单位无其他需说明事项。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MGQ3Yjg5NmM2MWVjZmJiZWQzMzUwMGE1ZTAxZDYifQ=="/>
    <w:docVar w:name="KSO_WPS_MARK_KEY" w:val="41ee2a61-2d54-4f93-83be-afdb9a40d732"/>
  </w:docVars>
  <w:rsids>
    <w:rsidRoot w:val="00000000"/>
    <w:rsid w:val="00213C59"/>
    <w:rsid w:val="003210CE"/>
    <w:rsid w:val="004267CA"/>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4F2C3F"/>
    <w:rsid w:val="06792773"/>
    <w:rsid w:val="06FD75CA"/>
    <w:rsid w:val="07093795"/>
    <w:rsid w:val="07804730"/>
    <w:rsid w:val="079052BE"/>
    <w:rsid w:val="08145C21"/>
    <w:rsid w:val="08422688"/>
    <w:rsid w:val="085854ED"/>
    <w:rsid w:val="0879188F"/>
    <w:rsid w:val="08A0354D"/>
    <w:rsid w:val="08A34C3B"/>
    <w:rsid w:val="08CD4C49"/>
    <w:rsid w:val="09114954"/>
    <w:rsid w:val="095A5B83"/>
    <w:rsid w:val="096466E3"/>
    <w:rsid w:val="0968304D"/>
    <w:rsid w:val="09AF3D17"/>
    <w:rsid w:val="0A7809B7"/>
    <w:rsid w:val="0A7B4867"/>
    <w:rsid w:val="0A840954"/>
    <w:rsid w:val="0A9928ED"/>
    <w:rsid w:val="0B2D4B86"/>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0805BA"/>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CDA2E0B"/>
    <w:rsid w:val="1D22799A"/>
    <w:rsid w:val="1D4B1F5B"/>
    <w:rsid w:val="1D5C1A72"/>
    <w:rsid w:val="1DAF458D"/>
    <w:rsid w:val="1E086ACE"/>
    <w:rsid w:val="1E62130A"/>
    <w:rsid w:val="1E97358B"/>
    <w:rsid w:val="1EAA4A5F"/>
    <w:rsid w:val="1EE869A7"/>
    <w:rsid w:val="1F3F37CF"/>
    <w:rsid w:val="1F582C05"/>
    <w:rsid w:val="1FA15E62"/>
    <w:rsid w:val="1FBC1F26"/>
    <w:rsid w:val="1FED69B6"/>
    <w:rsid w:val="2064678E"/>
    <w:rsid w:val="20DC1AB9"/>
    <w:rsid w:val="20DD6197"/>
    <w:rsid w:val="212631E0"/>
    <w:rsid w:val="2138666F"/>
    <w:rsid w:val="21742080"/>
    <w:rsid w:val="21A53757"/>
    <w:rsid w:val="21F879E1"/>
    <w:rsid w:val="221236C6"/>
    <w:rsid w:val="22D7662C"/>
    <w:rsid w:val="22FF35CB"/>
    <w:rsid w:val="23326B7F"/>
    <w:rsid w:val="2380045B"/>
    <w:rsid w:val="23BC04D2"/>
    <w:rsid w:val="23EF1892"/>
    <w:rsid w:val="2483647E"/>
    <w:rsid w:val="24A32D55"/>
    <w:rsid w:val="24CE6D9A"/>
    <w:rsid w:val="25292727"/>
    <w:rsid w:val="252E5CA9"/>
    <w:rsid w:val="25695DEA"/>
    <w:rsid w:val="256F7692"/>
    <w:rsid w:val="25BA2154"/>
    <w:rsid w:val="25C8773F"/>
    <w:rsid w:val="25FB5662"/>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E076FA"/>
    <w:rsid w:val="2FFE4BB0"/>
    <w:rsid w:val="300E7B60"/>
    <w:rsid w:val="300F6E18"/>
    <w:rsid w:val="30862F5F"/>
    <w:rsid w:val="30A4775A"/>
    <w:rsid w:val="314029C9"/>
    <w:rsid w:val="31C63837"/>
    <w:rsid w:val="31C82E39"/>
    <w:rsid w:val="31CC2DA4"/>
    <w:rsid w:val="32601BAD"/>
    <w:rsid w:val="329F6389"/>
    <w:rsid w:val="3389023A"/>
    <w:rsid w:val="33AE6048"/>
    <w:rsid w:val="33CB74FA"/>
    <w:rsid w:val="340F5C46"/>
    <w:rsid w:val="343642F2"/>
    <w:rsid w:val="343F3010"/>
    <w:rsid w:val="345D0A00"/>
    <w:rsid w:val="34713BFD"/>
    <w:rsid w:val="349E44B7"/>
    <w:rsid w:val="34C13589"/>
    <w:rsid w:val="353369E3"/>
    <w:rsid w:val="355E1F6E"/>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813AF8"/>
    <w:rsid w:val="4A934476"/>
    <w:rsid w:val="4AAA220A"/>
    <w:rsid w:val="4ABE7B9B"/>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7B19CF"/>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275D34"/>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7F52FC"/>
    <w:rsid w:val="618E3791"/>
    <w:rsid w:val="61947DCA"/>
    <w:rsid w:val="61A46A97"/>
    <w:rsid w:val="61D1382F"/>
    <w:rsid w:val="61F114A2"/>
    <w:rsid w:val="622B0ABA"/>
    <w:rsid w:val="62512BB4"/>
    <w:rsid w:val="625D7D1A"/>
    <w:rsid w:val="62660469"/>
    <w:rsid w:val="62DD7D21"/>
    <w:rsid w:val="62E775FD"/>
    <w:rsid w:val="62E9273F"/>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535261"/>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364B90"/>
    <w:rsid w:val="74631C05"/>
    <w:rsid w:val="748D790E"/>
    <w:rsid w:val="749820CC"/>
    <w:rsid w:val="749949C5"/>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9E0306"/>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A737B9"/>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5378</Words>
  <Characters>5991</Characters>
  <Lines>0</Lines>
  <Paragraphs>0</Paragraphs>
  <TotalTime>10</TotalTime>
  <ScaleCrop>false</ScaleCrop>
  <LinksUpToDate>false</LinksUpToDate>
  <CharactersWithSpaces>6002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2024-11-21T10:09:31Z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