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沙湾市文化馆</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hAnsi="仿宋_GB2312" w:eastAsia="仿宋_GB2312" w:cs="仿宋_GB2312"/>
          <w:sz w:val="32"/>
          <w:szCs w:val="32"/>
          <w:highlight w:val="none"/>
        </w:rPr>
      </w:pPr>
      <w:bookmarkStart w:id="4" w:name="_Toc31238"/>
      <w:bookmarkStart w:id="5" w:name="_Toc2151"/>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、面向农村、厂矿、企业、街道，组织辅导群众开展业余创作和业余文化艺术、娱乐活动，搜集、整理当地民族、民间的文学艺术遗产。</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2、加强对乡镇文化业务的辅导，促进农村文化事业发展。</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3、举办训练班、业余学校，培训各种业余文艺骨干，组织业余文艺创作，编印群众文艺演唱材料等。</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4、负责起草沙湾</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非物质文化遗产保护工程规划、实施方案及有关工作制度、规程和实施细则。</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5、受理、初审各乡(镇)场申报沙湾</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非物质文化遗产保护工程项目、非物质文化遗产代表作、非物质文化遗产原生态保护区等候选项目，并对被列为非物质文化遗产保护工程项目、非物质文化遗产代表作名录的项目进行日常监管和组织评估检查。</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6、建立并管理沙湾</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非物质文化遗产保护工程档案、资料数据库和网络平台。</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7、承担全</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非物质文化遗产保护工程管理人员、专业技术人员的培训工作。</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8、指导全</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非物质文化遗产保护工作，收集各单位、部门开展文化遗产保护工作的信息。</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9、开展非物质文化遗产专业研究、宣传推介和促进传承等工作。</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10、编撰、出版与展示非物质文化遗产保护成果。</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11、负责沙湾</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rPr>
        <w:t>大盘美食城展厅及各类考察、会议的解说工作。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沙湾市文化馆</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3092"/>
      <w:bookmarkStart w:id="7" w:name="_Toc29374"/>
      <w:r>
        <w:rPr>
          <w:rFonts w:hint="eastAsia" w:ascii="仿宋_GB2312" w:eastAsia="仿宋_GB2312"/>
          <w:sz w:val="32"/>
          <w:szCs w:val="32"/>
          <w:highlight w:val="none"/>
          <w:lang w:eastAsia="zh-CN"/>
        </w:rPr>
        <w:t>该单位无下属预算单位，下设1个处室，分别是：办公室。</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174.35万元，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174.35万元，使用非财政拨款结余0.00万元，年初结转和结余0.00万元。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174.35万元，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174.35万元，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增加59.59万元</w:t>
      </w:r>
      <w:r>
        <w:rPr>
          <w:rFonts w:hint="eastAsia" w:ascii="仿宋_GB2312" w:eastAsia="仿宋_GB2312"/>
          <w:color w:val="auto"/>
          <w:spacing w:val="0"/>
          <w:sz w:val="32"/>
          <w:szCs w:val="32"/>
          <w:highlight w:val="none"/>
          <w:lang w:eastAsia="zh-CN"/>
        </w:rPr>
        <w:t>，增长51.93%，主要原因是：本年增加了文化馆</w:t>
      </w:r>
      <w:r>
        <w:rPr>
          <w:rFonts w:hint="eastAsia" w:ascii="仿宋_GB2312" w:eastAsia="仿宋_GB2312"/>
          <w:color w:val="auto"/>
          <w:spacing w:val="0"/>
          <w:sz w:val="32"/>
          <w:szCs w:val="32"/>
          <w:highlight w:val="none"/>
          <w:lang w:val="en-US" w:eastAsia="zh-CN"/>
        </w:rPr>
        <w:t>还历欠款</w:t>
      </w:r>
      <w:r>
        <w:rPr>
          <w:rFonts w:hint="eastAsia" w:ascii="仿宋_GB2312" w:eastAsia="仿宋_GB2312"/>
          <w:color w:val="auto"/>
          <w:spacing w:val="0"/>
          <w:sz w:val="32"/>
          <w:szCs w:val="32"/>
          <w:highlight w:val="none"/>
          <w:lang w:eastAsia="zh-CN"/>
        </w:rPr>
        <w:t>，文化馆免费开放项目增加到了</w:t>
      </w:r>
      <w:r>
        <w:rPr>
          <w:rFonts w:hint="eastAsia" w:ascii="仿宋_GB2312" w:eastAsia="仿宋_GB2312"/>
          <w:color w:val="auto"/>
          <w:spacing w:val="0"/>
          <w:sz w:val="32"/>
          <w:szCs w:val="32"/>
          <w:highlight w:val="none"/>
          <w:lang w:val="en-US" w:eastAsia="zh-CN"/>
        </w:rPr>
        <w:t>29.8万元，人员工资调标、社保缴费、住房公积金基数调整，公用经费增加导致本年收入支出总体较上年增加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174.35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174.35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本年支出174.35万元，其中：基本支出144.45万元，占82.85%；项目支出29.90万元，占17.15%；上缴上级支出0.00万元，占0.00%；经营支出0.00万元，占0.00%；对附属单位补助支出0.00万元，占0.00%。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增加59.59万元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增长51.93%,</w:t>
      </w:r>
      <w:r>
        <w:rPr>
          <w:rFonts w:hint="eastAsia" w:ascii="仿宋_GB2312" w:eastAsia="仿宋_GB2312"/>
          <w:color w:val="auto"/>
          <w:spacing w:val="0"/>
          <w:sz w:val="32"/>
          <w:szCs w:val="32"/>
          <w:highlight w:val="none"/>
          <w:lang w:eastAsia="zh-CN"/>
        </w:rPr>
        <w:t>主要原因是：本年增加了文化馆还欠款项目，文化馆免费开放项目增加到了</w:t>
      </w:r>
      <w:r>
        <w:rPr>
          <w:rFonts w:hint="eastAsia" w:ascii="仿宋_GB2312" w:eastAsia="仿宋_GB2312"/>
          <w:color w:val="auto"/>
          <w:spacing w:val="0"/>
          <w:sz w:val="32"/>
          <w:szCs w:val="32"/>
          <w:highlight w:val="none"/>
          <w:lang w:val="en-US" w:eastAsia="zh-CN"/>
        </w:rPr>
        <w:t>29.8万元，人员工资调标、社保缴费、住房公积金基数调整，公用经费增加导致本年收入支出总体较上年增加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217.80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万元，预决算差异率-19.95%，主要原因是：本年</w:t>
      </w:r>
      <w:r>
        <w:rPr>
          <w:rFonts w:hint="eastAsia" w:ascii="仿宋_GB2312" w:eastAsia="仿宋_GB2312"/>
          <w:color w:val="auto"/>
          <w:spacing w:val="0"/>
          <w:sz w:val="32"/>
          <w:szCs w:val="32"/>
          <w:highlight w:val="none"/>
          <w:lang w:val="en-US" w:eastAsia="zh-CN"/>
        </w:rPr>
        <w:t>预算项目中</w:t>
      </w:r>
      <w:r>
        <w:rPr>
          <w:rFonts w:hint="eastAsia" w:ascii="仿宋_GB2312" w:eastAsia="仿宋_GB2312"/>
          <w:color w:val="auto"/>
          <w:spacing w:val="0"/>
          <w:sz w:val="32"/>
          <w:szCs w:val="32"/>
          <w:highlight w:val="none"/>
          <w:lang w:eastAsia="zh-CN"/>
        </w:rPr>
        <w:t>美食节经费未执行。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2023年度一般公共预算财政拨款支出174.35万元，占本年支出合计的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增加59.59万元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增长51.93%,</w:t>
      </w:r>
      <w:r>
        <w:rPr>
          <w:rFonts w:hint="eastAsia" w:ascii="仿宋_GB2312" w:eastAsia="仿宋_GB2312"/>
          <w:color w:val="auto"/>
          <w:spacing w:val="0"/>
          <w:sz w:val="32"/>
          <w:szCs w:val="32"/>
          <w:highlight w:val="none"/>
          <w:lang w:eastAsia="zh-CN"/>
        </w:rPr>
        <w:t>主要原因是：本年增加了文化馆还欠款项目，文化馆免费开放项目增加到了</w:t>
      </w:r>
      <w:r>
        <w:rPr>
          <w:rFonts w:hint="eastAsia" w:ascii="仿宋_GB2312" w:eastAsia="仿宋_GB2312"/>
          <w:color w:val="auto"/>
          <w:spacing w:val="0"/>
          <w:sz w:val="32"/>
          <w:szCs w:val="32"/>
          <w:highlight w:val="none"/>
          <w:lang w:val="en-US" w:eastAsia="zh-CN"/>
        </w:rPr>
        <w:t>29.8万元，人员工资调标、社保缴费、住房公积金基数调整，公用经费增加导致本年收入支出总体较上年增加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217.80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174.35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-19.95%</w:t>
      </w:r>
      <w:r>
        <w:rPr>
          <w:rFonts w:hint="eastAsia" w:ascii="仿宋_GB2312" w:eastAsia="仿宋_GB2312"/>
          <w:color w:val="auto"/>
          <w:spacing w:val="0"/>
          <w:sz w:val="32"/>
          <w:szCs w:val="32"/>
          <w:highlight w:val="none"/>
          <w:lang w:eastAsia="zh-CN"/>
        </w:rPr>
        <w:t>，主要原因是：本年</w:t>
      </w:r>
      <w:r>
        <w:rPr>
          <w:rFonts w:hint="eastAsia" w:ascii="仿宋_GB2312" w:eastAsia="仿宋_GB2312"/>
          <w:color w:val="auto"/>
          <w:spacing w:val="0"/>
          <w:sz w:val="32"/>
          <w:szCs w:val="32"/>
          <w:highlight w:val="none"/>
          <w:lang w:val="en-US" w:eastAsia="zh-CN"/>
        </w:rPr>
        <w:t>预算项目中</w:t>
      </w:r>
      <w:r>
        <w:rPr>
          <w:rFonts w:hint="eastAsia" w:ascii="仿宋_GB2312" w:eastAsia="仿宋_GB2312"/>
          <w:color w:val="auto"/>
          <w:spacing w:val="0"/>
          <w:sz w:val="32"/>
          <w:szCs w:val="32"/>
          <w:highlight w:val="none"/>
          <w:lang w:eastAsia="zh-CN"/>
        </w:rPr>
        <w:t>美食节经费未执行。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142.66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81.82%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5.80%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1.卫生健康支出（类）行政事业单位医疗（款）事业单位医疗（项）:支出决算数为5.55万元，比上年决算减少1.41万元，下降20.26%，主要原因是：医保基数下调，退休人员医保退费，导致本年比上年决算减少1.41万元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2.住房保障支出（类）住房改革支出（款）住房公积金（项）:支出决算数为10.11万元，比上年决算增加3.09万元，增长44.02%，主要原因是：工资调整使</w:t>
      </w:r>
      <w:r>
        <w:rPr>
          <w:rFonts w:hint="eastAsia" w:ascii="仿宋_GB2312" w:hAnsi="仿宋_GB2312" w:eastAsia="仿宋_GB2312" w:cs="仿宋_GB2312"/>
          <w:color w:val="auto"/>
          <w:kern w:val="2"/>
          <w:sz w:val="32"/>
          <w:szCs w:val="32"/>
          <w:highlight w:val="none"/>
          <w:lang w:val="zh-CN" w:eastAsia="zh-CN" w:bidi="ar-SA"/>
        </w:rPr>
        <w:t>公积金基数</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导致本年比上年决算增加3.09万元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3.文化旅游体育与传媒支出（类）文化和旅游（款）其他文化和旅游支出（项）:支出决算数为26.18万元，比上年决算增加26.18万元，增长100%，主要原因是：本年增加了文化馆免费开放项目和还借款项目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4.社会保障和就业支出（类）行政事业单位养老支出（款）事业单位离退休（项）:支出决算数为2.97万元，比上年决算增加1.18万元，增长65.92%，主要原因是：</w:t>
      </w:r>
      <w:r>
        <w:rPr>
          <w:rFonts w:hint="eastAsia" w:ascii="仿宋_GB2312" w:hAnsi="仿宋_GB2312" w:eastAsia="仿宋_GB2312" w:cs="仿宋_GB2312"/>
          <w:color w:val="auto"/>
          <w:kern w:val="2"/>
          <w:sz w:val="32"/>
          <w:szCs w:val="32"/>
          <w:highlight w:val="none"/>
          <w:lang w:val="zh-CN" w:eastAsia="zh-CN" w:bidi="ar-SA"/>
        </w:rPr>
        <w:t>退休人员工资调标，</w:t>
      </w:r>
      <w:r>
        <w:rPr>
          <w:rFonts w:hint="eastAsia" w:ascii="仿宋_GB2312" w:hAnsi="仿宋_GB2312" w:eastAsia="仿宋_GB2312" w:cs="仿宋_GB2312"/>
          <w:color w:val="auto"/>
          <w:kern w:val="2"/>
          <w:sz w:val="32"/>
          <w:szCs w:val="32"/>
          <w:highlight w:val="none"/>
          <w:lang w:val="en-US" w:eastAsia="zh-CN" w:bidi="ar-SA"/>
        </w:rPr>
        <w:t>导致本年比上年决算增加1.18万元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5.文化旅游体育与传媒支出（类）文化和旅游（款）群众文化（项）:支出决算数为116.48万元，比上年决算增加26.18万元，增长28.99%，主要原因是：本年增加了文化馆免费开放项目和还借款项目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6.社会保障和就业支出（类）行政事业单位养老支出（款）机关事业单位基本养老保险缴费支出（项）:支出决算数为13.06万元，比上年决算增加4.37万元，增长50.29%，主要原因是：</w:t>
      </w:r>
      <w:r>
        <w:rPr>
          <w:rFonts w:hint="eastAsia" w:ascii="仿宋_GB2312" w:hAnsi="仿宋_GB2312" w:eastAsia="仿宋_GB2312" w:cs="仿宋_GB2312"/>
          <w:color w:val="auto"/>
          <w:kern w:val="2"/>
          <w:sz w:val="32"/>
          <w:szCs w:val="32"/>
          <w:highlight w:val="none"/>
          <w:lang w:val="zh-CN" w:eastAsia="zh-CN" w:bidi="ar-SA"/>
        </w:rPr>
        <w:t>养老保险基数调整，</w:t>
      </w:r>
      <w:r>
        <w:rPr>
          <w:rFonts w:hint="eastAsia" w:ascii="仿宋_GB2312" w:hAnsi="仿宋_GB2312" w:eastAsia="仿宋_GB2312" w:cs="仿宋_GB2312"/>
          <w:color w:val="auto"/>
          <w:kern w:val="2"/>
          <w:sz w:val="32"/>
          <w:szCs w:val="32"/>
          <w:highlight w:val="none"/>
          <w:lang w:val="en-US" w:eastAsia="zh-CN" w:bidi="ar-SA"/>
        </w:rPr>
        <w:t>基本养老保险缴费增加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144.45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137.75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办公费、邮电费、取暖费、差旅费、培训费、工会经费。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增加2.00万元，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主要原因是：本年由于文化活动开展多，下乡演出增加，演出车辆使用较多，增加了公务用车运行维护费。其中：因公出国（境）费支出0.00万元，占0.00%，比上年增加0.00万元，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；公务用车购置及运行维护费支出2.00万元，占100.00%，比上年增加2.00万元，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主要原因是：本年由于文化活动开展多，下乡演出增加，演出车辆使用较多，增加了公务用车运行维护费；公务接待费支出0.00万元，占0.00%，比上年增加0.00万元，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2.00万元，其中：公务用车购置费0.00万元，公务用车运行维护费2.00万元。公务用车运行维护费开支内容包括车辆加油、车辆维修、车辆保险、车辆检测费、过桥过路费。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原因是：文化馆和文工团合并办公，开展文化活动使用文工团车辆。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预算数2.00万元，决算数2.00万元，预决算差异率0.00%，主要原因是：预决算无差异。其中：因公出国（境）费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预算数2.00万元，决算数2.00万元，预决算差异率0.00%，主要原因是：无预决算差异；公务接待费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沙湾市文化馆（事业单位）公用经费支出6.70万元，</w:t>
      </w:r>
      <w:r>
        <w:rPr>
          <w:rFonts w:hint="eastAsia" w:ascii="仿宋_GB2312" w:hAnsi="仿宋_GB2312" w:eastAsia="仿宋_GB2312" w:cs="仿宋_GB2312"/>
          <w:color w:val="auto"/>
          <w:sz w:val="32"/>
          <w:szCs w:val="32"/>
          <w:highlight w:val="none"/>
          <w:lang w:val="zh-CN" w:eastAsia="zh-CN"/>
        </w:rPr>
        <w:t>比上年增加5.92万元，增长758.97%，主要原因是：我单位本年度增加了文化活动的开展、下乡演出等增加，公用经费增加了办公经费、差旅费、培训费、公务用车运行维护费的支出。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授予中小企业合同金额2.00万元，占政府采购支出总额的100.00%，其中：授予小微企业合同金额2.00万元，占政府采购支出总额的100.00%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339.18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屋1,493.80平方米，价值159.80万元。车辆0辆，价值0.00万元，其中：副部（省）级及以上领导用车0辆、主要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预算总额174.45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实际执行总额174.35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全年预算数30</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highlight w:val="none"/>
          <w:lang w:eastAsia="zh-CN"/>
        </w:rPr>
        <w:t>预算绩效管理取得的成效：一是加强预算编制绩效管理，强化项目绩效目标；二是完善绩效管理责任，明确各处室的预算执行主体，实现项目绩效目标。发现的问题及原因：一是年初绩效目标没有细化指标；二是年初计划安排资金，对资金范围、项目标准、资金申报及审核程序作出了明细规定，但未作出可衡量的绩效指标体系，实际工作执行中，可能会导致超预算的可能性。下一步改进措施：一是高度重视财政预决算工作，加强预算的约束力；二是加强内部管理，严格执行预算，加大财政支付力度，减少预算执行进度和绩效指标的偏差。</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MGQ3Yjg5NmM2MWVjZmJiZWQzMzUwMGE1ZTAxZDYifQ=="/>
    <w:docVar w:name="KSO_WPS_MARK_KEY" w:val="41ee2a61-2d54-4f93-83be-afdb9a40d732"/>
  </w:docVars>
  <w:rsids>
    <w:rsidRoot w:val="00000000"/>
    <w:rsid w:val="00213C59"/>
    <w:rsid w:val="003210CE"/>
    <w:rsid w:val="00656FF0"/>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2A23DF"/>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1B0CF2"/>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0E7C50"/>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1B3E6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8D2AB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21754C"/>
    <w:rsid w:val="299A22A0"/>
    <w:rsid w:val="29CB58F0"/>
    <w:rsid w:val="2A053397"/>
    <w:rsid w:val="2A145E96"/>
    <w:rsid w:val="2A2131BB"/>
    <w:rsid w:val="2AF5378F"/>
    <w:rsid w:val="2BB94DBF"/>
    <w:rsid w:val="2BF37410"/>
    <w:rsid w:val="2C6F314E"/>
    <w:rsid w:val="2CC206BE"/>
    <w:rsid w:val="2CCD64D5"/>
    <w:rsid w:val="2D1136DF"/>
    <w:rsid w:val="2D20606D"/>
    <w:rsid w:val="2D6729FE"/>
    <w:rsid w:val="2DB87198"/>
    <w:rsid w:val="2DB93C54"/>
    <w:rsid w:val="2DF426E8"/>
    <w:rsid w:val="2E13045A"/>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5E424B6"/>
    <w:rsid w:val="36965B9D"/>
    <w:rsid w:val="36C549FD"/>
    <w:rsid w:val="36C61EF1"/>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916848"/>
    <w:rsid w:val="3AD1763A"/>
    <w:rsid w:val="3B196883"/>
    <w:rsid w:val="3B6716E3"/>
    <w:rsid w:val="3B6C6B2D"/>
    <w:rsid w:val="3C242659"/>
    <w:rsid w:val="3C96719C"/>
    <w:rsid w:val="3CA72BE8"/>
    <w:rsid w:val="3CDC1E1E"/>
    <w:rsid w:val="3CF37F8C"/>
    <w:rsid w:val="3D137554"/>
    <w:rsid w:val="3D5275AC"/>
    <w:rsid w:val="3D6509EF"/>
    <w:rsid w:val="3DCC2473"/>
    <w:rsid w:val="3DEB0883"/>
    <w:rsid w:val="3E2527BF"/>
    <w:rsid w:val="3E70484C"/>
    <w:rsid w:val="3E731662"/>
    <w:rsid w:val="3E8168DD"/>
    <w:rsid w:val="3EA7725F"/>
    <w:rsid w:val="3EA90437"/>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0F77DD"/>
    <w:rsid w:val="443A7E4B"/>
    <w:rsid w:val="444A7D08"/>
    <w:rsid w:val="452F5B3A"/>
    <w:rsid w:val="454E7FD2"/>
    <w:rsid w:val="46061BDC"/>
    <w:rsid w:val="461404F8"/>
    <w:rsid w:val="46413018"/>
    <w:rsid w:val="464B7E04"/>
    <w:rsid w:val="468041AA"/>
    <w:rsid w:val="468123C6"/>
    <w:rsid w:val="46901EEE"/>
    <w:rsid w:val="469C74D2"/>
    <w:rsid w:val="47445515"/>
    <w:rsid w:val="474B4782"/>
    <w:rsid w:val="479002C6"/>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E7376D"/>
    <w:rsid w:val="51025EB1"/>
    <w:rsid w:val="51141503"/>
    <w:rsid w:val="513C450E"/>
    <w:rsid w:val="518D0ED5"/>
    <w:rsid w:val="525C687F"/>
    <w:rsid w:val="52A3740A"/>
    <w:rsid w:val="52F647F7"/>
    <w:rsid w:val="52F92565"/>
    <w:rsid w:val="53AE735E"/>
    <w:rsid w:val="53D03877"/>
    <w:rsid w:val="542F73CA"/>
    <w:rsid w:val="5430786D"/>
    <w:rsid w:val="545A1D2A"/>
    <w:rsid w:val="54C811C0"/>
    <w:rsid w:val="54E21DAA"/>
    <w:rsid w:val="55193CB9"/>
    <w:rsid w:val="556A442D"/>
    <w:rsid w:val="55DA564E"/>
    <w:rsid w:val="55E816A3"/>
    <w:rsid w:val="5604127D"/>
    <w:rsid w:val="56044E6C"/>
    <w:rsid w:val="56166703"/>
    <w:rsid w:val="56510474"/>
    <w:rsid w:val="5660604D"/>
    <w:rsid w:val="56861525"/>
    <w:rsid w:val="56A93273"/>
    <w:rsid w:val="56BD550C"/>
    <w:rsid w:val="56E07045"/>
    <w:rsid w:val="56FF28AF"/>
    <w:rsid w:val="57540E7D"/>
    <w:rsid w:val="577B4878"/>
    <w:rsid w:val="57926973"/>
    <w:rsid w:val="57D1482F"/>
    <w:rsid w:val="58175352"/>
    <w:rsid w:val="581F2200"/>
    <w:rsid w:val="582F7DEB"/>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4B3B1E"/>
    <w:rsid w:val="5CBB0CE2"/>
    <w:rsid w:val="5CC17177"/>
    <w:rsid w:val="5CD46F9B"/>
    <w:rsid w:val="5CE02524"/>
    <w:rsid w:val="5CF306BC"/>
    <w:rsid w:val="5D3F3D64"/>
    <w:rsid w:val="5D727611"/>
    <w:rsid w:val="5D833043"/>
    <w:rsid w:val="5DD92690"/>
    <w:rsid w:val="5DDB1CFD"/>
    <w:rsid w:val="5E7E6D93"/>
    <w:rsid w:val="5E82459B"/>
    <w:rsid w:val="5ED44800"/>
    <w:rsid w:val="5F350BDE"/>
    <w:rsid w:val="5F61632C"/>
    <w:rsid w:val="5FA17648"/>
    <w:rsid w:val="5FE705CB"/>
    <w:rsid w:val="6007714E"/>
    <w:rsid w:val="603D5080"/>
    <w:rsid w:val="606842D0"/>
    <w:rsid w:val="60D0261B"/>
    <w:rsid w:val="612D2D4D"/>
    <w:rsid w:val="618E3791"/>
    <w:rsid w:val="61947DCA"/>
    <w:rsid w:val="61A46A97"/>
    <w:rsid w:val="61D1382F"/>
    <w:rsid w:val="61F114A2"/>
    <w:rsid w:val="622B0ABA"/>
    <w:rsid w:val="62512BB4"/>
    <w:rsid w:val="625D7D1A"/>
    <w:rsid w:val="62607EAF"/>
    <w:rsid w:val="62660469"/>
    <w:rsid w:val="62DD7D21"/>
    <w:rsid w:val="637D586B"/>
    <w:rsid w:val="63A5560B"/>
    <w:rsid w:val="63E9091F"/>
    <w:rsid w:val="64322AF9"/>
    <w:rsid w:val="646B1B68"/>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19676D"/>
    <w:rsid w:val="6B68175F"/>
    <w:rsid w:val="6BFD799F"/>
    <w:rsid w:val="6C4A2E5A"/>
    <w:rsid w:val="6C8138D0"/>
    <w:rsid w:val="6CC60A60"/>
    <w:rsid w:val="6CEF0725"/>
    <w:rsid w:val="6D3A4899"/>
    <w:rsid w:val="6D4B2604"/>
    <w:rsid w:val="6D77358F"/>
    <w:rsid w:val="6D8030E4"/>
    <w:rsid w:val="6E0E35C4"/>
    <w:rsid w:val="6E0F7A08"/>
    <w:rsid w:val="6E3947F5"/>
    <w:rsid w:val="6E6733A0"/>
    <w:rsid w:val="6E6E3938"/>
    <w:rsid w:val="6E9C74ED"/>
    <w:rsid w:val="6EF72976"/>
    <w:rsid w:val="6F0E2EBC"/>
    <w:rsid w:val="6F795A80"/>
    <w:rsid w:val="6F7C1D2E"/>
    <w:rsid w:val="6F8E0407"/>
    <w:rsid w:val="6FCF11F8"/>
    <w:rsid w:val="6FDD069F"/>
    <w:rsid w:val="702B4D16"/>
    <w:rsid w:val="70441B1A"/>
    <w:rsid w:val="70AA6621"/>
    <w:rsid w:val="7111480F"/>
    <w:rsid w:val="71261F49"/>
    <w:rsid w:val="712E6956"/>
    <w:rsid w:val="71473612"/>
    <w:rsid w:val="71504F32"/>
    <w:rsid w:val="7152309F"/>
    <w:rsid w:val="718F7F65"/>
    <w:rsid w:val="71DA6992"/>
    <w:rsid w:val="723D0E21"/>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5FE4848"/>
    <w:rsid w:val="7616619B"/>
    <w:rsid w:val="76660D7C"/>
    <w:rsid w:val="766C5968"/>
    <w:rsid w:val="768506F5"/>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B86980"/>
    <w:rsid w:val="7CD752DA"/>
    <w:rsid w:val="7CDE40AB"/>
    <w:rsid w:val="7CF057E2"/>
    <w:rsid w:val="7D1548B5"/>
    <w:rsid w:val="7D2C5EE0"/>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5585</Words>
  <Characters>6202</Characters>
  <Lines>0</Lines>
  <Paragraphs>0</Paragraphs>
  <TotalTime>3</TotalTime>
  <ScaleCrop>false</ScaleCrop>
  <LinksUpToDate>false</LinksUpToDate>
  <CharactersWithSpaces>6213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2025-01-08T09:35:09Z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