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ind w:firstLine="0" w:firstLineChars="0"/>
        <w:jc w:val="center"/>
        <w:rPr>
          <w:rFonts w:ascii="方正小标宋_GBK" w:hAnsi="华文中宋" w:eastAsia="方正小标宋_GBK" w:cs="宋体"/>
          <w:kern w:val="0"/>
          <w:sz w:val="44"/>
          <w:szCs w:val="44"/>
          <w:lang w:eastAsia="zh-Hans"/>
        </w:rPr>
      </w:pPr>
      <w:bookmarkStart w:id="0" w:name="_GoBack"/>
      <w:bookmarkEnd w:id="0"/>
    </w:p>
    <w:p>
      <w:pPr>
        <w:spacing w:line="600" w:lineRule="exact"/>
        <w:ind w:firstLine="0" w:firstLineChars="0"/>
        <w:jc w:val="center"/>
        <w:rPr>
          <w:rFonts w:hint="eastAsia" w:ascii="方正小标宋_GBK" w:hAnsi="华文中宋" w:eastAsia="方正小标宋_GBK" w:cs="宋体"/>
          <w:kern w:val="0"/>
          <w:sz w:val="44"/>
          <w:szCs w:val="44"/>
          <w:lang w:eastAsia="zh-Hans"/>
        </w:rPr>
      </w:pPr>
    </w:p>
    <w:p>
      <w:pPr>
        <w:spacing w:line="600" w:lineRule="exact"/>
        <w:ind w:firstLine="0" w:firstLineChars="0"/>
        <w:jc w:val="center"/>
        <w:rPr>
          <w:rFonts w:ascii="方正小标宋_GBK" w:hAnsi="华文中宋" w:eastAsia="方正小标宋_GBK" w:cs="宋体"/>
          <w:kern w:val="0"/>
          <w:sz w:val="44"/>
          <w:szCs w:val="44"/>
          <w:lang w:eastAsia="zh-Hans"/>
        </w:rPr>
      </w:pPr>
    </w:p>
    <w:p>
      <w:pPr>
        <w:spacing w:line="360" w:lineRule="auto"/>
        <w:ind w:firstLine="0" w:firstLineChars="0"/>
        <w:jc w:val="center"/>
        <w:rPr>
          <w:rFonts w:hint="eastAsia" w:ascii="方正小标宋_GBK" w:hAnsi="华文中宋" w:eastAsia="方正小标宋_GBK" w:cs="宋体"/>
          <w:color w:val="000000" w:themeColor="text1"/>
          <w:kern w:val="0"/>
          <w:sz w:val="44"/>
          <w:szCs w:val="44"/>
          <w:highlight w:val="none"/>
          <w:lang w:val="en-US" w:eastAsia="zh-CN"/>
          <w14:textFill>
            <w14:solidFill>
              <w14:schemeClr w14:val="tx1"/>
            </w14:solidFill>
          </w14:textFill>
        </w:rPr>
      </w:pPr>
      <w:r>
        <w:rPr>
          <w:rFonts w:hint="eastAsia" w:ascii="方正小标宋_GBK" w:hAnsi="华文中宋" w:eastAsia="方正小标宋_GBK" w:cs="宋体"/>
          <w:color w:val="000000" w:themeColor="text1"/>
          <w:kern w:val="0"/>
          <w:sz w:val="44"/>
          <w:szCs w:val="44"/>
          <w:highlight w:val="none"/>
          <w:lang w:val="en-US" w:eastAsia="zh-CN"/>
          <w14:textFill>
            <w14:solidFill>
              <w14:schemeClr w14:val="tx1"/>
            </w14:solidFill>
          </w14:textFill>
        </w:rPr>
        <w:t>沙湾市文化体育广播电视和旅游局</w:t>
      </w:r>
    </w:p>
    <w:p>
      <w:pPr>
        <w:spacing w:line="360" w:lineRule="auto"/>
        <w:ind w:firstLine="0" w:firstLineChars="0"/>
        <w:jc w:val="center"/>
        <w:rPr>
          <w:rFonts w:hint="eastAsia" w:ascii="方正小标宋_GBK" w:hAnsi="华文中宋" w:eastAsia="方正小标宋_GBK" w:cs="宋体"/>
          <w:color w:val="000000" w:themeColor="text1"/>
          <w:kern w:val="0"/>
          <w:sz w:val="44"/>
          <w:szCs w:val="44"/>
          <w:highlight w:val="none"/>
          <w14:textFill>
            <w14:solidFill>
              <w14:schemeClr w14:val="tx1"/>
            </w14:solidFill>
          </w14:textFill>
        </w:rPr>
      </w:pPr>
      <w:r>
        <w:rPr>
          <w:rFonts w:hint="eastAsia" w:ascii="方正小标宋_GBK" w:hAnsi="华文中宋" w:eastAsia="方正小标宋_GBK" w:cs="宋体"/>
          <w:color w:val="000000" w:themeColor="text1"/>
          <w:kern w:val="0"/>
          <w:sz w:val="44"/>
          <w:szCs w:val="44"/>
          <w:highlight w:val="none"/>
          <w14:textFill>
            <w14:solidFill>
              <w14:schemeClr w14:val="tx1"/>
            </w14:solidFill>
          </w14:textFill>
        </w:rPr>
        <w:t>部门单位整体支出绩效</w:t>
      </w:r>
    </w:p>
    <w:p>
      <w:pPr>
        <w:spacing w:line="360" w:lineRule="auto"/>
        <w:ind w:firstLine="0" w:firstLineChars="0"/>
        <w:jc w:val="center"/>
        <w:rPr>
          <w:rFonts w:ascii="方正小标宋_GBK" w:hAnsi="华文中宋" w:eastAsia="方正小标宋_GBK" w:cs="宋体"/>
          <w:color w:val="000000" w:themeColor="text1"/>
          <w:kern w:val="0"/>
          <w:sz w:val="44"/>
          <w:szCs w:val="44"/>
          <w:highlight w:val="none"/>
          <w14:textFill>
            <w14:solidFill>
              <w14:schemeClr w14:val="tx1"/>
            </w14:solidFill>
          </w14:textFill>
        </w:rPr>
      </w:pPr>
      <w:r>
        <w:rPr>
          <w:rFonts w:hint="eastAsia" w:ascii="方正小标宋_GBK" w:hAnsi="华文中宋" w:eastAsia="方正小标宋_GBK" w:cs="宋体"/>
          <w:color w:val="000000" w:themeColor="text1"/>
          <w:kern w:val="0"/>
          <w:sz w:val="44"/>
          <w:szCs w:val="44"/>
          <w:highlight w:val="none"/>
          <w14:textFill>
            <w14:solidFill>
              <w14:schemeClr w14:val="tx1"/>
            </w14:solidFill>
          </w14:textFill>
        </w:rPr>
        <w:t>自评报告</w:t>
      </w: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仿宋_GB2312" w:hAnsi="宋体" w:eastAsia="仿宋_GB2312" w:cs="宋体"/>
          <w:color w:val="000000" w:themeColor="text1"/>
          <w:kern w:val="0"/>
          <w:sz w:val="36"/>
          <w:szCs w:val="36"/>
          <w:highlight w:val="none"/>
          <w14:textFill>
            <w14:solidFill>
              <w14:schemeClr w14:val="tx1"/>
            </w14:solidFill>
          </w14:textFill>
        </w:rPr>
      </w:pPr>
      <w:r>
        <w:rPr>
          <w:rFonts w:hint="eastAsia" w:ascii="仿宋_GB2312" w:hAnsi="宋体" w:eastAsia="仿宋_GB2312" w:cs="宋体"/>
          <w:color w:val="000000" w:themeColor="text1"/>
          <w:kern w:val="0"/>
          <w:sz w:val="36"/>
          <w:szCs w:val="36"/>
          <w:highlight w:val="none"/>
          <w14:textFill>
            <w14:solidFill>
              <w14:schemeClr w14:val="tx1"/>
            </w14:solidFill>
          </w14:textFill>
        </w:rPr>
        <w:t>（202</w:t>
      </w:r>
      <w:r>
        <w:rPr>
          <w:rFonts w:hint="eastAsia" w:ascii="仿宋_GB2312" w:hAnsi="宋体" w:eastAsia="仿宋_GB2312" w:cs="宋体"/>
          <w:color w:val="000000" w:themeColor="text1"/>
          <w:kern w:val="0"/>
          <w:sz w:val="36"/>
          <w:szCs w:val="36"/>
          <w:highlight w:val="none"/>
          <w:lang w:val="en-US" w:eastAsia="zh-CN"/>
          <w14:textFill>
            <w14:solidFill>
              <w14:schemeClr w14:val="tx1"/>
            </w14:solidFill>
          </w14:textFill>
        </w:rPr>
        <w:t>3</w:t>
      </w:r>
      <w:r>
        <w:rPr>
          <w:rFonts w:hint="eastAsia" w:ascii="仿宋_GB2312" w:hAnsi="宋体" w:eastAsia="仿宋_GB2312" w:cs="宋体"/>
          <w:color w:val="000000" w:themeColor="text1"/>
          <w:kern w:val="0"/>
          <w:sz w:val="36"/>
          <w:szCs w:val="36"/>
          <w:highlight w:val="none"/>
          <w14:textFill>
            <w14:solidFill>
              <w14:schemeClr w14:val="tx1"/>
            </w14:solidFill>
          </w14:textFill>
        </w:rPr>
        <w:t>年度</w:t>
      </w:r>
      <w:r>
        <w:rPr>
          <w:rFonts w:hint="eastAsia" w:ascii="仿宋_GB2312" w:hAnsi="Malgun Gothic Semilight" w:eastAsia="仿宋_GB2312" w:cs="Malgun Gothic Semilight"/>
          <w:color w:val="000000" w:themeColor="text1"/>
          <w:kern w:val="0"/>
          <w:sz w:val="36"/>
          <w:szCs w:val="36"/>
          <w:highlight w:val="none"/>
          <w14:textFill>
            <w14:solidFill>
              <w14:schemeClr w14:val="tx1"/>
            </w14:solidFill>
          </w14:textFill>
        </w:rPr>
        <w:t>）</w:t>
      </w: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hint="eastAsia" w:ascii="华文中宋" w:hAnsi="华文中宋" w:eastAsia="华文中宋" w:cs="宋体"/>
          <w:b/>
          <w:color w:val="000000" w:themeColor="text1"/>
          <w:kern w:val="0"/>
          <w:sz w:val="52"/>
          <w:szCs w:val="52"/>
          <w:highlight w:val="none"/>
          <w14:textFill>
            <w14:solidFill>
              <w14:schemeClr w14:val="tx1"/>
            </w14:solidFill>
          </w14:textFill>
        </w:rPr>
      </w:pPr>
    </w:p>
    <w:p>
      <w:pPr>
        <w:ind w:firstLine="0" w:firstLineChars="0"/>
        <w:jc w:val="center"/>
        <w:rPr>
          <w:rFonts w:ascii="华文中宋" w:hAnsi="华文中宋" w:eastAsia="华文中宋" w:cs="宋体"/>
          <w:b/>
          <w:color w:val="000000" w:themeColor="text1"/>
          <w:kern w:val="0"/>
          <w:sz w:val="52"/>
          <w:szCs w:val="52"/>
          <w:highlight w:val="none"/>
          <w14:textFill>
            <w14:solidFill>
              <w14:schemeClr w14:val="tx1"/>
            </w14:solidFill>
          </w14:textFill>
        </w:rPr>
      </w:pPr>
    </w:p>
    <w:p>
      <w:pPr>
        <w:spacing w:line="600" w:lineRule="exact"/>
        <w:ind w:firstLine="640"/>
        <w:rPr>
          <w:rFonts w:hint="default" w:ascii="黑体" w:hAnsi="黑体" w:eastAsia="黑体" w:cs="黑体"/>
          <w:bCs/>
          <w:color w:val="000000" w:themeColor="text1"/>
          <w:sz w:val="32"/>
          <w:szCs w:val="32"/>
          <w:highlight w:val="none"/>
          <w:lang w:val="en-US" w:eastAsia="zh-CN"/>
          <w14:textFill>
            <w14:solidFill>
              <w14:schemeClr w14:val="tx1"/>
            </w14:solidFill>
          </w14:textFill>
        </w:rPr>
      </w:pPr>
      <w:r>
        <w:rPr>
          <w:rFonts w:hint="eastAsia" w:ascii="黑体" w:hAnsi="黑体" w:eastAsia="黑体" w:cs="黑体"/>
          <w:bCs/>
          <w:color w:val="000000" w:themeColor="text1"/>
          <w:sz w:val="32"/>
          <w:szCs w:val="32"/>
          <w:highlight w:val="none"/>
          <w14:textFill>
            <w14:solidFill>
              <w14:schemeClr w14:val="tx1"/>
            </w14:solidFill>
          </w14:textFill>
        </w:rPr>
        <w:t>部门单位名称（公章）：</w:t>
      </w:r>
      <w:r>
        <w:rPr>
          <w:rFonts w:hint="eastAsia" w:ascii="黑体" w:hAnsi="黑体" w:eastAsia="黑体" w:cs="黑体"/>
          <w:bCs/>
          <w:color w:val="000000" w:themeColor="text1"/>
          <w:sz w:val="32"/>
          <w:szCs w:val="32"/>
          <w:highlight w:val="none"/>
          <w:lang w:val="en-US" w:eastAsia="zh-CN"/>
          <w14:textFill>
            <w14:solidFill>
              <w14:schemeClr w14:val="tx1"/>
            </w14:solidFill>
          </w14:textFill>
        </w:rPr>
        <w:t>沙湾市文化体育广播电视和旅游局</w:t>
      </w:r>
    </w:p>
    <w:p>
      <w:pPr>
        <w:spacing w:line="600" w:lineRule="exact"/>
        <w:ind w:firstLine="640"/>
        <w:rPr>
          <w:rFonts w:ascii="黑体" w:hAnsi="黑体" w:eastAsia="黑体" w:cs="黑体"/>
          <w:bCs/>
          <w:color w:val="000000" w:themeColor="text1"/>
          <w:sz w:val="32"/>
          <w:szCs w:val="32"/>
          <w:highlight w:val="none"/>
          <w14:textFill>
            <w14:solidFill>
              <w14:schemeClr w14:val="tx1"/>
            </w14:solidFill>
          </w14:textFill>
        </w:rPr>
      </w:pPr>
      <w:r>
        <w:rPr>
          <w:rFonts w:hint="eastAsia" w:ascii="黑体" w:hAnsi="黑体" w:eastAsia="黑体" w:cs="黑体"/>
          <w:bCs/>
          <w:color w:val="000000" w:themeColor="text1"/>
          <w:sz w:val="32"/>
          <w:szCs w:val="32"/>
          <w:highlight w:val="none"/>
          <w14:textFill>
            <w14:solidFill>
              <w14:schemeClr w14:val="tx1"/>
            </w14:solidFill>
          </w14:textFill>
        </w:rPr>
        <w:t>填报时间：</w:t>
      </w:r>
      <w:r>
        <w:rPr>
          <w:rFonts w:hint="eastAsia" w:ascii="黑体" w:hAnsi="黑体" w:eastAsia="黑体" w:cs="黑体"/>
          <w:bCs/>
          <w:color w:val="000000" w:themeColor="text1"/>
          <w:sz w:val="32"/>
          <w:szCs w:val="32"/>
          <w:highlight w:val="none"/>
          <w:lang w:val="en-US" w:eastAsia="zh-CN"/>
          <w14:textFill>
            <w14:solidFill>
              <w14:schemeClr w14:val="tx1"/>
            </w14:solidFill>
          </w14:textFill>
        </w:rPr>
        <w:t>2024</w:t>
      </w:r>
      <w:r>
        <w:rPr>
          <w:rFonts w:hint="eastAsia" w:ascii="黑体" w:hAnsi="黑体" w:eastAsia="黑体" w:cs="黑体"/>
          <w:bCs/>
          <w:color w:val="000000" w:themeColor="text1"/>
          <w:sz w:val="32"/>
          <w:szCs w:val="32"/>
          <w:highlight w:val="none"/>
          <w14:textFill>
            <w14:solidFill>
              <w14:schemeClr w14:val="tx1"/>
            </w14:solidFill>
          </w14:textFill>
        </w:rPr>
        <w:t xml:space="preserve">年 </w:t>
      </w:r>
      <w:r>
        <w:rPr>
          <w:rFonts w:hint="eastAsia" w:ascii="黑体" w:hAnsi="黑体" w:eastAsia="黑体" w:cs="黑体"/>
          <w:bCs/>
          <w:color w:val="000000" w:themeColor="text1"/>
          <w:sz w:val="32"/>
          <w:szCs w:val="32"/>
          <w:highlight w:val="none"/>
          <w:lang w:val="en-US" w:eastAsia="zh-CN"/>
          <w14:textFill>
            <w14:solidFill>
              <w14:schemeClr w14:val="tx1"/>
            </w14:solidFill>
          </w14:textFill>
        </w:rPr>
        <w:t>3</w:t>
      </w:r>
      <w:r>
        <w:rPr>
          <w:rFonts w:hint="eastAsia" w:ascii="黑体" w:hAnsi="黑体" w:eastAsia="黑体" w:cs="黑体"/>
          <w:bCs/>
          <w:color w:val="000000" w:themeColor="text1"/>
          <w:sz w:val="32"/>
          <w:szCs w:val="32"/>
          <w:highlight w:val="none"/>
          <w14:textFill>
            <w14:solidFill>
              <w14:schemeClr w14:val="tx1"/>
            </w14:solidFill>
          </w14:textFill>
        </w:rPr>
        <w:t xml:space="preserve"> 月 </w:t>
      </w:r>
      <w:r>
        <w:rPr>
          <w:rFonts w:hint="eastAsia" w:ascii="黑体" w:hAnsi="黑体" w:eastAsia="黑体" w:cs="黑体"/>
          <w:bCs/>
          <w:color w:val="000000" w:themeColor="text1"/>
          <w:sz w:val="32"/>
          <w:szCs w:val="32"/>
          <w:highlight w:val="none"/>
          <w:lang w:val="en-US" w:eastAsia="zh-CN"/>
          <w14:textFill>
            <w14:solidFill>
              <w14:schemeClr w14:val="tx1"/>
            </w14:solidFill>
          </w14:textFill>
        </w:rPr>
        <w:t>20</w:t>
      </w:r>
      <w:r>
        <w:rPr>
          <w:rFonts w:hint="eastAsia" w:ascii="黑体" w:hAnsi="黑体" w:eastAsia="黑体" w:cs="黑体"/>
          <w:bCs/>
          <w:color w:val="000000" w:themeColor="text1"/>
          <w:sz w:val="32"/>
          <w:szCs w:val="32"/>
          <w:highlight w:val="none"/>
          <w14:textFill>
            <w14:solidFill>
              <w14:schemeClr w14:val="tx1"/>
            </w14:solidFill>
          </w14:textFill>
        </w:rPr>
        <w:t xml:space="preserve"> 日</w:t>
      </w:r>
    </w:p>
    <w:p>
      <w:pPr>
        <w:adjustRightInd w:val="0"/>
        <w:snapToGrid w:val="0"/>
        <w:ind w:firstLine="643"/>
        <w:rPr>
          <w:rFonts w:hint="eastAsia" w:ascii="仿宋_GB2312" w:eastAsia="仿宋_GB2312"/>
          <w:b/>
          <w:bCs/>
          <w:color w:val="000000" w:themeColor="text1"/>
          <w:sz w:val="32"/>
          <w:szCs w:val="32"/>
          <w:highlight w:val="none"/>
          <w14:textFill>
            <w14:solidFill>
              <w14:schemeClr w14:val="tx1"/>
            </w14:solidFill>
          </w14:textFill>
        </w:rPr>
      </w:pPr>
    </w:p>
    <w:p>
      <w:pPr>
        <w:pStyle w:val="3"/>
        <w:spacing w:line="570" w:lineRule="exact"/>
        <w:ind w:firstLine="643"/>
        <w:rPr>
          <w:rStyle w:val="16"/>
          <w:rFonts w:ascii="黑体" w:hAnsi="黑体" w:cs="仿宋_GB2312"/>
          <w:b/>
          <w:bCs w:val="0"/>
          <w:color w:val="000000" w:themeColor="text1"/>
          <w:kern w:val="2"/>
          <w:sz w:val="32"/>
          <w:szCs w:val="32"/>
          <w:highlight w:val="none"/>
          <w:lang w:eastAsia="zh-Hans" w:bidi="ar"/>
          <w14:textFill>
            <w14:solidFill>
              <w14:schemeClr w14:val="tx1"/>
            </w14:solidFill>
          </w14:textFill>
        </w:rPr>
      </w:pPr>
      <w:r>
        <w:rPr>
          <w:rStyle w:val="16"/>
          <w:rFonts w:hint="eastAsia" w:ascii="黑体" w:hAnsi="黑体" w:cs="仿宋_GB2312"/>
          <w:b/>
          <w:bCs w:val="0"/>
          <w:color w:val="000000" w:themeColor="text1"/>
          <w:kern w:val="2"/>
          <w:sz w:val="32"/>
          <w:szCs w:val="32"/>
          <w:highlight w:val="none"/>
          <w:lang w:eastAsia="zh-Hans" w:bidi="ar"/>
          <w14:textFill>
            <w14:solidFill>
              <w14:schemeClr w14:val="tx1"/>
            </w14:solidFill>
          </w14:textFill>
        </w:rPr>
        <w:t>一、基本概况</w:t>
      </w:r>
    </w:p>
    <w:p>
      <w:pPr>
        <w:pStyle w:val="4"/>
        <w:spacing w:line="570" w:lineRule="exact"/>
        <w:ind w:firstLine="643"/>
        <w:rPr>
          <w:rFonts w:ascii="楷体_GB2312" w:eastAsia="楷体_GB2312"/>
          <w:color w:val="000000" w:themeColor="text1"/>
          <w:szCs w:val="32"/>
          <w:highlight w:val="none"/>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（一）</w:t>
      </w:r>
      <w:r>
        <w:rPr>
          <w:rFonts w:hint="eastAsia" w:ascii="楷体_GB2312" w:eastAsia="楷体_GB2312"/>
          <w:color w:val="000000" w:themeColor="text1"/>
          <w:szCs w:val="32"/>
          <w:highlight w:val="none"/>
          <w:lang w:val="en-US" w:eastAsia="zh-CN"/>
          <w14:textFill>
            <w14:solidFill>
              <w14:schemeClr w14:val="tx1"/>
            </w14:solidFill>
          </w14:textFill>
        </w:rPr>
        <w:t>部门</w:t>
      </w:r>
      <w:r>
        <w:rPr>
          <w:rFonts w:hint="eastAsia" w:ascii="楷体_GB2312" w:eastAsia="楷体_GB2312"/>
          <w:color w:val="000000" w:themeColor="text1"/>
          <w:szCs w:val="32"/>
          <w:highlight w:val="none"/>
          <w14:textFill>
            <w14:solidFill>
              <w14:schemeClr w14:val="tx1"/>
            </w14:solidFill>
          </w14:textFill>
        </w:rPr>
        <w:t>单位基本情况</w:t>
      </w:r>
    </w:p>
    <w:p>
      <w:pPr>
        <w:bidi w:val="0"/>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1.部门主要职能</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（1）沙湾市</w:t>
      </w:r>
      <w:r>
        <w:rPr>
          <w:rFonts w:hint="eastAsia" w:ascii="仿宋_GB2312" w:hAnsi="仿宋_GB2312" w:eastAsia="仿宋_GB2312" w:cs="仿宋_GB2312"/>
          <w:color w:val="000000" w:themeColor="text1"/>
          <w:sz w:val="32"/>
          <w:szCs w:val="32"/>
          <w:highlight w:val="none"/>
          <w14:textFill>
            <w14:solidFill>
              <w14:schemeClr w14:val="tx1"/>
            </w14:solidFill>
          </w14:textFill>
        </w:rPr>
        <w:t>文化体育广播电视和旅游局贯彻落实党中央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自</w:t>
      </w:r>
      <w:r>
        <w:rPr>
          <w:rFonts w:hint="eastAsia" w:ascii="仿宋_GB2312" w:hAnsi="仿宋_GB2312" w:eastAsia="仿宋_GB2312" w:cs="仿宋_GB2312"/>
          <w:color w:val="000000" w:themeColor="text1"/>
          <w:sz w:val="32"/>
          <w:szCs w:val="32"/>
          <w:highlight w:val="none"/>
          <w14:textFill>
            <w14:solidFill>
              <w14:schemeClr w14:val="tx1"/>
            </w14:solidFill>
          </w14:textFill>
        </w:rPr>
        <w:t>治区党委、地委关于文化体育广播电视和旅游工作的方针政策和决策部署以及</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委工作要求，在履行职责过程中坚持和加强党对文化体育广播电视和旅游工作的集中统一领导。</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w:t>
      </w:r>
      <w:r>
        <w:rPr>
          <w:rFonts w:hint="eastAsia" w:ascii="仿宋_GB2312" w:hAnsi="仿宋_GB2312" w:eastAsia="仿宋_GB2312" w:cs="仿宋_GB2312"/>
          <w:color w:val="000000" w:themeColor="text1"/>
          <w:sz w:val="32"/>
          <w:szCs w:val="32"/>
          <w:highlight w:val="none"/>
          <w14:textFill>
            <w14:solidFill>
              <w14:schemeClr w14:val="tx1"/>
            </w14:solidFill>
          </w14:textFill>
        </w:rPr>
        <w:t>加强党对文化体育广播电视和旅游工作的领导。贯彻落实党和国家文化体育广播电视和旅游工作的方针政策，拟订文化体育广播电视和旅游政策措施，发展中国特色社会主义文化实施全民健身纲要、旅游兴疆战略，牢牢掌握意识形态工作领导权和主动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统筹文化体育广播电视和旅游事业、产业振兴发展</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拟订全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文化体育广播电视和旅游发展规划并组织实施，推进文化和旅游创新融合绿色发展，实施“文化和旅游+”“体育和旅游+”。落实文化体育和旅游体制机制改革，推动多元化文化体育旅游服务体系建设，推进文化体育公共服务</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管理沙湾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重大文化体育和旅游活动，指导沙湾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重点文化体育和旅游设施建设，组织文化和旅游整体形象推广，构建全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媒</w:t>
      </w:r>
      <w:r>
        <w:rPr>
          <w:rFonts w:hint="eastAsia" w:ascii="仿宋_GB2312" w:hAnsi="仿宋_GB2312" w:eastAsia="仿宋_GB2312" w:cs="仿宋_GB2312"/>
          <w:color w:val="000000" w:themeColor="text1"/>
          <w:sz w:val="32"/>
          <w:szCs w:val="32"/>
          <w:highlight w:val="none"/>
          <w14:textFill>
            <w14:solidFill>
              <w14:schemeClr w14:val="tx1"/>
            </w14:solidFill>
          </w14:textFill>
        </w:rPr>
        <w:t>体时代的宣传营销平台和机制</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促进文化和旅游产业对外合作和市场推广，拟</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定</w:t>
      </w:r>
      <w:r>
        <w:rPr>
          <w:rFonts w:hint="eastAsia" w:ascii="仿宋_GB2312" w:hAnsi="仿宋_GB2312" w:eastAsia="仿宋_GB2312" w:cs="仿宋_GB2312"/>
          <w:color w:val="000000" w:themeColor="text1"/>
          <w:sz w:val="32"/>
          <w:szCs w:val="32"/>
          <w:highlight w:val="none"/>
          <w14:textFill>
            <w14:solidFill>
              <w14:schemeClr w14:val="tx1"/>
            </w14:solidFill>
          </w14:textFill>
        </w:rPr>
        <w:t>旅游市场开发战略并组织实施。统筹文化和旅游景区管理，指导、推进全域旅游</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指导、管理文艺事业，指导艺术创作生产及艺术研究</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评</w:t>
      </w:r>
      <w:r>
        <w:rPr>
          <w:rFonts w:hint="eastAsia" w:ascii="仿宋_GB2312" w:hAnsi="仿宋_GB2312" w:eastAsia="仿宋_GB2312" w:cs="仿宋_GB2312"/>
          <w:color w:val="000000" w:themeColor="text1"/>
          <w:sz w:val="32"/>
          <w:szCs w:val="32"/>
          <w:highlight w:val="none"/>
          <w14:textFill>
            <w14:solidFill>
              <w14:schemeClr w14:val="tx1"/>
            </w14:solidFill>
          </w14:textFill>
        </w:rPr>
        <w:t>论，扶持坚守中华文化立场、体现社会主义核心价值观、具有导向性、代表性、示范性的文艺作品，推动各门类艺术、各艺术品种发展。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6</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负责公共文化体育旅游事业发展，推进全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体育惠民</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公</w:t>
      </w:r>
      <w:r>
        <w:rPr>
          <w:rFonts w:hint="eastAsia" w:ascii="仿宋_GB2312" w:hAnsi="仿宋_GB2312" w:eastAsia="仿宋_GB2312" w:cs="仿宋_GB2312"/>
          <w:color w:val="000000" w:themeColor="text1"/>
          <w:sz w:val="32"/>
          <w:szCs w:val="32"/>
          <w:highlight w:val="none"/>
          <w14:textFill>
            <w14:solidFill>
              <w14:schemeClr w14:val="tx1"/>
            </w14:solidFill>
          </w14:textFill>
        </w:rPr>
        <w:t>共文化服务体系建设和旅游公共服务建设，深入实施文化体育惠民工程，统筹推进基本公共文化服务标准化、均等化</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指导沙湾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文化和旅游科技创新发展，推进文化和旅游行业信息化、标准化建设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负责非物质文化遗产管理和研究。推动非物质文化遗产的保护、传承、普及、弘扬和振兴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统筹规划文化体育广播电视和旅游产业，组织实施文化体育和旅游资源普査、挖掘、保护与利用工作。推动文化和旅游产业投融资体系建设，促进文化和旅游产业发展。结合乡村振兴战略，推进文化和旅游扶贫</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9</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指导文化和旅游市场发展，对文化和旅游市场经营进行行业监管，推进文化和旅游行业信用体系建设，依法规范文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化</w:t>
      </w:r>
      <w:r>
        <w:rPr>
          <w:rFonts w:hint="eastAsia" w:ascii="仿宋_GB2312" w:hAnsi="仿宋_GB2312" w:eastAsia="仿宋_GB2312" w:cs="仿宋_GB2312"/>
          <w:color w:val="000000" w:themeColor="text1"/>
          <w:sz w:val="32"/>
          <w:szCs w:val="32"/>
          <w:highlight w:val="none"/>
          <w14:textFill>
            <w14:solidFill>
              <w14:schemeClr w14:val="tx1"/>
            </w14:solidFill>
          </w14:textFill>
        </w:rPr>
        <w:t>和旅游市场。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负责文化和旅游</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安全的综合协调与监督管理，指导文化和旅游</w:t>
      </w:r>
      <w:r>
        <w:rPr>
          <w:rFonts w:hint="eastAsia" w:ascii="仿宋_GB2312" w:hAnsi="仿宋_GB2312" w:eastAsia="仿宋_GB2312" w:cs="仿宋_GB2312"/>
          <w:color w:val="000000" w:themeColor="text1"/>
          <w:sz w:val="32"/>
          <w:szCs w:val="32"/>
          <w:highlight w:val="none"/>
          <w14:textFill>
            <w14:solidFill>
              <w14:schemeClr w14:val="tx1"/>
            </w14:solidFill>
          </w14:textFill>
        </w:rPr>
        <w:t>应急救援工作。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11</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指导沙湾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文化市场综合执法，组织查处沙湾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文化、体育、旅游、文物、广播电视等市场的违法行为，督查督办案件，维护市场秩序。</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指导、管理沙湾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文化和旅游对外交流、合作、宣传、推广.组织大型文化和旅游对外交流活动，推动中华文化走出去。</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13</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指导统筹文物工作。负责文物保护管理、抢救维修、考古发掘、科技研究、文物鉴定以及宣传教育等工作。指导博物馆和革命文物工作。依法规范社会文物流通、经销和拍卖活动等工作。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14</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负责统筹规划沙湾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群众体育发展，推行全民健身计划;组织实施国家体育锻炼标准，推动国民体质监测和社会体育指导员工作队伍建设;指导公共体育设施建设，负责公共体育设施的监督管理;负责指导开展健身气功活动并加强监督管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15</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负责统筹规划全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竞技体育发展，确定体育运动项目设置和重点布局;指导协调体育训练和体育竞赛，指导运动队伍建设;组织参加各级体育竞赛活动。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16</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负责拟订全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体育</w:t>
      </w:r>
      <w:r>
        <w:rPr>
          <w:rFonts w:hint="eastAsia" w:ascii="仿宋_GB2312" w:hAnsi="仿宋_GB2312" w:eastAsia="仿宋_GB2312" w:cs="仿宋_GB2312"/>
          <w:color w:val="000000" w:themeColor="text1"/>
          <w:sz w:val="32"/>
          <w:szCs w:val="32"/>
          <w:highlight w:val="none"/>
          <w14:textFill>
            <w14:solidFill>
              <w14:schemeClr w14:val="tx1"/>
            </w14:solidFill>
          </w14:textFill>
        </w:rPr>
        <w:t>产业发展规划，推进沙湾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体育产业发展:规范体育服务管理，推动</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体育</w:t>
      </w:r>
      <w:r>
        <w:rPr>
          <w:rFonts w:hint="eastAsia" w:ascii="仿宋_GB2312" w:hAnsi="仿宋_GB2312" w:eastAsia="仿宋_GB2312" w:cs="仿宋_GB2312"/>
          <w:color w:val="000000" w:themeColor="text1"/>
          <w:sz w:val="32"/>
          <w:szCs w:val="32"/>
          <w:highlight w:val="none"/>
          <w14:textFill>
            <w14:solidFill>
              <w14:schemeClr w14:val="tx1"/>
            </w14:solidFill>
          </w14:textFill>
        </w:rPr>
        <w:t>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准</w:t>
      </w:r>
      <w:r>
        <w:rPr>
          <w:rFonts w:hint="eastAsia" w:ascii="仿宋_GB2312" w:hAnsi="仿宋_GB2312" w:eastAsia="仿宋_GB2312" w:cs="仿宋_GB2312"/>
          <w:color w:val="000000" w:themeColor="text1"/>
          <w:sz w:val="32"/>
          <w:szCs w:val="32"/>
          <w:highlight w:val="none"/>
          <w14:textFill>
            <w14:solidFill>
              <w14:schemeClr w14:val="tx1"/>
            </w14:solidFill>
          </w14:textFill>
        </w:rPr>
        <w:t>化建设资费体育彩票销售管理工作。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17</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负责指导体育宣传、科技，教育和培训工作，推进体育文化建设:组织开展体育领域重大科技研究、技术攻关和成果推广。</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18</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负责统筹规划全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青少年</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体育</w:t>
      </w:r>
      <w:r>
        <w:rPr>
          <w:rFonts w:hint="eastAsia" w:ascii="仿宋_GB2312" w:hAnsi="仿宋_GB2312" w:eastAsia="仿宋_GB2312" w:cs="仿宋_GB2312"/>
          <w:color w:val="000000" w:themeColor="text1"/>
          <w:sz w:val="32"/>
          <w:szCs w:val="32"/>
          <w:highlight w:val="none"/>
          <w14:textFill>
            <w14:solidFill>
              <w14:schemeClr w14:val="tx1"/>
            </w14:solidFill>
          </w14:textFill>
        </w:rPr>
        <w:t>发展，指导和推进青少年体育工作。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19</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组织开展体育交流与合作。指导全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体育系统及民间体育交流活动，协调、指导、管理沙湾</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境内承办的国际性、商业性体育比赛和经批准开展的特殊体育经营活动。</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负责领导、协调、监督体育运动中的反兴奋剂工作。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21</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贯彻党的宣传方针政策，拟</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定</w:t>
      </w:r>
      <w:r>
        <w:rPr>
          <w:rFonts w:hint="eastAsia" w:ascii="仿宋_GB2312" w:hAnsi="仿宋_GB2312" w:eastAsia="仿宋_GB2312" w:cs="仿宋_GB2312"/>
          <w:color w:val="000000" w:themeColor="text1"/>
          <w:sz w:val="32"/>
          <w:szCs w:val="32"/>
          <w:highlight w:val="none"/>
          <w14:textFill>
            <w14:solidFill>
              <w14:schemeClr w14:val="tx1"/>
            </w14:solidFill>
          </w14:textFill>
        </w:rPr>
        <w:t>网络视听节目服务管理措施，加强广播电视阵地管理，为正确的舆论导向和创作导向提供服务。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22</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负责制定行业标准并组织实施和监督检查，指导推进广播电视领域的体制机制改革。</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23</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负责指导、监督广播电视重点基础设施建设，对全</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w:t>
      </w:r>
      <w:r>
        <w:rPr>
          <w:rFonts w:hint="eastAsia" w:ascii="仿宋_GB2312" w:hAnsi="仿宋_GB2312" w:eastAsia="仿宋_GB2312" w:cs="仿宋_GB2312"/>
          <w:color w:val="000000" w:themeColor="text1"/>
          <w:sz w:val="32"/>
          <w:szCs w:val="32"/>
          <w:highlight w:val="none"/>
          <w14:textFill>
            <w14:solidFill>
              <w14:schemeClr w14:val="tx1"/>
            </w14:solidFill>
          </w14:textFill>
        </w:rPr>
        <w:t>广播电视机构进行业务指导和行业监管，会同有关部门对网络视听节目服务机构进行管理。实施依法设定的行政许可，组织查处违法违规行为。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24</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指导、监管广播电视广告播放，负责对境外卫星电视节目接收的监管。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25</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负责推进广播电视与新媒体新技术新业态融合发展，推进广电网与电信网、互联网三网融合。</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26</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组织制定广播电视科技发展规划和行业技术标准并组织实施和监督检查</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负责对广播电视节目传输覆盖、监测和安全播出进行监管，指导、推进应急广播体系建设。指导、协调广播电视系统安全和保卫工作。</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27</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指导广播电视、网络视听行业人才队伍建设。</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28</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完成</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市委、市政府</w:t>
      </w:r>
      <w:r>
        <w:rPr>
          <w:rFonts w:hint="eastAsia" w:ascii="仿宋_GB2312" w:hAnsi="仿宋_GB2312" w:eastAsia="仿宋_GB2312" w:cs="仿宋_GB2312"/>
          <w:color w:val="000000" w:themeColor="text1"/>
          <w:sz w:val="32"/>
          <w:szCs w:val="32"/>
          <w:highlight w:val="none"/>
          <w14:textFill>
            <w14:solidFill>
              <w14:schemeClr w14:val="tx1"/>
            </w14:solidFill>
          </w14:textFill>
        </w:rPr>
        <w:t>交办的其他任务</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p>
    <w:p>
      <w:pPr>
        <w:bidi w:val="0"/>
        <w:rPr>
          <w:rFonts w:hint="eastAsia" w:ascii="仿宋_GB2312" w:hAnsi="仿宋_GB2312" w:eastAsia="仿宋_GB2312" w:cs="仿宋_GB2312"/>
          <w:b/>
          <w:bCs/>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14:textFill>
            <w14:solidFill>
              <w14:schemeClr w14:val="tx1"/>
            </w14:solidFill>
          </w14:textFill>
        </w:rPr>
        <w:t>2.部门机构设置及人员构成</w:t>
      </w:r>
    </w:p>
    <w:p>
      <w:pPr>
        <w:spacing w:line="570" w:lineRule="exact"/>
        <w:ind w:firstLine="640"/>
        <w:rPr>
          <w:rStyle w:val="16"/>
          <w:rFonts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沙湾市文化体育广播电视和旅游局</w:t>
      </w:r>
      <w:r>
        <w:rPr>
          <w:rFonts w:hint="eastAsia" w:ascii="仿宋_GB2312" w:hAnsi="仿宋_GB2312" w:cs="仿宋_GB2312"/>
          <w:color w:val="000000" w:themeColor="text1"/>
          <w:kern w:val="0"/>
          <w:sz w:val="32"/>
          <w:szCs w:val="32"/>
          <w:highlight w:val="none"/>
          <w:lang w:eastAsia="zh-Hans"/>
          <w14:textFill>
            <w14:solidFill>
              <w14:schemeClr w14:val="tx1"/>
            </w14:solidFill>
          </w14:textFill>
        </w:rPr>
        <w:t>为行政单位</w:t>
      </w:r>
      <w:r>
        <w:rPr>
          <w:rFonts w:ascii="仿宋_GB2312" w:hAnsi="仿宋_GB2312" w:cs="仿宋_GB2312"/>
          <w:color w:val="000000" w:themeColor="text1"/>
          <w:kern w:val="0"/>
          <w:sz w:val="32"/>
          <w:szCs w:val="32"/>
          <w:highlight w:val="none"/>
          <w:lang w:eastAsia="zh-Hans"/>
          <w14:textFill>
            <w14:solidFill>
              <w14:schemeClr w14:val="tx1"/>
            </w14:solidFill>
          </w14:textFill>
        </w:rPr>
        <w:t>，</w:t>
      </w:r>
      <w:r>
        <w:rPr>
          <w:rFonts w:hint="eastAsia" w:ascii="仿宋_GB2312" w:hAnsi="仿宋_GB2312" w:cs="仿宋_GB2312"/>
          <w:color w:val="000000" w:themeColor="text1"/>
          <w:kern w:val="0"/>
          <w:sz w:val="32"/>
          <w:szCs w:val="32"/>
          <w:highlight w:val="none"/>
          <w:lang w:eastAsia="zh-Hans"/>
          <w14:textFill>
            <w14:solidFill>
              <w14:schemeClr w14:val="tx1"/>
            </w14:solidFill>
          </w14:textFill>
        </w:rPr>
        <w:t>下设</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7</w:t>
      </w:r>
      <w:r>
        <w:rPr>
          <w:rFonts w:hint="eastAsia" w:ascii="仿宋_GB2312" w:hAnsi="仿宋_GB2312" w:cs="仿宋_GB2312"/>
          <w:color w:val="000000" w:themeColor="text1"/>
          <w:kern w:val="0"/>
          <w:sz w:val="32"/>
          <w:szCs w:val="32"/>
          <w:highlight w:val="none"/>
          <w:lang w:eastAsia="zh-Hans"/>
          <w14:textFill>
            <w14:solidFill>
              <w14:schemeClr w14:val="tx1"/>
            </w14:solidFill>
          </w14:textFill>
        </w:rPr>
        <w:t>个办公室</w:t>
      </w:r>
      <w:r>
        <w:rPr>
          <w:rFonts w:ascii="仿宋_GB2312" w:hAnsi="仿宋_GB2312" w:cs="仿宋_GB2312"/>
          <w:color w:val="000000" w:themeColor="text1"/>
          <w:kern w:val="0"/>
          <w:sz w:val="32"/>
          <w:szCs w:val="32"/>
          <w:highlight w:val="none"/>
          <w:lang w:eastAsia="zh-Hans"/>
          <w14:textFill>
            <w14:solidFill>
              <w14:schemeClr w14:val="tx1"/>
            </w14:solidFill>
          </w14:textFill>
        </w:rPr>
        <w:t>，</w:t>
      </w:r>
      <w:r>
        <w:rPr>
          <w:rFonts w:hint="eastAsia" w:ascii="仿宋_GB2312" w:hAnsi="仿宋_GB2312" w:cs="仿宋_GB2312"/>
          <w:color w:val="000000" w:themeColor="text1"/>
          <w:kern w:val="0"/>
          <w:sz w:val="32"/>
          <w:szCs w:val="32"/>
          <w:highlight w:val="none"/>
          <w:lang w:eastAsia="zh-Hans"/>
          <w14:textFill>
            <w14:solidFill>
              <w14:schemeClr w14:val="tx1"/>
            </w14:solidFill>
          </w14:textFill>
        </w:rPr>
        <w:t>分别为</w:t>
      </w:r>
      <w:r>
        <w:rPr>
          <w:rFonts w:ascii="仿宋_GB2312" w:hAnsi="仿宋_GB2312" w:cs="仿宋_GB2312"/>
          <w:color w:val="000000" w:themeColor="text1"/>
          <w:kern w:val="0"/>
          <w:sz w:val="32"/>
          <w:szCs w:val="32"/>
          <w:highlight w:val="none"/>
          <w:lang w:eastAsia="zh-Hans"/>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办公室、财务室、广电管理股、行业管理股、景区管理所、体馆中心、执法大队，文管所、景区管委会</w:t>
      </w:r>
      <w:r>
        <w:rPr>
          <w:rFonts w:hint="eastAsia" w:ascii="仿宋_GB2312" w:hAnsi="仿宋_GB2312" w:cs="仿宋_GB2312"/>
          <w:color w:val="000000" w:themeColor="text1"/>
          <w:kern w:val="0"/>
          <w:sz w:val="32"/>
          <w:szCs w:val="32"/>
          <w:highlight w:val="none"/>
          <w:lang w:eastAsia="zh-Hans"/>
          <w14:textFill>
            <w14:solidFill>
              <w14:schemeClr w14:val="tx1"/>
            </w14:solidFill>
          </w14:textFill>
        </w:rPr>
        <w:t>。</w:t>
      </w:r>
    </w:p>
    <w:p>
      <w:pPr>
        <w:bidi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编制人数为51人，其中：行政人员编制10人、工勤人员1人、参公人员14人、事业编制26人。实有在职人数44人，其中：行政在职9人、工勤1人、参公5</w:t>
      </w:r>
      <w:r>
        <w:rPr>
          <w:rFonts w:hint="eastAsia" w:ascii="仿宋_GB2312" w:hAnsi="仿宋_GB2312" w:eastAsia="仿宋_GB2312" w:cs="仿宋_GB2312"/>
          <w:color w:val="000000" w:themeColor="text1"/>
          <w:sz w:val="32"/>
          <w:szCs w:val="32"/>
          <w:highlight w:val="none"/>
          <w:lang w:val="en-US" w:eastAsia="zh-Hans"/>
          <w14:textFill>
            <w14:solidFill>
              <w14:schemeClr w14:val="tx1"/>
            </w14:solidFill>
          </w14:textFill>
        </w:rPr>
        <w:t>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、事业在职29人。离退休人员19人，其中：行政退休人员17人、事业退休2人。</w:t>
      </w:r>
    </w:p>
    <w:p>
      <w:pPr>
        <w:pStyle w:val="4"/>
        <w:numPr>
          <w:ilvl w:val="0"/>
          <w:numId w:val="1"/>
        </w:numPr>
        <w:spacing w:line="570" w:lineRule="exact"/>
        <w:ind w:firstLine="643"/>
        <w:rPr>
          <w:rFonts w:hint="eastAsia" w:ascii="楷体_GB2312" w:eastAsia="楷体_GB2312"/>
          <w:color w:val="000000" w:themeColor="text1"/>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lang w:val="en-US" w:eastAsia="zh-CN"/>
          <w14:textFill>
            <w14:solidFill>
              <w14:schemeClr w14:val="tx1"/>
            </w14:solidFill>
          </w14:textFill>
        </w:rPr>
        <w:t>部门</w:t>
      </w:r>
      <w:r>
        <w:rPr>
          <w:rFonts w:hint="eastAsia" w:ascii="楷体_GB2312" w:eastAsia="楷体_GB2312"/>
          <w:color w:val="000000" w:themeColor="text1"/>
          <w:szCs w:val="32"/>
          <w:highlight w:val="none"/>
          <w14:textFill>
            <w14:solidFill>
              <w14:schemeClr w14:val="tx1"/>
            </w14:solidFill>
          </w14:textFill>
        </w:rPr>
        <w:t>单位</w:t>
      </w:r>
      <w:r>
        <w:rPr>
          <w:rFonts w:hint="eastAsia" w:ascii="楷体_GB2312" w:eastAsia="楷体_GB2312"/>
          <w:color w:val="000000" w:themeColor="text1"/>
          <w:szCs w:val="32"/>
          <w:highlight w:val="none"/>
          <w:lang w:val="en-US" w:eastAsia="zh-CN"/>
          <w14:textFill>
            <w14:solidFill>
              <w14:schemeClr w14:val="tx1"/>
            </w14:solidFill>
          </w14:textFill>
        </w:rPr>
        <w:t>年度重点工作</w:t>
      </w:r>
    </w:p>
    <w:p>
      <w:pPr>
        <w:keepNext w:val="0"/>
        <w:keepLines w:val="0"/>
        <w:pageBreakBefore w:val="0"/>
        <w:widowControl w:val="0"/>
        <w:kinsoku/>
        <w:wordWrap/>
        <w:overflowPunct/>
        <w:topLinePunct w:val="0"/>
        <w:autoSpaceDE/>
        <w:autoSpaceDN/>
        <w:bidi w:val="0"/>
        <w:adjustRightInd/>
        <w:snapToGrid/>
        <w:spacing w:line="570" w:lineRule="exact"/>
        <w:rPr>
          <w:rFonts w:hint="default"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1.年度工作计划</w:t>
      </w:r>
    </w:p>
    <w:p>
      <w:pPr>
        <w:pStyle w:val="28"/>
        <w:keepNext w:val="0"/>
        <w:keepLines w:val="0"/>
        <w:pageBreakBefore w:val="0"/>
        <w:widowControl w:val="0"/>
        <w:numPr>
          <w:ilvl w:val="0"/>
          <w:numId w:val="0"/>
        </w:numPr>
        <w:kinsoku/>
        <w:wordWrap/>
        <w:overflowPunct/>
        <w:topLinePunct w:val="0"/>
        <w:autoSpaceDE/>
        <w:autoSpaceDN/>
        <w:bidi w:val="0"/>
        <w:adjustRightInd/>
        <w:snapToGrid/>
        <w:spacing w:line="570" w:lineRule="exact"/>
        <w:ind w:leftChars="0" w:firstLine="643"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一是</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持续推出舞台精品，打造</w:t>
      </w:r>
      <w:r>
        <w:rPr>
          <w:rFonts w:hint="eastAsia" w:ascii="仿宋_GB2312" w:hAnsi="仿宋_GB2312" w:eastAsia="仿宋_GB2312" w:cs="仿宋_GB2312"/>
          <w:b/>
          <w:bCs/>
          <w:color w:val="000000" w:themeColor="text1"/>
          <w:sz w:val="32"/>
          <w:szCs w:val="32"/>
          <w:highlight w:val="none"/>
          <w14:textFill>
            <w14:solidFill>
              <w14:schemeClr w14:val="tx1"/>
            </w14:solidFill>
          </w14:textFill>
        </w:rPr>
        <w:t>大美沙湾</w:t>
      </w: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名片。</w:t>
      </w:r>
      <w:r>
        <w:rPr>
          <w:rFonts w:hint="eastAsia" w:ascii="仿宋_GB2312" w:hAnsi="仿宋_GB2312" w:eastAsia="仿宋_GB2312" w:cs="仿宋_GB2312"/>
          <w:color w:val="000000" w:themeColor="text1"/>
          <w:sz w:val="32"/>
          <w:szCs w:val="32"/>
          <w:highlight w:val="none"/>
          <w14:textFill>
            <w14:solidFill>
              <w14:schemeClr w14:val="tx1"/>
            </w14:solidFill>
          </w14:textFill>
        </w:rPr>
        <w:t>沙湾市文旅局</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通过资金申请、人才培养、展演推动、融合创新等方法，全力推动舞台精品创建，申请</w:t>
      </w:r>
      <w:r>
        <w:rPr>
          <w:rFonts w:hint="eastAsia" w:ascii="仿宋_GB2312" w:hAnsi="仿宋_GB2312" w:eastAsia="仿宋_GB2312" w:cs="仿宋_GB2312"/>
          <w:color w:val="000000" w:themeColor="text1"/>
          <w:sz w:val="32"/>
          <w:szCs w:val="32"/>
          <w:highlight w:val="none"/>
          <w14:textFill>
            <w14:solidFill>
              <w14:schemeClr w14:val="tx1"/>
            </w14:solidFill>
          </w14:textFill>
        </w:rPr>
        <w:t>自治区文艺扶持激励项目</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，创排</w:t>
      </w:r>
      <w:r>
        <w:rPr>
          <w:rFonts w:hint="eastAsia" w:ascii="仿宋_GB2312" w:hAnsi="仿宋_GB2312" w:eastAsia="仿宋_GB2312" w:cs="仿宋_GB2312"/>
          <w:color w:val="000000" w:themeColor="text1"/>
          <w:sz w:val="32"/>
          <w:szCs w:val="32"/>
          <w:highlight w:val="none"/>
          <w14:textFill>
            <w14:solidFill>
              <w14:schemeClr w14:val="tx1"/>
            </w14:solidFill>
          </w14:textFill>
        </w:rPr>
        <w:t>话剧《大盘鸡的故事》，</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已</w:t>
      </w:r>
      <w:r>
        <w:rPr>
          <w:rFonts w:hint="eastAsia" w:ascii="仿宋_GB2312" w:hAnsi="仿宋_GB2312" w:eastAsia="仿宋_GB2312" w:cs="仿宋_GB2312"/>
          <w:color w:val="000000" w:themeColor="text1"/>
          <w:sz w:val="32"/>
          <w:szCs w:val="32"/>
          <w:highlight w:val="none"/>
          <w14:textFill>
            <w14:solidFill>
              <w14:schemeClr w14:val="tx1"/>
            </w14:solidFill>
          </w14:textFill>
        </w:rPr>
        <w:t>顺利通过自治区党委宣传部结项验收，并开展</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w:t>
      </w:r>
      <w:r>
        <w:rPr>
          <w:rFonts w:hint="eastAsia" w:ascii="仿宋_GB2312" w:hAnsi="仿宋_GB2312" w:eastAsia="仿宋_GB2312" w:cs="仿宋_GB2312"/>
          <w:color w:val="000000" w:themeColor="text1"/>
          <w:sz w:val="32"/>
          <w:szCs w:val="32"/>
          <w:highlight w:val="none"/>
          <w14:textFill>
            <w14:solidFill>
              <w14:schemeClr w14:val="tx1"/>
            </w14:solidFill>
          </w14:textFill>
        </w:rPr>
        <w:t>场惠民演出，受到广大群众一致好评。</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利用本土原创，</w:t>
      </w:r>
      <w:r>
        <w:rPr>
          <w:rFonts w:hint="eastAsia" w:ascii="仿宋_GB2312" w:hAnsi="仿宋_GB2312" w:eastAsia="仿宋_GB2312" w:cs="仿宋_GB2312"/>
          <w:color w:val="000000" w:themeColor="text1"/>
          <w:sz w:val="32"/>
          <w:szCs w:val="32"/>
          <w:highlight w:val="none"/>
          <w14:textFill>
            <w14:solidFill>
              <w14:schemeClr w14:val="tx1"/>
            </w14:solidFill>
          </w14:textFill>
        </w:rPr>
        <w:t>精心编排小品《大盘鸡》，通过多种文艺表现形式，宣传沙湾大盘鸡美食文化名片，进一步提高沙湾知名度和美誉度。</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二是传承非遗技艺，弘扬传统文化。</w:t>
      </w:r>
      <w:r>
        <w:rPr>
          <w:rFonts w:hint="eastAsia" w:ascii="仿宋_GB2312" w:hAnsi="仿宋_GB2312" w:eastAsia="仿宋_GB2312" w:cs="仿宋_GB2312"/>
          <w:color w:val="000000" w:themeColor="text1"/>
          <w:sz w:val="32"/>
          <w:szCs w:val="32"/>
          <w:highlight w:val="none"/>
          <w14:textFill>
            <w14:solidFill>
              <w14:schemeClr w14:val="tx1"/>
            </w14:solidFill>
          </w14:textFill>
        </w:rPr>
        <w:t>沙湾市文旅局</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注重</w:t>
      </w:r>
      <w:r>
        <w:rPr>
          <w:rFonts w:hint="eastAsia" w:ascii="仿宋_GB2312" w:hAnsi="仿宋_GB2312" w:eastAsia="仿宋_GB2312" w:cs="仿宋_GB2312"/>
          <w:color w:val="000000" w:themeColor="text1"/>
          <w:sz w:val="32"/>
          <w:szCs w:val="32"/>
          <w:highlight w:val="none"/>
          <w14:textFill>
            <w14:solidFill>
              <w14:schemeClr w14:val="tx1"/>
            </w14:solidFill>
          </w14:textFill>
        </w:rPr>
        <w:t>保护传承弘扬中华优秀传统文化工作，全面开展非物质文化遗产项目普查，成功将“大盘鸡烹饪技艺”申报为塔城地区级非物质文化遗产项目，积极邀请新疆书画院美术家在桑皮纸上创作《非遗沙湾大盘鸡烹饪技艺》长卷创作，进一步扩大沙湾大盘鸡的影响力。</w:t>
      </w:r>
    </w:p>
    <w:p>
      <w:pPr>
        <w:keepNext w:val="0"/>
        <w:keepLines w:val="0"/>
        <w:pageBreakBefore w:val="0"/>
        <w:widowControl w:val="0"/>
        <w:kinsoku/>
        <w:wordWrap/>
        <w:overflowPunct/>
        <w:topLinePunct w:val="0"/>
        <w:autoSpaceDE/>
        <w:autoSpaceDN/>
        <w:bidi w:val="0"/>
        <w:adjustRightInd/>
        <w:snapToGrid/>
        <w:spacing w:before="0" w:beforeAutospacing="0" w:after="0" w:afterAutospacing="0" w:line="570" w:lineRule="exact"/>
        <w:ind w:firstLine="643" w:firstLineChars="200"/>
        <w:jc w:val="both"/>
        <w:textAlignment w:val="baseline"/>
        <w:rPr>
          <w:rStyle w:val="29"/>
          <w:rFonts w:hint="eastAsia" w:ascii="仿宋_GB2312" w:hAnsi="仿宋_GB2312" w:eastAsia="仿宋_GB2312" w:cs="仿宋_GB2312"/>
          <w:b w:val="0"/>
          <w:bCs w:val="0"/>
          <w:i w:val="0"/>
          <w:caps w:val="0"/>
          <w:color w:val="000000" w:themeColor="text1"/>
          <w:spacing w:val="0"/>
          <w:w w:val="100"/>
          <w:kern w:val="2"/>
          <w:sz w:val="32"/>
          <w:szCs w:val="32"/>
          <w:highlight w:val="none"/>
          <w:lang w:val="en-US" w:eastAsia="zh-CN" w:bidi="ar-SA"/>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三是打造品牌节庆，擦亮大盘鸡城市名片。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自</w:t>
      </w:r>
      <w:r>
        <w:rPr>
          <w:rFonts w:hint="eastAsia"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t>2011</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年首届大盘美食文化旅游节开幕以来，沙湾市已精心开展7届大盘美食文化旅游节</w:t>
      </w:r>
      <w:r>
        <w:rPr>
          <w:rStyle w:val="29"/>
          <w:rFonts w:hint="eastAsia" w:ascii="仿宋_GB2312" w:hAnsi="仿宋_GB2312" w:eastAsia="仿宋_GB2312" w:cs="仿宋_GB2312"/>
          <w:b w:val="0"/>
          <w:bCs w:val="0"/>
          <w:i w:val="0"/>
          <w:caps w:val="0"/>
          <w:color w:val="000000" w:themeColor="text1"/>
          <w:spacing w:val="0"/>
          <w:w w:val="100"/>
          <w:kern w:val="2"/>
          <w:sz w:val="32"/>
          <w:szCs w:val="32"/>
          <w:highlight w:val="none"/>
          <w:lang w:val="en-US" w:eastAsia="zh-CN" w:bidi="ar-SA"/>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通过“旅游+文化”“旅游+美食”“旅游+体育”“旅游+康养”等模式</w:t>
      </w:r>
      <w:r>
        <w:rPr>
          <w:rStyle w:val="29"/>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highlight w:val="none"/>
          <w:shd w:val="clear" w:color="auto" w:fill="FFFFFF"/>
          <w:lang w:eastAsia="zh-CN"/>
          <w14:textFill>
            <w14:solidFill>
              <w14:schemeClr w14:val="tx1"/>
            </w14:solidFill>
          </w14:textFill>
        </w:rPr>
        <w:t>开展</w:t>
      </w:r>
      <w:r>
        <w:rPr>
          <w:rFonts w:hint="eastAsia" w:ascii="仿宋_GB2312" w:hAnsi="仿宋_GB2312" w:eastAsia="仿宋_GB2312" w:cs="仿宋_GB2312"/>
          <w:i w:val="0"/>
          <w:caps w:val="0"/>
          <w:color w:val="000000" w:themeColor="text1"/>
          <w:spacing w:val="0"/>
          <w:sz w:val="32"/>
          <w:szCs w:val="32"/>
          <w:highlight w:val="none"/>
          <w:shd w:val="clear" w:color="auto" w:fill="FFFFFF"/>
          <w14:textFill>
            <w14:solidFill>
              <w14:schemeClr w14:val="tx1"/>
            </w14:solidFill>
          </w14:textFill>
        </w:rPr>
        <w:t>“‘粽’享沙湾”好物美食发现之旅、自驾游露营音乐狂欢夜、</w:t>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t>香榭丽水上</w:t>
      </w:r>
      <w:r>
        <w:rPr>
          <w:rFonts w:hint="eastAsia" w:ascii="仿宋_GB2312" w:hAnsi="仿宋_GB2312" w:eastAsia="仿宋_GB2312" w:cs="仿宋_GB2312"/>
          <w:i w:val="0"/>
          <w:caps w:val="0"/>
          <w:color w:val="000000" w:themeColor="text1"/>
          <w:spacing w:val="0"/>
          <w:sz w:val="32"/>
          <w:szCs w:val="32"/>
          <w:highlight w:val="none"/>
          <w:shd w:val="clear" w:color="auto" w:fill="FFFFFF"/>
          <w14:textFill>
            <w14:solidFill>
              <w14:schemeClr w14:val="tx1"/>
            </w14:solidFill>
          </w14:textFill>
        </w:rPr>
        <w:t>电音节</w:t>
      </w:r>
      <w:r>
        <w:rPr>
          <w:rFonts w:hint="eastAsia" w:ascii="仿宋_GB2312" w:hAnsi="仿宋_GB2312" w:eastAsia="仿宋_GB2312" w:cs="仿宋_GB2312"/>
          <w:i w:val="0"/>
          <w:caps w:val="0"/>
          <w:color w:val="000000" w:themeColor="text1"/>
          <w:spacing w:val="0"/>
          <w:sz w:val="32"/>
          <w:szCs w:val="32"/>
          <w:highlight w:val="none"/>
          <w:shd w:val="clear" w:color="auto" w:fill="FFFFFF"/>
          <w:lang w:eastAsia="zh-CN"/>
          <w14:textFill>
            <w14:solidFill>
              <w14:schemeClr w14:val="tx1"/>
            </w14:solidFill>
          </w14:textFill>
        </w:rPr>
        <w:t>、</w:t>
      </w:r>
      <w:r>
        <w:rPr>
          <w:rFonts w:hint="eastAsia" w:ascii="仿宋_GB2312" w:hAnsi="仿宋_GB2312" w:eastAsia="仿宋_GB2312" w:cs="仿宋_GB2312"/>
          <w:i w:val="0"/>
          <w:caps w:val="0"/>
          <w:color w:val="000000" w:themeColor="text1"/>
          <w:spacing w:val="0"/>
          <w:sz w:val="32"/>
          <w:szCs w:val="32"/>
          <w:highlight w:val="none"/>
          <w:shd w:val="clear" w:color="auto" w:fill="FFFFFF"/>
          <w:lang w:val="en-US" w:eastAsia="zh-CN"/>
          <w14:textFill>
            <w14:solidFill>
              <w14:schemeClr w14:val="tx1"/>
            </w14:solidFill>
          </w14:textFill>
        </w:rPr>
        <w:t>拳王争霸赛、海来阿木演唱会、机车巡游等</w:t>
      </w:r>
      <w:r>
        <w:rPr>
          <w:rFonts w:hint="eastAsia" w:ascii="仿宋_GB2312" w:hAnsi="仿宋_GB2312" w:eastAsia="仿宋_GB2312" w:cs="仿宋_GB2312"/>
          <w:i w:val="0"/>
          <w:caps w:val="0"/>
          <w:color w:val="000000" w:themeColor="text1"/>
          <w:spacing w:val="0"/>
          <w:sz w:val="32"/>
          <w:szCs w:val="32"/>
          <w:highlight w:val="none"/>
          <w:shd w:val="clear" w:color="auto" w:fill="FFFFFF"/>
          <w14:textFill>
            <w14:solidFill>
              <w14:schemeClr w14:val="tx1"/>
            </w14:solidFill>
          </w14:textFill>
        </w:rPr>
        <w:t>系列活动，进一步营造浓厚的节日消费氛围，掀起消费热潮。</w:t>
      </w:r>
    </w:p>
    <w:p>
      <w:pPr>
        <w:keepNext w:val="0"/>
        <w:keepLines w:val="0"/>
        <w:pageBreakBefore w:val="0"/>
        <w:widowControl w:val="0"/>
        <w:kinsoku/>
        <w:wordWrap/>
        <w:overflowPunct/>
        <w:topLinePunct w:val="0"/>
        <w:autoSpaceDE/>
        <w:autoSpaceDN/>
        <w:bidi w:val="0"/>
        <w:adjustRightInd/>
        <w:snapToGrid/>
        <w:spacing w:line="570" w:lineRule="exact"/>
        <w:ind w:firstLine="643" w:firstLineChars="200"/>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四是康养旅游品牌更加响亮。</w:t>
      </w:r>
      <w:r>
        <w:rPr>
          <w:rFonts w:hint="eastAsia" w:ascii="仿宋_GB2312" w:hAnsi="仿宋_GB2312" w:eastAsia="仿宋_GB2312" w:cs="仿宋_GB2312"/>
          <w:color w:val="000000" w:themeColor="text1"/>
          <w:sz w:val="32"/>
          <w:szCs w:val="32"/>
          <w:highlight w:val="none"/>
          <w14:textFill>
            <w14:solidFill>
              <w14:schemeClr w14:val="tx1"/>
            </w14:solidFill>
          </w14:textFill>
        </w:rPr>
        <w:t>发挥热泉优势资源，积极谋划温泉景区基础设施建设项目，做强温泉康养品牌，成功创建沙湾温泉康养旅游示范基地优做强天赐圣泉公司度假康养旅游产业，创新市场运营，成功将温泉景区创建为自治区级康养旅游示范基地，向自治区“十四五”文化旅游发展规划目标迈进了一步。</w:t>
      </w:r>
    </w:p>
    <w:p>
      <w:pPr>
        <w:keepNext w:val="0"/>
        <w:keepLines w:val="0"/>
        <w:pageBreakBefore w:val="0"/>
        <w:widowControl w:val="0"/>
        <w:kinsoku/>
        <w:wordWrap/>
        <w:overflowPunct/>
        <w:topLinePunct w:val="0"/>
        <w:autoSpaceDE/>
        <w:autoSpaceDN/>
        <w:bidi w:val="0"/>
        <w:adjustRightInd/>
        <w:snapToGrid/>
        <w:spacing w:line="570" w:lineRule="exact"/>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eastAsia="zh-CN"/>
          <w14:textFill>
            <w14:solidFill>
              <w14:schemeClr w14:val="tx1"/>
            </w14:solidFill>
          </w14:textFill>
        </w:rPr>
        <w:t>五是旅游产业更有活力。</w:t>
      </w:r>
      <w:r>
        <w:rPr>
          <w:rFonts w:hint="eastAsia" w:ascii="仿宋_GB2312" w:hAnsi="仿宋_GB2312" w:eastAsia="仿宋_GB2312" w:cs="仿宋_GB2312"/>
          <w:color w:val="000000" w:themeColor="text1"/>
          <w:sz w:val="32"/>
          <w:szCs w:val="32"/>
          <w:highlight w:val="none"/>
          <w14:textFill>
            <w14:solidFill>
              <w14:schemeClr w14:val="tx1"/>
            </w14:solidFill>
          </w14:textFill>
        </w:rPr>
        <w:t>沙湾市深挖鹿角湾景区资源优势，引进疆山纪（鹿角湾）野奢营地项目，开发低空观光、草原休闲、高端民宿等旅游产品，着力把鹿角湾打造成全市精品核心景区。引进新疆文旅投集团整合开发鹿角湾、温泉和安集海大峡谷景区，为培育更具竞争力的5A级大景区谋篇布局。</w:t>
      </w:r>
    </w:p>
    <w:p>
      <w:pPr>
        <w:bidi w:val="0"/>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2.年度总体绩效目标</w:t>
      </w:r>
    </w:p>
    <w:p>
      <w:pPr>
        <w:pStyle w:val="18"/>
        <w:keepNext w:val="0"/>
        <w:keepLines w:val="0"/>
        <w:pageBreakBefore w:val="0"/>
        <w:widowControl w:val="0"/>
        <w:numPr>
          <w:ilvl w:val="0"/>
          <w:numId w:val="0"/>
        </w:numPr>
        <w:kinsoku/>
        <w:wordWrap/>
        <w:overflowPunct/>
        <w:topLinePunct w:val="0"/>
        <w:autoSpaceDE/>
        <w:autoSpaceDN/>
        <w:bidi w:val="0"/>
        <w:adjustRightInd/>
        <w:snapToGrid w:val="0"/>
        <w:spacing w:line="570" w:lineRule="exact"/>
        <w:ind w:firstLine="640" w:firstLineChars="200"/>
        <w:textAlignment w:val="auto"/>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pP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2023年沙湾市文旅局组织推动全市文化、体育、广播电视的事业、产业和旅游业发展，拟订发展规划并组织实施；推进文化、体育、旅游和广播电视体制机制改革；推进文化和旅游融合发展，促进文化和旅游与相关产业融合发展。组织实施全市文化、旅游资源的普查、挖掘、保护与利用，促进文化、体育、旅游和广播电视产业发展；组织全县文化和旅游整体形象推广，促进文化、体育、旅游和广播电视产业对外合作交流和市场推广，制定全市旅游市场开发战略并组织实施，推进全域旅游；组织、管理和协调、指导全市重大文化、旅游、广播电视宣传等活动和体育赛事。推进全市文化、体育、旅游、广播电视基础设施建设和公共服务体系建设，深入实施文化、体育、旅游、广播电视惠民工程，统筹推进文化、体育、旅游、广播电视基本公共服务标准化、均等化。</w:t>
      </w:r>
    </w:p>
    <w:p>
      <w:pPr>
        <w:bidi w:val="0"/>
        <w:rPr>
          <w:rFonts w:hint="eastAsia" w:ascii="仿宋_GB2312" w:hAnsi="仿宋_GB2312" w:eastAsia="仿宋_GB2312" w:cs="仿宋_GB2312"/>
          <w:b/>
          <w:bCs/>
          <w:color w:val="000000" w:themeColor="text1"/>
          <w:sz w:val="32"/>
          <w:szCs w:val="32"/>
          <w:highlight w:val="none"/>
          <w:lang w:val="en-US" w:eastAsia="zh-Hans"/>
          <w14:textFill>
            <w14:solidFill>
              <w14:schemeClr w14:val="tx1"/>
            </w14:solidFill>
          </w14:textFill>
        </w:rPr>
      </w:pPr>
      <w:r>
        <w:rPr>
          <w:rFonts w:hint="eastAsia" w:ascii="仿宋_GB2312" w:hAnsi="仿宋_GB2312" w:eastAsia="仿宋_GB2312" w:cs="仿宋_GB2312"/>
          <w:b/>
          <w:bCs/>
          <w:color w:val="000000" w:themeColor="text1"/>
          <w:sz w:val="32"/>
          <w:szCs w:val="32"/>
          <w:highlight w:val="none"/>
          <w:lang w:val="en-US" w:eastAsia="zh-CN"/>
          <w14:textFill>
            <w14:solidFill>
              <w14:schemeClr w14:val="tx1"/>
            </w14:solidFill>
          </w14:textFill>
        </w:rPr>
        <w:t>3.机构人员保障情况</w:t>
      </w:r>
    </w:p>
    <w:p>
      <w:pPr>
        <w:pageBreakBefore w:val="0"/>
        <w:kinsoku/>
        <w:wordWrap/>
        <w:overflowPunct/>
        <w:topLinePunct w:val="0"/>
        <w:autoSpaceDE/>
        <w:autoSpaceDN/>
        <w:bidi w:val="0"/>
        <w:snapToGrid w:val="0"/>
        <w:spacing w:line="560" w:lineRule="exact"/>
        <w:ind w:firstLine="640" w:firstLineChars="200"/>
        <w:textAlignment w:val="auto"/>
        <w:rPr>
          <w:rStyle w:val="16"/>
          <w:rFonts w:hint="eastAsia" w:ascii="仿宋" w:hAnsi="仿宋" w:eastAsia="仿宋" w:cs="仿宋"/>
          <w:b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沙湾市文化体育广播电视和旅游局2023年通过本部门预算支出，</w:t>
      </w:r>
      <w:r>
        <w:rPr>
          <w:rStyle w:val="16"/>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确保</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了44名</w:t>
      </w:r>
      <w:r>
        <w:rPr>
          <w:rStyle w:val="16"/>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在职人员的工资、津贴、补贴、社保、绩效、公积金等以及</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19名</w:t>
      </w:r>
      <w:r>
        <w:rPr>
          <w:rStyle w:val="16"/>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离退休人员的工资、医疗费等人员保障性经费能够依规、按时、足额发放或缴纳，提升部门人员工作积极性和服务质量。</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同时，</w:t>
      </w:r>
      <w:r>
        <w:rPr>
          <w:rStyle w:val="16"/>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保障</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了</w:t>
      </w:r>
      <w:r>
        <w:rPr>
          <w:rStyle w:val="16"/>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部门</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全年正</w:t>
      </w:r>
      <w:r>
        <w:rPr>
          <w:rStyle w:val="16"/>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常运转，为部门正常履职和开展综合性事务管理提供有效支撑。</w:t>
      </w:r>
    </w:p>
    <w:p>
      <w:pPr>
        <w:pageBreakBefore w:val="0"/>
        <w:kinsoku/>
        <w:wordWrap/>
        <w:overflowPunct/>
        <w:topLinePunct w:val="0"/>
        <w:autoSpaceDE/>
        <w:autoSpaceDN/>
        <w:bidi w:val="0"/>
        <w:snapToGrid w:val="0"/>
        <w:spacing w:line="560" w:lineRule="exact"/>
        <w:ind w:firstLine="640" w:firstLineChars="200"/>
        <w:textAlignment w:val="auto"/>
        <w:rPr>
          <w:rStyle w:val="16"/>
          <w:rFonts w:ascii="仿宋" w:hAnsi="仿宋" w:eastAsia="仿宋" w:cs="仿宋"/>
          <w:b w:val="0"/>
          <w:color w:val="000000" w:themeColor="text1"/>
          <w:sz w:val="32"/>
          <w:szCs w:val="32"/>
          <w:highlight w:val="none"/>
          <w:lang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为进一步推进</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单位年度重点</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工作</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落地生效</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w:t>
      </w:r>
      <w:r>
        <w:rPr>
          <w:rStyle w:val="16"/>
          <w:rFonts w:hint="eastAsia" w:cs="仿宋"/>
          <w:b w:val="0"/>
          <w:color w:val="000000" w:themeColor="text1"/>
          <w:sz w:val="32"/>
          <w:szCs w:val="32"/>
          <w:highlight w:val="none"/>
          <w:lang w:val="en-US" w:eastAsia="zh-CN" w:bidi="ar"/>
          <w14:textFill>
            <w14:solidFill>
              <w14:schemeClr w14:val="tx1"/>
            </w14:solidFill>
          </w14:textFill>
        </w:rPr>
        <w:t>我</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单位</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成立了以局长为组长、各副局长为副组长，各业务股室和财务室为成员的重点工作小组，办公室设在</w:t>
      </w:r>
      <w:r>
        <w:rPr>
          <w:rStyle w:val="16"/>
          <w:rFonts w:hint="eastAsia" w:cs="仿宋"/>
          <w:b w:val="0"/>
          <w:color w:val="000000" w:themeColor="text1"/>
          <w:sz w:val="32"/>
          <w:szCs w:val="32"/>
          <w:highlight w:val="none"/>
          <w:lang w:val="en-US" w:eastAsia="zh-CN" w:bidi="ar"/>
          <w14:textFill>
            <w14:solidFill>
              <w14:schemeClr w14:val="tx1"/>
            </w14:solidFill>
          </w14:textFill>
        </w:rPr>
        <w:t>财务</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室，负责牵头完成</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年度</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重点工作。</w:t>
      </w:r>
    </w:p>
    <w:p>
      <w:pPr>
        <w:pageBreakBefore w:val="0"/>
        <w:kinsoku/>
        <w:wordWrap/>
        <w:overflowPunct/>
        <w:topLinePunct w:val="0"/>
        <w:autoSpaceDE/>
        <w:autoSpaceDN/>
        <w:bidi w:val="0"/>
        <w:snapToGrid w:val="0"/>
        <w:spacing w:line="560" w:lineRule="exact"/>
        <w:ind w:firstLine="640" w:firstLineChars="200"/>
        <w:textAlignment w:val="auto"/>
        <w:rPr>
          <w:rStyle w:val="16"/>
          <w:rFonts w:ascii="仿宋" w:hAnsi="仿宋" w:eastAsia="仿宋" w:cs="仿宋"/>
          <w:b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沙湾市文化体育广播电视和旅游局</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单位年度重点工作小组成员如下：</w:t>
      </w:r>
    </w:p>
    <w:p>
      <w:pPr>
        <w:pageBreakBefore w:val="0"/>
        <w:kinsoku/>
        <w:wordWrap/>
        <w:overflowPunct/>
        <w:topLinePunct w:val="0"/>
        <w:autoSpaceDE/>
        <w:autoSpaceDN/>
        <w:bidi w:val="0"/>
        <w:snapToGrid w:val="0"/>
        <w:spacing w:line="560" w:lineRule="exact"/>
        <w:ind w:firstLine="640" w:firstLineChars="200"/>
        <w:textAlignment w:val="auto"/>
        <w:rPr>
          <w:rStyle w:val="16"/>
          <w:rFonts w:ascii="仿宋" w:hAnsi="仿宋" w:eastAsia="仿宋" w:cs="仿宋"/>
          <w:b w:val="0"/>
          <w:color w:val="000000" w:themeColor="text1"/>
          <w:sz w:val="32"/>
          <w:szCs w:val="32"/>
          <w:highlight w:val="none"/>
          <w:lang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组</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 xml:space="preserve">  </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长：</w:t>
      </w:r>
      <w:r>
        <w:rPr>
          <w:rStyle w:val="16"/>
          <w:rFonts w:hint="eastAsia" w:cs="仿宋"/>
          <w:b w:val="0"/>
          <w:color w:val="000000" w:themeColor="text1"/>
          <w:sz w:val="32"/>
          <w:szCs w:val="32"/>
          <w:highlight w:val="none"/>
          <w:lang w:val="en-US" w:eastAsia="zh-CN" w:bidi="ar"/>
          <w14:textFill>
            <w14:solidFill>
              <w14:schemeClr w14:val="tx1"/>
            </w14:solidFill>
          </w14:textFill>
        </w:rPr>
        <w:t>胡志莉</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 xml:space="preserve">  </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局长</w:t>
      </w:r>
    </w:p>
    <w:p>
      <w:pPr>
        <w:pageBreakBefore w:val="0"/>
        <w:kinsoku/>
        <w:wordWrap/>
        <w:overflowPunct/>
        <w:topLinePunct w:val="0"/>
        <w:autoSpaceDE/>
        <w:autoSpaceDN/>
        <w:bidi w:val="0"/>
        <w:snapToGrid w:val="0"/>
        <w:spacing w:line="560" w:lineRule="exact"/>
        <w:ind w:firstLine="640" w:firstLineChars="200"/>
        <w:textAlignment w:val="auto"/>
        <w:rPr>
          <w:rStyle w:val="16"/>
          <w:rFonts w:ascii="仿宋" w:hAnsi="仿宋" w:eastAsia="仿宋" w:cs="仿宋"/>
          <w:b w:val="0"/>
          <w:color w:val="000000" w:themeColor="text1"/>
          <w:sz w:val="32"/>
          <w:szCs w:val="32"/>
          <w:highlight w:val="none"/>
          <w:lang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副组长：</w:t>
      </w:r>
      <w:r>
        <w:rPr>
          <w:rStyle w:val="16"/>
          <w:rFonts w:hint="eastAsia" w:cs="仿宋"/>
          <w:b w:val="0"/>
          <w:color w:val="000000" w:themeColor="text1"/>
          <w:sz w:val="32"/>
          <w:szCs w:val="32"/>
          <w:highlight w:val="none"/>
          <w:lang w:val="en-US" w:eastAsia="zh-CN" w:bidi="ar"/>
          <w14:textFill>
            <w14:solidFill>
              <w14:schemeClr w14:val="tx1"/>
            </w14:solidFill>
          </w14:textFill>
        </w:rPr>
        <w:t>杨志兵</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 xml:space="preserve">  </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副局长</w:t>
      </w:r>
    </w:p>
    <w:p>
      <w:pPr>
        <w:pageBreakBefore w:val="0"/>
        <w:kinsoku/>
        <w:wordWrap/>
        <w:overflowPunct/>
        <w:topLinePunct w:val="0"/>
        <w:autoSpaceDE/>
        <w:autoSpaceDN/>
        <w:bidi w:val="0"/>
        <w:snapToGrid w:val="0"/>
        <w:spacing w:line="560" w:lineRule="exact"/>
        <w:ind w:firstLine="640" w:firstLineChars="200"/>
        <w:textAlignment w:val="auto"/>
        <w:rPr>
          <w:rStyle w:val="16"/>
          <w:rFonts w:ascii="仿宋" w:hAnsi="仿宋" w:eastAsia="仿宋" w:cs="仿宋"/>
          <w:b w:val="0"/>
          <w:color w:val="000000" w:themeColor="text1"/>
          <w:sz w:val="32"/>
          <w:szCs w:val="32"/>
          <w:highlight w:val="none"/>
          <w:lang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成</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 xml:space="preserve">  </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员：</w:t>
      </w:r>
      <w:r>
        <w:rPr>
          <w:rStyle w:val="16"/>
          <w:rFonts w:hint="eastAsia" w:cs="仿宋"/>
          <w:b w:val="0"/>
          <w:color w:val="000000" w:themeColor="text1"/>
          <w:sz w:val="32"/>
          <w:szCs w:val="32"/>
          <w:highlight w:val="none"/>
          <w:lang w:val="en-US" w:eastAsia="zh-CN" w:bidi="ar"/>
          <w14:textFill>
            <w14:solidFill>
              <w14:schemeClr w14:val="tx1"/>
            </w14:solidFill>
          </w14:textFill>
        </w:rPr>
        <w:t>阿依努尔</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 xml:space="preserve">   </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财务股股长</w:t>
      </w:r>
    </w:p>
    <w:p>
      <w:pPr>
        <w:pageBreakBefore w:val="0"/>
        <w:kinsoku/>
        <w:wordWrap/>
        <w:overflowPunct/>
        <w:topLinePunct w:val="0"/>
        <w:autoSpaceDE/>
        <w:autoSpaceDN/>
        <w:bidi w:val="0"/>
        <w:snapToGrid w:val="0"/>
        <w:spacing w:line="560" w:lineRule="exact"/>
        <w:ind w:firstLine="1920" w:firstLineChars="600"/>
        <w:textAlignment w:val="auto"/>
        <w:rPr>
          <w:rStyle w:val="16"/>
          <w:rFonts w:ascii="仿宋" w:hAnsi="仿宋" w:eastAsia="仿宋" w:cs="仿宋"/>
          <w:b w:val="0"/>
          <w:color w:val="000000" w:themeColor="text1"/>
          <w:sz w:val="32"/>
          <w:szCs w:val="32"/>
          <w:highlight w:val="none"/>
          <w:lang w:bidi="ar"/>
          <w14:textFill>
            <w14:solidFill>
              <w14:schemeClr w14:val="tx1"/>
            </w14:solidFill>
          </w14:textFill>
        </w:rPr>
      </w:pPr>
      <w:r>
        <w:rPr>
          <w:rStyle w:val="16"/>
          <w:rFonts w:hint="eastAsia" w:cs="仿宋"/>
          <w:b w:val="0"/>
          <w:color w:val="000000" w:themeColor="text1"/>
          <w:sz w:val="32"/>
          <w:szCs w:val="32"/>
          <w:highlight w:val="none"/>
          <w:lang w:val="en-US" w:eastAsia="zh-CN" w:bidi="ar"/>
          <w14:textFill>
            <w14:solidFill>
              <w14:schemeClr w14:val="tx1"/>
            </w14:solidFill>
          </w14:textFill>
        </w:rPr>
        <w:t>李艳</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 xml:space="preserve">   </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办公室主任</w:t>
      </w:r>
    </w:p>
    <w:p>
      <w:pPr>
        <w:pStyle w:val="4"/>
        <w:numPr>
          <w:ilvl w:val="0"/>
          <w:numId w:val="1"/>
        </w:numPr>
        <w:spacing w:line="570" w:lineRule="exact"/>
        <w:ind w:firstLine="643"/>
        <w:rPr>
          <w:rFonts w:hint="eastAsia" w:ascii="楷体_GB2312" w:eastAsia="楷体_GB2312"/>
          <w:color w:val="000000" w:themeColor="text1"/>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lang w:val="en-US" w:eastAsia="zh-CN"/>
          <w14:textFill>
            <w14:solidFill>
              <w14:schemeClr w14:val="tx1"/>
            </w14:solidFill>
          </w14:textFill>
        </w:rPr>
        <w:t>部门单位整体预算规模及安排情况</w:t>
      </w:r>
    </w:p>
    <w:p>
      <w:pPr>
        <w:pStyle w:val="18"/>
        <w:snapToGrid w:val="0"/>
        <w:spacing w:line="570" w:lineRule="exact"/>
        <w:ind w:firstLine="643"/>
        <w:outlineLvl w:val="2"/>
        <w:rPr>
          <w:rStyle w:val="16"/>
          <w:rFonts w:ascii="仿宋_GB2312" w:hAnsi="仿宋_GB2312" w:eastAsia="仿宋_GB2312" w:cs="仿宋_GB2312"/>
          <w:b/>
          <w:bCs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
          <w:bCs w:val="0"/>
          <w:color w:val="000000" w:themeColor="text1"/>
          <w:sz w:val="32"/>
          <w:szCs w:val="32"/>
          <w:highlight w:val="none"/>
          <w:lang w:bidi="ar"/>
          <w14:textFill>
            <w14:solidFill>
              <w14:schemeClr w14:val="tx1"/>
            </w14:solidFill>
          </w14:textFill>
        </w:rPr>
        <w:t>1.部门单位预算编制及分配依据</w:t>
      </w:r>
    </w:p>
    <w:p>
      <w:pPr>
        <w:pStyle w:val="18"/>
        <w:snapToGrid w:val="0"/>
        <w:spacing w:line="570" w:lineRule="exact"/>
        <w:ind w:firstLine="640"/>
        <w:rPr>
          <w:rStyle w:val="16"/>
          <w:rFonts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本</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单位年初根据单位职能及工作计划按照“量入为出、收支平衡”的原则，编制部门预算。基本支出预算由工资福利支出、商品和服务支出、对个人和家庭的补助支出三部分构成；项目支出预算按</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其</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支出性质分为公共管理事务类项目和发展建设类项目。公共管理事务类项目反映用于社会管理、公共事业发展、社会保障等方面的项目资金。发展建设类项目反映用于城乡公共基础设施和社会事业建设与维护</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费</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等方面的项目资金。合理规范编制部门预算，分配依据充分。</w:t>
      </w:r>
    </w:p>
    <w:p>
      <w:pPr>
        <w:pStyle w:val="18"/>
        <w:snapToGrid w:val="0"/>
        <w:spacing w:line="570" w:lineRule="exact"/>
        <w:ind w:firstLine="643"/>
        <w:outlineLvl w:val="2"/>
        <w:rPr>
          <w:rStyle w:val="16"/>
          <w:rFonts w:ascii="仿宋_GB2312" w:hAnsi="仿宋_GB2312" w:eastAsia="仿宋_GB2312" w:cs="仿宋_GB2312"/>
          <w:bCs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Cs w:val="0"/>
          <w:color w:val="000000" w:themeColor="text1"/>
          <w:sz w:val="32"/>
          <w:szCs w:val="32"/>
          <w:highlight w:val="none"/>
          <w:lang w:bidi="ar"/>
          <w14:textFill>
            <w14:solidFill>
              <w14:schemeClr w14:val="tx1"/>
            </w14:solidFill>
          </w14:textFill>
        </w:rPr>
        <w:t>2.分配结果</w:t>
      </w:r>
    </w:p>
    <w:p>
      <w:pPr>
        <w:widowControl/>
        <w:ind w:firstLine="643"/>
        <w:jc w:val="left"/>
        <w:rPr>
          <w:rStyle w:val="16"/>
          <w:rFonts w:hint="eastAsia" w:ascii="仿宋_GB2312" w:hAnsi="仿宋_GB2312" w:eastAsia="仿宋_GB2312" w:cs="仿宋_GB2312"/>
          <w:b w:val="0"/>
          <w:color w:val="000000" w:themeColor="text1"/>
          <w:kern w:val="2"/>
          <w:sz w:val="32"/>
          <w:szCs w:val="32"/>
          <w:highlight w:val="none"/>
          <w:lang w:val="en-US" w:eastAsia="zh-CN" w:bidi="ar"/>
          <w14:textFill>
            <w14:solidFill>
              <w14:schemeClr w14:val="tx1"/>
            </w14:solidFill>
          </w14:textFill>
        </w:rPr>
      </w:pPr>
      <w:r>
        <w:rPr>
          <w:rStyle w:val="16"/>
          <w:rFonts w:hint="eastAsia" w:ascii="仿宋_GB2312" w:hAnsi="仿宋_GB2312" w:eastAsia="仿宋_GB2312" w:cs="仿宋_GB2312"/>
          <w:b w:val="0"/>
          <w:color w:val="000000" w:themeColor="text1"/>
          <w:kern w:val="2"/>
          <w:sz w:val="32"/>
          <w:szCs w:val="32"/>
          <w:highlight w:val="none"/>
          <w:lang w:val="en-US" w:eastAsia="zh-CN" w:bidi="ar"/>
          <w14:textFill>
            <w14:solidFill>
              <w14:schemeClr w14:val="tx1"/>
            </w14:solidFill>
          </w14:textFill>
        </w:rPr>
        <w:t>本单位基本支出根据单位人员编制、实有人数、资产情况等要素进行预算编制；项目支出根据单位工作职能，年度计划等要素进行预算编制。预算批复后，严格按照财政部门批复的预算和绩效目标执行。</w:t>
      </w:r>
    </w:p>
    <w:p>
      <w:pPr>
        <w:pStyle w:val="18"/>
        <w:snapToGrid w:val="0"/>
        <w:spacing w:line="570" w:lineRule="exact"/>
        <w:ind w:firstLine="640"/>
        <w:rPr>
          <w:rFonts w:hint="eastAsia" w:ascii="仿宋_GB2312" w:eastAsia="仿宋_GB2312"/>
          <w:b/>
          <w:bCs/>
          <w:color w:val="000000" w:themeColor="text1"/>
          <w:sz w:val="32"/>
          <w:szCs w:val="32"/>
          <w:highlight w:val="none"/>
          <w:lang w:val="en-US" w:eastAsia="zh-CN"/>
          <w14:textFill>
            <w14:solidFill>
              <w14:schemeClr w14:val="tx1"/>
            </w14:solidFill>
          </w14:textFill>
        </w:rPr>
      </w:pP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预算编制和分配符合</w:t>
      </w:r>
      <w:r>
        <w:rPr>
          <w:rStyle w:val="16"/>
          <w:rFonts w:hint="eastAsia" w:ascii="仿宋_GB2312" w:hAnsi="仿宋_GB2312" w:eastAsia="仿宋_GB2312" w:cs="仿宋_GB2312"/>
          <w:b w:val="0"/>
          <w:color w:val="000000" w:themeColor="text1"/>
          <w:sz w:val="32"/>
          <w:szCs w:val="32"/>
          <w:highlight w:val="none"/>
          <w:lang w:eastAsia="zh-Hans" w:bidi="ar"/>
          <w14:textFill>
            <w14:solidFill>
              <w14:schemeClr w14:val="tx1"/>
            </w14:solidFill>
          </w14:textFill>
        </w:rPr>
        <w:t>本</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部门职责和任务要求，能根据年度工作重点，在不同项目、不同用途之间进行合理分配。整体绩效目标与预算确定的资金相匹配。</w:t>
      </w:r>
    </w:p>
    <w:p>
      <w:pPr>
        <w:keepLines w:val="0"/>
        <w:pageBreakBefore w:val="0"/>
        <w:kinsoku/>
        <w:wordWrap/>
        <w:overflowPunct/>
        <w:topLinePunct w:val="0"/>
        <w:autoSpaceDE/>
        <w:autoSpaceDN/>
        <w:bidi w:val="0"/>
        <w:adjustRightInd/>
        <w:spacing w:line="500" w:lineRule="exact"/>
        <w:ind w:firstLine="643" w:firstLineChars="200"/>
        <w:textAlignment w:val="auto"/>
        <w:rPr>
          <w:rFonts w:hint="eastAsia" w:ascii="方正仿宋_GBK" w:hAnsi="方正仿宋_GBK" w:eastAsia="方正仿宋_GBK" w:cs="方正仿宋_GBK"/>
          <w:b/>
          <w:bCs/>
          <w:color w:val="000000" w:themeColor="text1"/>
          <w:kern w:val="2"/>
          <w:sz w:val="32"/>
          <w:szCs w:val="32"/>
          <w:highlight w:val="none"/>
          <w:lang w:val="en-US" w:eastAsia="zh-CN" w:bidi="ar-SA"/>
          <w14:textFill>
            <w14:solidFill>
              <w14:schemeClr w14:val="tx1"/>
            </w14:solidFill>
          </w14:textFill>
        </w:rPr>
      </w:pPr>
      <w:r>
        <w:rPr>
          <w:rStyle w:val="16"/>
          <w:rFonts w:hint="eastAsia" w:ascii="仿宋_GB2312" w:hAnsi="仿宋_GB2312" w:eastAsia="仿宋_GB2312" w:cs="仿宋_GB2312"/>
          <w:bCs w:val="0"/>
          <w:color w:val="000000" w:themeColor="text1"/>
          <w:kern w:val="2"/>
          <w:sz w:val="32"/>
          <w:szCs w:val="32"/>
          <w:highlight w:val="none"/>
          <w:lang w:val="en-US" w:eastAsia="zh-CN" w:bidi="ar"/>
          <w14:textFill>
            <w14:solidFill>
              <w14:schemeClr w14:val="tx1"/>
            </w14:solidFill>
          </w14:textFill>
        </w:rPr>
        <w:t>3.年初预算安排规模</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2</w:t>
      </w:r>
      <w:r>
        <w:rPr>
          <w:rStyle w:val="16"/>
          <w:rFonts w:ascii="仿宋" w:hAnsi="仿宋" w:eastAsia="仿宋" w:cs="仿宋"/>
          <w:b w:val="0"/>
          <w:color w:val="000000" w:themeColor="text1"/>
          <w:sz w:val="32"/>
          <w:szCs w:val="32"/>
          <w:highlight w:val="none"/>
          <w:lang w:bidi="ar"/>
          <w14:textFill>
            <w14:solidFill>
              <w14:schemeClr w14:val="tx1"/>
            </w14:solidFill>
          </w14:textFill>
        </w:rPr>
        <w:t>02</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3</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年整体支出</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年初</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预算为</w:t>
      </w:r>
      <w:r>
        <w:rPr>
          <w:rFonts w:hint="eastAsia" w:cs="仿宋"/>
          <w:color w:val="000000" w:themeColor="text1"/>
          <w:sz w:val="32"/>
          <w:szCs w:val="32"/>
          <w:highlight w:val="none"/>
          <w:lang w:val="en-US" w:eastAsia="zh-CN"/>
          <w14:textFill>
            <w14:solidFill>
              <w14:schemeClr w14:val="tx1"/>
            </w14:solidFill>
          </w14:textFill>
        </w:rPr>
        <w:t>3279.66</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万元</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基本支出</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年初</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预算</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为</w:t>
      </w:r>
      <w:r>
        <w:rPr>
          <w:rFonts w:hint="eastAsia" w:cs="仿宋"/>
          <w:color w:val="000000" w:themeColor="text1"/>
          <w:sz w:val="32"/>
          <w:szCs w:val="32"/>
          <w:highlight w:val="none"/>
          <w:lang w:val="en-US" w:eastAsia="zh-CN"/>
          <w14:textFill>
            <w14:solidFill>
              <w14:schemeClr w14:val="tx1"/>
            </w14:solidFill>
          </w14:textFill>
        </w:rPr>
        <w:t>644.18</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万元，</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主要用于发放人员工资及保障单位基本办公需求。</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项目支出</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年初</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预算</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为</w:t>
      </w:r>
      <w:r>
        <w:rPr>
          <w:rFonts w:hint="eastAsia" w:cs="仿宋"/>
          <w:color w:val="000000" w:themeColor="text1"/>
          <w:sz w:val="32"/>
          <w:szCs w:val="32"/>
          <w:highlight w:val="none"/>
          <w:lang w:val="en-US" w:eastAsia="zh-CN"/>
          <w14:textFill>
            <w14:solidFill>
              <w14:schemeClr w14:val="tx1"/>
            </w14:solidFill>
          </w14:textFill>
        </w:rPr>
        <w:t>2635.48</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万元</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，其中：</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化解项目</w:t>
      </w:r>
      <w:r>
        <w:rPr>
          <w:rStyle w:val="16"/>
          <w:rFonts w:hint="eastAsia" w:cs="仿宋"/>
          <w:b w:val="0"/>
          <w:color w:val="000000" w:themeColor="text1"/>
          <w:sz w:val="32"/>
          <w:szCs w:val="32"/>
          <w:highlight w:val="none"/>
          <w:lang w:val="en-US" w:eastAsia="zh-CN" w:bidi="ar"/>
          <w14:textFill>
            <w14:solidFill>
              <w14:schemeClr w14:val="tx1"/>
            </w14:solidFill>
          </w14:textFill>
        </w:rPr>
        <w:t>1365.00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w:t>
      </w:r>
      <w:r>
        <w:rPr>
          <w:rStyle w:val="16"/>
          <w:rFonts w:hint="eastAsia" w:cs="仿宋"/>
          <w:b w:val="0"/>
          <w:color w:val="000000" w:themeColor="text1"/>
          <w:sz w:val="32"/>
          <w:szCs w:val="32"/>
          <w:highlight w:val="none"/>
          <w:lang w:val="en-US" w:eastAsia="zh-CN" w:bidi="ar"/>
          <w14:textFill>
            <w14:solidFill>
              <w14:schemeClr w14:val="tx1"/>
            </w14:solidFill>
          </w14:textFill>
        </w:rPr>
        <w:t>历欠工程及设备欠款</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博物馆、纪念馆免费开放项目</w:t>
      </w:r>
      <w:r>
        <w:rPr>
          <w:rStyle w:val="16"/>
          <w:rFonts w:hint="eastAsia" w:cs="仿宋"/>
          <w:b w:val="0"/>
          <w:color w:val="000000" w:themeColor="text1"/>
          <w:sz w:val="32"/>
          <w:szCs w:val="32"/>
          <w:highlight w:val="none"/>
          <w:lang w:val="en-US" w:eastAsia="zh-CN" w:bidi="ar"/>
          <w14:textFill>
            <w14:solidFill>
              <w14:schemeClr w14:val="tx1"/>
            </w14:solidFill>
          </w14:textFill>
        </w:rPr>
        <w:t>20.00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万元，主要用于博物馆日常办公场所讲解员工资、制作费、维护等</w:t>
      </w:r>
      <w:r>
        <w:rPr>
          <w:rStyle w:val="16"/>
          <w:rFonts w:hint="eastAsia" w:cs="仿宋"/>
          <w:b w:val="0"/>
          <w:color w:val="000000" w:themeColor="text1"/>
          <w:sz w:val="32"/>
          <w:szCs w:val="32"/>
          <w:highlight w:val="none"/>
          <w:lang w:val="en-US" w:eastAsia="zh-CN" w:bidi="ar"/>
          <w14:textFill>
            <w14:solidFill>
              <w14:schemeClr w14:val="tx1"/>
            </w14:solidFill>
          </w14:textFill>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村村通工程聘用运行维护人员经费项目</w:t>
      </w:r>
      <w:r>
        <w:rPr>
          <w:rStyle w:val="16"/>
          <w:rFonts w:hint="eastAsia" w:cs="仿宋"/>
          <w:b w:val="0"/>
          <w:color w:val="000000" w:themeColor="text1"/>
          <w:sz w:val="32"/>
          <w:szCs w:val="32"/>
          <w:highlight w:val="none"/>
          <w:lang w:val="en-US" w:eastAsia="zh-CN" w:bidi="ar"/>
          <w14:textFill>
            <w14:solidFill>
              <w14:schemeClr w14:val="tx1"/>
            </w14:solidFill>
          </w14:textFill>
        </w:rPr>
        <w:t>15.35</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万元，主要用于村村通人员11个维护人员工资发放</w:t>
      </w:r>
      <w:r>
        <w:rPr>
          <w:rStyle w:val="16"/>
          <w:rFonts w:hint="eastAsia" w:cs="仿宋"/>
          <w:b w:val="0"/>
          <w:color w:val="000000" w:themeColor="text1"/>
          <w:sz w:val="32"/>
          <w:szCs w:val="32"/>
          <w:highlight w:val="none"/>
          <w:lang w:val="en-US" w:eastAsia="zh-CN" w:bidi="ar"/>
          <w14:textFill>
            <w14:solidFill>
              <w14:schemeClr w14:val="tx1"/>
            </w14:solidFill>
          </w14:textFill>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广播电视节目地线台站无线覆盖运行维护经费项目</w:t>
      </w:r>
      <w:r>
        <w:rPr>
          <w:rStyle w:val="16"/>
          <w:rFonts w:hint="eastAsia" w:cs="仿宋"/>
          <w:b w:val="0"/>
          <w:color w:val="000000" w:themeColor="text1"/>
          <w:sz w:val="32"/>
          <w:szCs w:val="32"/>
          <w:highlight w:val="none"/>
          <w:lang w:val="en-US" w:eastAsia="zh-CN" w:bidi="ar"/>
          <w14:textFill>
            <w14:solidFill>
              <w14:schemeClr w14:val="tx1"/>
            </w14:solidFill>
          </w14:textFill>
        </w:rPr>
        <w:t>37.25</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万元，主要用于广播电视机房</w:t>
      </w:r>
      <w:r>
        <w:rPr>
          <w:rStyle w:val="16"/>
          <w:rFonts w:hint="eastAsia" w:cs="仿宋"/>
          <w:b w:val="0"/>
          <w:color w:val="000000" w:themeColor="text1"/>
          <w:sz w:val="32"/>
          <w:szCs w:val="32"/>
          <w:highlight w:val="none"/>
          <w:lang w:val="en-US" w:eastAsia="zh-CN" w:bidi="ar"/>
          <w14:textFill>
            <w14:solidFill>
              <w14:schemeClr w14:val="tx1"/>
            </w14:solidFill>
          </w14:textFill>
        </w:rPr>
        <w:t>、基站的</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维修维护费用</w:t>
      </w:r>
      <w:r>
        <w:rPr>
          <w:rStyle w:val="16"/>
          <w:rFonts w:hint="eastAsia" w:cs="仿宋"/>
          <w:b w:val="0"/>
          <w:color w:val="000000" w:themeColor="text1"/>
          <w:sz w:val="32"/>
          <w:szCs w:val="32"/>
          <w:highlight w:val="none"/>
          <w:lang w:val="en-US" w:eastAsia="zh-CN" w:bidi="ar"/>
          <w14:textFill>
            <w14:solidFill>
              <w14:schemeClr w14:val="tx1"/>
            </w14:solidFill>
          </w14:textFill>
        </w:rPr>
        <w:t>及</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车辆运行费</w:t>
      </w:r>
      <w:r>
        <w:rPr>
          <w:rStyle w:val="16"/>
          <w:rFonts w:hint="eastAsia" w:cs="仿宋"/>
          <w:b w:val="0"/>
          <w:color w:val="000000" w:themeColor="text1"/>
          <w:sz w:val="32"/>
          <w:szCs w:val="32"/>
          <w:highlight w:val="none"/>
          <w:lang w:val="en-US" w:eastAsia="zh-CN" w:bidi="ar"/>
          <w14:textFill>
            <w14:solidFill>
              <w14:schemeClr w14:val="tx1"/>
            </w14:solidFill>
          </w14:textFill>
        </w:rPr>
        <w:t>用等；</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少数民族边疆地区文化安全补助资金项目</w:t>
      </w:r>
      <w:r>
        <w:rPr>
          <w:rStyle w:val="16"/>
          <w:rFonts w:hint="eastAsia" w:cs="仿宋"/>
          <w:b w:val="0"/>
          <w:color w:val="000000" w:themeColor="text1"/>
          <w:sz w:val="32"/>
          <w:szCs w:val="32"/>
          <w:highlight w:val="none"/>
          <w:lang w:val="en-US" w:eastAsia="zh-CN" w:bidi="ar"/>
          <w14:textFill>
            <w14:solidFill>
              <w14:schemeClr w14:val="tx1"/>
            </w14:solidFill>
          </w14:textFill>
        </w:rPr>
        <w:t>32.00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万元，主要用于采购村村通户户通设备50套，广播电视无线发射设备维护7部，广播电视无线发射台站一座</w:t>
      </w:r>
      <w:r>
        <w:rPr>
          <w:rStyle w:val="16"/>
          <w:rFonts w:hint="eastAsia" w:cs="仿宋"/>
          <w:b w:val="0"/>
          <w:color w:val="000000" w:themeColor="text1"/>
          <w:sz w:val="32"/>
          <w:szCs w:val="32"/>
          <w:highlight w:val="none"/>
          <w:lang w:val="en-US" w:eastAsia="zh-CN" w:bidi="ar"/>
          <w14:textFill>
            <w14:solidFill>
              <w14:schemeClr w14:val="tx1"/>
            </w14:solidFill>
          </w14:textFill>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文物保护员野外看护人员经费项目</w:t>
      </w:r>
      <w:r>
        <w:rPr>
          <w:rStyle w:val="16"/>
          <w:rFonts w:hint="eastAsia" w:cs="仿宋"/>
          <w:b w:val="0"/>
          <w:color w:val="000000" w:themeColor="text1"/>
          <w:sz w:val="32"/>
          <w:szCs w:val="32"/>
          <w:highlight w:val="none"/>
          <w:lang w:val="en-US" w:eastAsia="zh-CN" w:bidi="ar"/>
          <w14:textFill>
            <w14:solidFill>
              <w14:schemeClr w14:val="tx1"/>
            </w14:solidFill>
          </w14:textFill>
        </w:rPr>
        <w:t>4.80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万元，主要用于发放2名文物看护人员1-12月工资</w:t>
      </w:r>
      <w:r>
        <w:rPr>
          <w:rStyle w:val="16"/>
          <w:rFonts w:hint="eastAsia" w:cs="仿宋"/>
          <w:b w:val="0"/>
          <w:color w:val="000000" w:themeColor="text1"/>
          <w:sz w:val="32"/>
          <w:szCs w:val="32"/>
          <w:highlight w:val="none"/>
          <w:lang w:val="en-US" w:eastAsia="zh-CN" w:bidi="ar"/>
          <w14:textFill>
            <w14:solidFill>
              <w14:schemeClr w14:val="tx1"/>
            </w14:solidFill>
          </w14:textFill>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体育公园建设项目项目</w:t>
      </w:r>
      <w:r>
        <w:rPr>
          <w:rStyle w:val="16"/>
          <w:rFonts w:hint="eastAsia" w:cs="仿宋"/>
          <w:b w:val="0"/>
          <w:color w:val="000000" w:themeColor="text1"/>
          <w:sz w:val="32"/>
          <w:szCs w:val="32"/>
          <w:highlight w:val="none"/>
          <w:lang w:val="en-US" w:eastAsia="zh-CN" w:bidi="ar"/>
          <w14:textFill>
            <w14:solidFill>
              <w14:schemeClr w14:val="tx1"/>
            </w14:solidFill>
          </w14:textFill>
        </w:rPr>
        <w:t>480.00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万元，主要用于新建室外700平方米篮球场1个，新</w:t>
      </w:r>
      <w:r>
        <w:rPr>
          <w:rStyle w:val="16"/>
          <w:rFonts w:hint="eastAsia" w:cs="仿宋"/>
          <w:b w:val="0"/>
          <w:color w:val="000000" w:themeColor="text1"/>
          <w:sz w:val="32"/>
          <w:szCs w:val="32"/>
          <w:highlight w:val="none"/>
          <w:lang w:val="en-US" w:eastAsia="zh-CN" w:bidi="ar"/>
          <w14:textFill>
            <w14:solidFill>
              <w14:schemeClr w14:val="tx1"/>
            </w14:solidFill>
          </w14:textFill>
        </w:rPr>
        <w:t>建</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室外700平方木羽毛球场2个，改造3020平方木的服务功能区以及室内外配套设施等</w:t>
      </w:r>
      <w:r>
        <w:rPr>
          <w:rStyle w:val="16"/>
          <w:rFonts w:hint="eastAsia" w:cs="仿宋"/>
          <w:b w:val="0"/>
          <w:color w:val="000000" w:themeColor="text1"/>
          <w:sz w:val="32"/>
          <w:szCs w:val="32"/>
          <w:highlight w:val="none"/>
          <w:lang w:val="en-US" w:eastAsia="zh-CN" w:bidi="ar"/>
          <w14:textFill>
            <w14:solidFill>
              <w14:schemeClr w14:val="tx1"/>
            </w14:solidFill>
          </w14:textFill>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鹿角湾基础设施升级改造项目</w:t>
      </w:r>
      <w:r>
        <w:rPr>
          <w:rStyle w:val="16"/>
          <w:rFonts w:hint="eastAsia" w:cs="仿宋"/>
          <w:b w:val="0"/>
          <w:color w:val="000000" w:themeColor="text1"/>
          <w:sz w:val="32"/>
          <w:szCs w:val="32"/>
          <w:highlight w:val="none"/>
          <w:lang w:val="en-US" w:eastAsia="zh-CN" w:bidi="ar"/>
          <w14:textFill>
            <w14:solidFill>
              <w14:schemeClr w14:val="tx1"/>
            </w14:solidFill>
          </w14:textFill>
        </w:rPr>
        <w:t>522.27</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万元，主要用于鹿角湾基础设施建设工程</w:t>
      </w:r>
      <w:r>
        <w:rPr>
          <w:rStyle w:val="16"/>
          <w:rFonts w:hint="eastAsia" w:cs="仿宋"/>
          <w:b w:val="0"/>
          <w:color w:val="000000" w:themeColor="text1"/>
          <w:sz w:val="32"/>
          <w:szCs w:val="32"/>
          <w:highlight w:val="none"/>
          <w:lang w:val="en-US" w:eastAsia="zh-CN" w:bidi="ar"/>
          <w14:textFill>
            <w14:solidFill>
              <w14:schemeClr w14:val="tx1"/>
            </w14:solidFill>
          </w14:textFill>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非物质文化遗产保护资金项目</w:t>
      </w:r>
      <w:r>
        <w:rPr>
          <w:rStyle w:val="16"/>
          <w:rFonts w:hint="eastAsia" w:cs="仿宋"/>
          <w:b w:val="0"/>
          <w:color w:val="000000" w:themeColor="text1"/>
          <w:sz w:val="32"/>
          <w:szCs w:val="32"/>
          <w:highlight w:val="none"/>
          <w:lang w:val="en-US" w:eastAsia="zh-CN" w:bidi="ar"/>
          <w14:textFill>
            <w14:solidFill>
              <w14:schemeClr w14:val="tx1"/>
            </w14:solidFill>
          </w14:textFill>
        </w:rPr>
        <w:t>10.00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万元，主要用于3名、非遗传承人开展培训活动、外出学习，邀请非遗专家授课等</w:t>
      </w:r>
      <w:r>
        <w:rPr>
          <w:rStyle w:val="16"/>
          <w:rFonts w:hint="eastAsia" w:cs="仿宋"/>
          <w:b w:val="0"/>
          <w:color w:val="000000" w:themeColor="text1"/>
          <w:sz w:val="32"/>
          <w:szCs w:val="32"/>
          <w:highlight w:val="none"/>
          <w:lang w:eastAsia="zh-CN" w:bidi="ar"/>
          <w14:textFill>
            <w14:solidFill>
              <w14:schemeClr w14:val="tx1"/>
            </w14:solidFill>
          </w14:textFill>
        </w:rPr>
        <w:t>；</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2023年文旅局援疆干部津贴</w:t>
      </w:r>
      <w:r>
        <w:rPr>
          <w:rStyle w:val="16"/>
          <w:rFonts w:hint="eastAsia" w:cs="仿宋"/>
          <w:b w:val="0"/>
          <w:color w:val="000000" w:themeColor="text1"/>
          <w:sz w:val="32"/>
          <w:szCs w:val="32"/>
          <w:highlight w:val="none"/>
          <w:lang w:val="en-US" w:eastAsia="zh-CN" w:bidi="ar"/>
          <w14:textFill>
            <w14:solidFill>
              <w14:schemeClr w14:val="tx1"/>
            </w14:solidFill>
          </w14:textFill>
        </w:rPr>
        <w:t>项目1.40万元，主要支付2023年援疆干部津贴；</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沙湾市景区管理所2023年差额工资及社保公积金</w:t>
      </w:r>
      <w:r>
        <w:rPr>
          <w:rStyle w:val="16"/>
          <w:rFonts w:hint="eastAsia" w:cs="仿宋"/>
          <w:b w:val="0"/>
          <w:color w:val="000000" w:themeColor="text1"/>
          <w:sz w:val="32"/>
          <w:szCs w:val="32"/>
          <w:highlight w:val="none"/>
          <w:lang w:val="en-US" w:eastAsia="zh-CN" w:bidi="ar"/>
          <w14:textFill>
            <w14:solidFill>
              <w14:schemeClr w14:val="tx1"/>
            </w14:solidFill>
          </w14:textFill>
        </w:rPr>
        <w:t>项目47.41万元，主要支付2023年景区管理所差额工资及社保公积金；</w:t>
      </w:r>
    </w:p>
    <w:p>
      <w:pPr>
        <w:keepLines w:val="0"/>
        <w:pageBreakBefore w:val="0"/>
        <w:kinsoku/>
        <w:wordWrap/>
        <w:overflowPunct/>
        <w:topLinePunct w:val="0"/>
        <w:autoSpaceDE/>
        <w:autoSpaceDN/>
        <w:bidi w:val="0"/>
        <w:adjustRightInd/>
        <w:snapToGrid w:val="0"/>
        <w:spacing w:line="500" w:lineRule="exact"/>
        <w:ind w:firstLine="640" w:firstLineChars="200"/>
        <w:textAlignment w:val="auto"/>
        <w:rPr>
          <w:rStyle w:val="16"/>
          <w:rFonts w:hint="default" w:ascii="仿宋" w:hAnsi="仿宋" w:eastAsia="仿宋" w:cs="仿宋"/>
          <w:b w:val="0"/>
          <w:color w:val="000000" w:themeColor="text1"/>
          <w:sz w:val="32"/>
          <w:szCs w:val="32"/>
          <w:highlight w:val="none"/>
          <w:lang w:val="en-US"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鹿角湾景区服务区木栈道建设项目</w:t>
      </w:r>
      <w:r>
        <w:rPr>
          <w:rStyle w:val="16"/>
          <w:rFonts w:hint="eastAsia" w:cs="仿宋"/>
          <w:b w:val="0"/>
          <w:color w:val="000000" w:themeColor="text1"/>
          <w:sz w:val="32"/>
          <w:szCs w:val="32"/>
          <w:highlight w:val="none"/>
          <w:lang w:val="en-US" w:eastAsia="zh-CN" w:bidi="ar"/>
          <w14:textFill>
            <w14:solidFill>
              <w14:schemeClr w14:val="tx1"/>
            </w14:solidFill>
          </w14:textFill>
        </w:rPr>
        <w:t>100.00万元，是计划支付鹿角湾景区服务区木栈道建设资金。</w:t>
      </w:r>
    </w:p>
    <w:p>
      <w:pPr>
        <w:pStyle w:val="18"/>
        <w:snapToGrid w:val="0"/>
        <w:spacing w:line="570" w:lineRule="exact"/>
        <w:ind w:firstLine="643"/>
        <w:outlineLvl w:val="2"/>
        <w:rPr>
          <w:rStyle w:val="16"/>
          <w:rFonts w:hint="eastAsia" w:ascii="仿宋_GB2312" w:hAnsi="仿宋_GB2312" w:eastAsia="仿宋_GB2312" w:cs="仿宋_GB2312"/>
          <w:bCs w:val="0"/>
          <w:color w:val="000000" w:themeColor="text1"/>
          <w:sz w:val="32"/>
          <w:szCs w:val="32"/>
          <w:highlight w:val="none"/>
          <w:lang w:val="en-US" w:eastAsia="zh-CN" w:bidi="ar"/>
          <w14:textFill>
            <w14:solidFill>
              <w14:schemeClr w14:val="tx1"/>
            </w14:solidFill>
          </w14:textFill>
        </w:rPr>
      </w:pPr>
      <w:r>
        <w:rPr>
          <w:rStyle w:val="16"/>
          <w:rFonts w:hint="eastAsia" w:ascii="仿宋_GB2312" w:hAnsi="仿宋_GB2312" w:eastAsia="仿宋_GB2312" w:cs="仿宋_GB2312"/>
          <w:bCs w:val="0"/>
          <w:color w:val="000000" w:themeColor="text1"/>
          <w:sz w:val="32"/>
          <w:szCs w:val="32"/>
          <w:highlight w:val="none"/>
          <w:lang w:val="en-US" w:eastAsia="zh-CN" w:bidi="ar"/>
          <w14:textFill>
            <w14:solidFill>
              <w14:schemeClr w14:val="tx1"/>
            </w14:solidFill>
          </w14:textFill>
        </w:rPr>
        <w:t>4.全年预算安排规模</w:t>
      </w:r>
    </w:p>
    <w:p>
      <w:pPr>
        <w:ind w:firstLine="640" w:firstLineChars="200"/>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2</w:t>
      </w:r>
      <w:r>
        <w:rPr>
          <w:rStyle w:val="16"/>
          <w:rFonts w:ascii="仿宋" w:hAnsi="仿宋" w:eastAsia="仿宋" w:cs="仿宋"/>
          <w:b w:val="0"/>
          <w:color w:val="000000" w:themeColor="text1"/>
          <w:sz w:val="32"/>
          <w:szCs w:val="32"/>
          <w:highlight w:val="none"/>
          <w:lang w:bidi="ar"/>
          <w14:textFill>
            <w14:solidFill>
              <w14:schemeClr w14:val="tx1"/>
            </w14:solidFill>
          </w14:textFill>
        </w:rPr>
        <w:t>02</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3</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年整体支出</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年初</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预算为</w:t>
      </w:r>
      <w:r>
        <w:rPr>
          <w:rFonts w:hint="eastAsia" w:cs="仿宋"/>
          <w:color w:val="000000" w:themeColor="text1"/>
          <w:sz w:val="32"/>
          <w:szCs w:val="32"/>
          <w:highlight w:val="none"/>
          <w:lang w:val="en-US" w:eastAsia="zh-CN"/>
          <w14:textFill>
            <w14:solidFill>
              <w14:schemeClr w14:val="tx1"/>
            </w14:solidFill>
          </w14:textFill>
        </w:rPr>
        <w:t>3279.66</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万元</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1476.16</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4755.82</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w:t>
      </w:r>
    </w:p>
    <w:p>
      <w:pPr>
        <w:ind w:firstLine="640" w:firstLineChars="200"/>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基本支出</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年初</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预算</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为</w:t>
      </w:r>
      <w:r>
        <w:rPr>
          <w:rFonts w:hint="eastAsia" w:cs="仿宋"/>
          <w:color w:val="000000" w:themeColor="text1"/>
          <w:sz w:val="32"/>
          <w:szCs w:val="32"/>
          <w:highlight w:val="none"/>
          <w:lang w:val="en-US" w:eastAsia="zh-CN"/>
          <w14:textFill>
            <w14:solidFill>
              <w14:schemeClr w14:val="tx1"/>
            </w14:solidFill>
          </w14:textFill>
        </w:rPr>
        <w:t>644.18</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万元，</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104.93</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749.11</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。主要用于发放人员工资及保障单位基本办公需求。</w:t>
      </w:r>
    </w:p>
    <w:p>
      <w:pPr>
        <w:ind w:firstLine="640" w:firstLineChars="200"/>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项目支出</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年初</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预算</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为</w:t>
      </w:r>
      <w:r>
        <w:rPr>
          <w:rFonts w:hint="eastAsia" w:cs="仿宋"/>
          <w:color w:val="000000" w:themeColor="text1"/>
          <w:sz w:val="32"/>
          <w:szCs w:val="32"/>
          <w:highlight w:val="none"/>
          <w:lang w:val="en-US" w:eastAsia="zh-CN"/>
          <w14:textFill>
            <w14:solidFill>
              <w14:schemeClr w14:val="tx1"/>
            </w14:solidFill>
          </w14:textFill>
        </w:rPr>
        <w:t>2635.48</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万元</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1371.23</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4006.71</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w:t>
      </w:r>
      <w:r>
        <w:rPr>
          <w:rStyle w:val="16"/>
          <w:rFonts w:hint="eastAsia" w:ascii="仿宋" w:hAnsi="仿宋" w:eastAsia="仿宋" w:cs="仿宋"/>
          <w:b w:val="0"/>
          <w:color w:val="000000" w:themeColor="text1"/>
          <w:sz w:val="32"/>
          <w:szCs w:val="32"/>
          <w:highlight w:val="none"/>
          <w:lang w:eastAsia="zh-CN" w:bidi="ar"/>
          <w14:textFill>
            <w14:solidFill>
              <w14:schemeClr w14:val="tx1"/>
            </w14:solidFill>
          </w14:textFill>
        </w:rPr>
        <w:t>其中：</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化解项目年初预算为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1365</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1367.66</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万元，全年预算数为2732.66万元，主要用于</w:t>
      </w:r>
      <w:r>
        <w:rPr>
          <w:rStyle w:val="16"/>
          <w:rFonts w:hint="eastAsia" w:cs="仿宋"/>
          <w:b w:val="0"/>
          <w:color w:val="000000" w:themeColor="text1"/>
          <w:sz w:val="32"/>
          <w:szCs w:val="32"/>
          <w:highlight w:val="none"/>
          <w:lang w:val="en-US" w:eastAsia="zh-CN" w:bidi="ar"/>
          <w14:textFill>
            <w14:solidFill>
              <w14:schemeClr w14:val="tx1"/>
            </w14:solidFill>
          </w14:textFill>
        </w:rPr>
        <w:t>历欠工程及设备欠款</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博物馆、纪念馆免费开放项目年初预算为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20.00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19.40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39.40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万元，主要用于博物馆日常办公场所讲解员工资、制作费、维护等；</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村村通工程聘用运行维护人员经费项目年初预算为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15.35</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15.35</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万元，主要用于村村通人员11个维护人员工资发放；</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广播电视节目地线台站无线覆盖运行维护经费项目年初预算为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37.25</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37.25</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万元，主要用于广播电视机房</w:t>
      </w:r>
      <w:r>
        <w:rPr>
          <w:rStyle w:val="16"/>
          <w:rFonts w:hint="eastAsia" w:cs="仿宋"/>
          <w:b w:val="0"/>
          <w:color w:val="000000" w:themeColor="text1"/>
          <w:sz w:val="32"/>
          <w:szCs w:val="32"/>
          <w:highlight w:val="none"/>
          <w:lang w:val="en-US" w:eastAsia="zh-CN" w:bidi="ar"/>
          <w14:textFill>
            <w14:solidFill>
              <w14:schemeClr w14:val="tx1"/>
            </w14:solidFill>
          </w14:textFill>
        </w:rPr>
        <w:t>、基站的</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维修维护费用</w:t>
      </w:r>
      <w:r>
        <w:rPr>
          <w:rStyle w:val="16"/>
          <w:rFonts w:hint="eastAsia" w:cs="仿宋"/>
          <w:b w:val="0"/>
          <w:color w:val="000000" w:themeColor="text1"/>
          <w:sz w:val="32"/>
          <w:szCs w:val="32"/>
          <w:highlight w:val="none"/>
          <w:lang w:val="en-US" w:eastAsia="zh-CN" w:bidi="ar"/>
          <w14:textFill>
            <w14:solidFill>
              <w14:schemeClr w14:val="tx1"/>
            </w14:solidFill>
          </w14:textFill>
        </w:rPr>
        <w:t>及</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车辆运行费</w:t>
      </w:r>
      <w:r>
        <w:rPr>
          <w:rStyle w:val="16"/>
          <w:rFonts w:hint="eastAsia" w:cs="仿宋"/>
          <w:b w:val="0"/>
          <w:color w:val="000000" w:themeColor="text1"/>
          <w:sz w:val="32"/>
          <w:szCs w:val="32"/>
          <w:highlight w:val="none"/>
          <w:lang w:val="en-US" w:eastAsia="zh-CN" w:bidi="ar"/>
          <w14:textFill>
            <w14:solidFill>
              <w14:schemeClr w14:val="tx1"/>
            </w14:solidFill>
          </w14:textFill>
        </w:rPr>
        <w:t>用等</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少数民族边疆地区文化安全补助资金项目年初预算为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32.00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32.00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万元，主要用于采购村村通户户通设备50套，广播电视无线发射设备维护7部，广播电视无线发射台站一座；</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文物保护员野外看护人员经费项目年初预算为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4.80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4.80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万元，主要用于发放2名文物看护人员1-12月工资；</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体育公园建设项目项目年初预算为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480.00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480.00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万元，主要用于新建室外700平方米篮球场1个，新</w:t>
      </w:r>
      <w:r>
        <w:rPr>
          <w:rStyle w:val="16"/>
          <w:rFonts w:hint="eastAsia" w:cs="仿宋"/>
          <w:b w:val="0"/>
          <w:color w:val="000000" w:themeColor="text1"/>
          <w:sz w:val="32"/>
          <w:szCs w:val="32"/>
          <w:highlight w:val="none"/>
          <w:lang w:val="en-US" w:eastAsia="zh-CN" w:bidi="ar"/>
          <w14:textFill>
            <w14:solidFill>
              <w14:schemeClr w14:val="tx1"/>
            </w14:solidFill>
          </w14:textFill>
        </w:rPr>
        <w:t>建</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室外700平方木羽毛球场2个，改造3020平方木的服务功能区以及室内外配套设施等；</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鹿角湾基础设施升级改造项目年初预算为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522.27</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522.27</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万元，主要用于鹿角湾基础设施建设工程；</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非物质文化遗产保护资金项目年初预算为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10.00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10.00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万元，主要用于3名、非遗传承人开展培训活动、外出学习，邀请非遗专家授课等；</w:t>
      </w:r>
    </w:p>
    <w:p>
      <w:pPr>
        <w:ind w:firstLine="640" w:firstLineChars="200"/>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2023年文旅局援疆干部津贴项目年初预算为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1.40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-1.40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w:t>
      </w:r>
      <w:r>
        <w:rPr>
          <w:rStyle w:val="16"/>
          <w:rFonts w:hint="eastAsia" w:cs="仿宋"/>
          <w:b w:val="0"/>
          <w:color w:val="000000" w:themeColor="text1"/>
          <w:sz w:val="32"/>
          <w:szCs w:val="32"/>
          <w:highlight w:val="none"/>
          <w:lang w:val="en-US" w:eastAsia="zh-CN" w:bidi="ar"/>
          <w14:textFill>
            <w14:solidFill>
              <w14:schemeClr w14:val="tx1"/>
            </w14:solidFill>
          </w14:textFill>
        </w:rPr>
        <w:t>；</w:t>
      </w:r>
    </w:p>
    <w:p>
      <w:pPr>
        <w:ind w:firstLine="640" w:firstLineChars="200"/>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沙湾市景区管理所2023年差额工资及社保公积金项目年初预算为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47.41</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-47.41</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w:t>
      </w:r>
      <w:r>
        <w:rPr>
          <w:rStyle w:val="16"/>
          <w:rFonts w:hint="eastAsia" w:cs="仿宋"/>
          <w:b w:val="0"/>
          <w:color w:val="000000" w:themeColor="text1"/>
          <w:sz w:val="32"/>
          <w:szCs w:val="32"/>
          <w:highlight w:val="none"/>
          <w:lang w:val="en-US" w:eastAsia="zh-CN" w:bidi="ar"/>
          <w14:textFill>
            <w14:solidFill>
              <w14:schemeClr w14:val="tx1"/>
            </w14:solidFill>
          </w14:textFill>
        </w:rPr>
        <w:t>；</w:t>
      </w:r>
    </w:p>
    <w:p>
      <w:pPr>
        <w:ind w:firstLine="640" w:firstLineChars="200"/>
        <w:rPr>
          <w:rStyle w:val="16"/>
          <w:rFonts w:hint="eastAsia" w:cs="仿宋"/>
          <w:b w:val="0"/>
          <w:color w:val="000000" w:themeColor="text1"/>
          <w:sz w:val="32"/>
          <w:szCs w:val="32"/>
          <w:highlight w:val="none"/>
          <w:lang w:val="en-US" w:eastAsia="zh-CN" w:bidi="ar"/>
          <w14:textFill>
            <w14:solidFill>
              <w14:schemeClr w14:val="tx1"/>
            </w14:solidFill>
          </w14:textFill>
        </w:rPr>
      </w:pPr>
      <w:r>
        <w:rPr>
          <w:rStyle w:val="16"/>
          <w:rFonts w:hint="eastAsia" w:cs="仿宋"/>
          <w:b w:val="0"/>
          <w:color w:val="000000" w:themeColor="text1"/>
          <w:sz w:val="32"/>
          <w:szCs w:val="32"/>
          <w:highlight w:val="none"/>
          <w:lang w:val="en-US" w:eastAsia="zh-CN" w:bidi="ar"/>
          <w14:textFill>
            <w14:solidFill>
              <w14:schemeClr w14:val="tx1"/>
            </w14:solidFill>
          </w14:textFill>
        </w:rPr>
        <w:t>鹿角湾景区服务区木栈道建设项目</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100.00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-100.00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w:t>
      </w:r>
      <w:r>
        <w:rPr>
          <w:rStyle w:val="16"/>
          <w:rFonts w:hint="eastAsia" w:cs="仿宋"/>
          <w:b w:val="0"/>
          <w:color w:val="000000" w:themeColor="text1"/>
          <w:sz w:val="32"/>
          <w:szCs w:val="32"/>
          <w:highlight w:val="none"/>
          <w:lang w:val="en-US" w:eastAsia="zh-CN" w:bidi="ar"/>
          <w14:textFill>
            <w14:solidFill>
              <w14:schemeClr w14:val="tx1"/>
            </w14:solidFill>
          </w14:textFill>
        </w:rPr>
        <w:t>；</w:t>
      </w:r>
    </w:p>
    <w:p>
      <w:pPr>
        <w:ind w:firstLine="640" w:firstLineChars="200"/>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中央补助地方公共文化体系建设资金项目年初预算为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62.29</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62.29</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万元，主要用于广播电视电费、维修费、劳务费、车辆运行维护费等；</w:t>
      </w:r>
    </w:p>
    <w:p>
      <w:pPr>
        <w:ind w:firstLine="640" w:firstLineChars="200"/>
        <w:rPr>
          <w:rStyle w:val="16"/>
          <w:rFonts w:hint="eastAsia" w:ascii="仿宋" w:hAnsi="仿宋" w:eastAsia="仿宋" w:cs="仿宋"/>
          <w:b w:val="0"/>
          <w:color w:val="000000" w:themeColor="text1"/>
          <w:sz w:val="32"/>
          <w:szCs w:val="32"/>
          <w:highlight w:val="none"/>
          <w:lang w:bidi="ar"/>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访惠聚“为民办实事”工作队经费项目年初预算为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43.04</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43.04</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万元，主要用于5个工作队日常工作办公用品、制作费、节日慰问、四项活动等</w:t>
      </w:r>
      <w:r>
        <w:rPr>
          <w:rStyle w:val="16"/>
          <w:rFonts w:hint="eastAsia" w:ascii="仿宋" w:hAnsi="仿宋" w:eastAsia="仿宋" w:cs="仿宋"/>
          <w:b w:val="0"/>
          <w:color w:val="000000" w:themeColor="text1"/>
          <w:sz w:val="32"/>
          <w:szCs w:val="32"/>
          <w:highlight w:val="none"/>
          <w:lang w:bidi="ar"/>
          <w14:textFill>
            <w14:solidFill>
              <w14:schemeClr w14:val="tx1"/>
            </w14:solidFill>
          </w14:textFill>
        </w:rPr>
        <w:t>。</w:t>
      </w:r>
    </w:p>
    <w:p>
      <w:pPr>
        <w:ind w:firstLine="640" w:firstLineChars="200"/>
        <w:rPr>
          <w:color w:val="000000" w:themeColor="text1"/>
          <w:highlight w:val="none"/>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体育彩票公益金返还资金项目年初预算为</w:t>
      </w:r>
      <w:r>
        <w:rPr>
          <w:rStyle w:val="16"/>
          <w:rFonts w:hint="eastAsia" w:cs="仿宋"/>
          <w:b w:val="0"/>
          <w:color w:val="000000" w:themeColor="text1"/>
          <w:sz w:val="32"/>
          <w:szCs w:val="32"/>
          <w:highlight w:val="none"/>
          <w:lang w:val="en-US" w:eastAsia="zh-CN" w:bidi="ar"/>
          <w14:textFill>
            <w14:solidFill>
              <w14:schemeClr w14:val="tx1"/>
            </w14:solidFill>
          </w14:textFill>
        </w:rPr>
        <w:t>0</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万元，预算调整数为</w:t>
      </w:r>
      <w:r>
        <w:rPr>
          <w:rStyle w:val="16"/>
          <w:rFonts w:hint="eastAsia" w:cs="仿宋"/>
          <w:b w:val="0"/>
          <w:color w:val="000000" w:themeColor="text1"/>
          <w:sz w:val="32"/>
          <w:szCs w:val="32"/>
          <w:highlight w:val="none"/>
          <w:lang w:val="en-US" w:eastAsia="zh-CN" w:bidi="ar"/>
          <w14:textFill>
            <w14:solidFill>
              <w14:schemeClr w14:val="tx1"/>
            </w14:solidFill>
          </w14:textFill>
        </w:rPr>
        <w:t>27.65</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万元，全年预算数为</w:t>
      </w:r>
      <w:r>
        <w:rPr>
          <w:rStyle w:val="16"/>
          <w:rFonts w:hint="eastAsia" w:cs="仿宋"/>
          <w:b w:val="0"/>
          <w:color w:val="000000" w:themeColor="text1"/>
          <w:sz w:val="32"/>
          <w:szCs w:val="32"/>
          <w:highlight w:val="none"/>
          <w:lang w:val="en-US" w:eastAsia="zh-CN" w:bidi="ar"/>
          <w14:textFill>
            <w14:solidFill>
              <w14:schemeClr w14:val="tx1"/>
            </w14:solidFill>
          </w14:textFill>
        </w:rPr>
        <w:t>27.65</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万元，主要用于开展体育活动、三级社会体育指导员培训、参加上级组织的各项体育赛事、</w:t>
      </w:r>
      <w:r>
        <w:rPr>
          <w:rStyle w:val="16"/>
          <w:rFonts w:hint="eastAsia" w:cs="仿宋"/>
          <w:b w:val="0"/>
          <w:color w:val="000000" w:themeColor="text1"/>
          <w:sz w:val="32"/>
          <w:szCs w:val="32"/>
          <w:highlight w:val="none"/>
          <w:lang w:val="en-US" w:eastAsia="zh-CN" w:bidi="ar"/>
          <w14:textFill>
            <w14:solidFill>
              <w14:schemeClr w14:val="tx1"/>
            </w14:solidFill>
          </w14:textFill>
        </w:rPr>
        <w:t>购置健身设备。</w:t>
      </w:r>
    </w:p>
    <w:p>
      <w:pPr>
        <w:pStyle w:val="3"/>
        <w:spacing w:line="570" w:lineRule="exact"/>
        <w:ind w:firstLine="640"/>
        <w:rPr>
          <w:rFonts w:ascii="黑体" w:hAnsi="黑体"/>
          <w:b w:val="0"/>
          <w:color w:val="000000" w:themeColor="text1"/>
          <w:sz w:val="32"/>
          <w:szCs w:val="32"/>
          <w:highlight w:val="none"/>
          <w14:textFill>
            <w14:solidFill>
              <w14:schemeClr w14:val="tx1"/>
            </w14:solidFill>
          </w14:textFill>
        </w:rPr>
      </w:pPr>
      <w:r>
        <w:rPr>
          <w:rFonts w:hint="eastAsia" w:ascii="黑体" w:hAnsi="黑体"/>
          <w:b w:val="0"/>
          <w:color w:val="000000" w:themeColor="text1"/>
          <w:sz w:val="32"/>
          <w:szCs w:val="32"/>
          <w:highlight w:val="none"/>
          <w14:textFill>
            <w14:solidFill>
              <w14:schemeClr w14:val="tx1"/>
            </w14:solidFill>
          </w14:textFill>
        </w:rPr>
        <w:t>二、部门单位整体支出管理及使用情况</w:t>
      </w:r>
    </w:p>
    <w:p>
      <w:pPr>
        <w:pStyle w:val="4"/>
        <w:numPr>
          <w:ilvl w:val="0"/>
          <w:numId w:val="2"/>
        </w:numPr>
        <w:spacing w:line="570" w:lineRule="exact"/>
        <w:ind w:firstLineChars="0"/>
        <w:rPr>
          <w:rFonts w:ascii="楷体_GB2312" w:eastAsia="楷体_GB2312"/>
          <w:color w:val="000000" w:themeColor="text1"/>
          <w:szCs w:val="32"/>
          <w:highlight w:val="none"/>
          <w14:textFill>
            <w14:solidFill>
              <w14:schemeClr w14:val="tx1"/>
            </w14:solidFill>
          </w14:textFill>
        </w:rPr>
      </w:pPr>
      <w:r>
        <w:rPr>
          <w:rFonts w:hint="eastAsia" w:ascii="楷体_GB2312" w:eastAsia="楷体_GB2312"/>
          <w:bCs/>
          <w:color w:val="000000" w:themeColor="text1"/>
          <w:szCs w:val="32"/>
          <w:highlight w:val="none"/>
          <w14:textFill>
            <w14:solidFill>
              <w14:schemeClr w14:val="tx1"/>
            </w14:solidFill>
          </w14:textFill>
        </w:rPr>
        <w:t>预算管理情况</w:t>
      </w:r>
    </w:p>
    <w:p>
      <w:pPr>
        <w:pStyle w:val="18"/>
        <w:snapToGrid w:val="0"/>
        <w:spacing w:line="570" w:lineRule="exact"/>
        <w:ind w:firstLine="643"/>
        <w:outlineLvl w:val="2"/>
        <w:rPr>
          <w:rStyle w:val="16"/>
          <w:rFonts w:ascii="仿宋_GB2312" w:hAnsi="仿宋_GB2312" w:eastAsia="仿宋_GB2312" w:cs="仿宋_GB2312"/>
          <w:bCs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Cs w:val="0"/>
          <w:color w:val="000000" w:themeColor="text1"/>
          <w:sz w:val="32"/>
          <w:szCs w:val="32"/>
          <w:highlight w:val="none"/>
          <w:lang w:bidi="ar"/>
          <w14:textFill>
            <w14:solidFill>
              <w14:schemeClr w14:val="tx1"/>
            </w14:solidFill>
          </w14:textFill>
        </w:rPr>
        <w:t>1.管理制度健全性</w:t>
      </w:r>
    </w:p>
    <w:p>
      <w:pPr>
        <w:ind w:firstLine="640"/>
        <w:rPr>
          <w:rStyle w:val="16"/>
          <w:rFonts w:ascii="仿宋_GB2312" w:eastAsia="仿宋_GB2312"/>
          <w:b w:val="0"/>
          <w:bCs w:val="0"/>
          <w:color w:val="000000" w:themeColor="text1"/>
          <w:sz w:val="32"/>
          <w:szCs w:val="32"/>
          <w:highlight w:val="none"/>
          <w14:textFill>
            <w14:solidFill>
              <w14:schemeClr w14:val="tx1"/>
            </w14:solidFill>
          </w14:textFill>
        </w:rPr>
      </w:pP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本单位为加强预算管理，规范财务行为，已制定了《</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沙湾市文化体育广播电视和旅游局</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预算绩效管理工作实施办法</w:t>
      </w:r>
      <w:r>
        <w:rPr>
          <w:rStyle w:val="16"/>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沙湾市文化体育广播电视和旅游局</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财务管理制度》等较为健全的各项管理制度，</w:t>
      </w:r>
      <w:r>
        <w:rPr>
          <w:rFonts w:hint="eastAsia" w:ascii="仿宋_GB2312" w:eastAsia="仿宋_GB2312"/>
          <w:color w:val="000000" w:themeColor="text1"/>
          <w:sz w:val="32"/>
          <w:szCs w:val="32"/>
          <w:highlight w:val="none"/>
          <w14:textFill>
            <w14:solidFill>
              <w14:schemeClr w14:val="tx1"/>
            </w14:solidFill>
          </w14:textFill>
        </w:rPr>
        <w:t>并严格按照相关管理制度文件要求范围使用预算资金，严格按照政府信息公开有关规定及财政部门要求公开相关预决算信息，</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有效提高了本单位高效</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地</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履行工作职能，较好</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地</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促进了相关事业的发展。</w:t>
      </w:r>
    </w:p>
    <w:p>
      <w:pPr>
        <w:pStyle w:val="18"/>
        <w:snapToGrid w:val="0"/>
        <w:spacing w:line="570" w:lineRule="exact"/>
        <w:ind w:firstLine="643"/>
        <w:outlineLvl w:val="2"/>
        <w:rPr>
          <w:rStyle w:val="16"/>
          <w:rFonts w:ascii="仿宋_GB2312" w:hAnsi="仿宋_GB2312" w:eastAsia="仿宋_GB2312" w:cs="仿宋_GB2312"/>
          <w:bCs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Cs w:val="0"/>
          <w:color w:val="000000" w:themeColor="text1"/>
          <w:sz w:val="32"/>
          <w:szCs w:val="32"/>
          <w:highlight w:val="none"/>
          <w:lang w:bidi="ar"/>
          <w14:textFill>
            <w14:solidFill>
              <w14:schemeClr w14:val="tx1"/>
            </w14:solidFill>
          </w14:textFill>
        </w:rPr>
        <w:t>2.资金使用合规性和安全性</w:t>
      </w:r>
    </w:p>
    <w:p>
      <w:pPr>
        <w:pStyle w:val="18"/>
        <w:snapToGrid w:val="0"/>
        <w:spacing w:line="570" w:lineRule="exact"/>
        <w:ind w:firstLine="640"/>
        <w:rPr>
          <w:rStyle w:val="16"/>
          <w:rFonts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8"/>
        <w:snapToGrid w:val="0"/>
        <w:spacing w:line="570" w:lineRule="exact"/>
        <w:ind w:firstLine="643"/>
        <w:outlineLvl w:val="2"/>
        <w:rPr>
          <w:rStyle w:val="16"/>
          <w:rFonts w:ascii="仿宋_GB2312" w:hAnsi="仿宋_GB2312" w:eastAsia="仿宋_GB2312" w:cs="仿宋_GB2312"/>
          <w:bCs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Cs w:val="0"/>
          <w:color w:val="000000" w:themeColor="text1"/>
          <w:sz w:val="32"/>
          <w:szCs w:val="32"/>
          <w:highlight w:val="none"/>
          <w:lang w:bidi="ar"/>
          <w14:textFill>
            <w14:solidFill>
              <w14:schemeClr w14:val="tx1"/>
            </w14:solidFill>
          </w14:textFill>
        </w:rPr>
        <w:t>3.预决算信息公开性</w:t>
      </w:r>
    </w:p>
    <w:p>
      <w:pPr>
        <w:pStyle w:val="18"/>
        <w:snapToGrid w:val="0"/>
        <w:spacing w:line="570" w:lineRule="exact"/>
        <w:ind w:firstLine="640"/>
        <w:rPr>
          <w:rStyle w:val="16"/>
          <w:rFonts w:ascii="仿宋_GB2312" w:hAnsi="仿宋_GB2312" w:eastAsia="仿宋_GB2312" w:cs="仿宋_GB2312"/>
          <w:b w:val="0"/>
          <w:color w:val="000000" w:themeColor="text1"/>
          <w:sz w:val="32"/>
          <w:szCs w:val="32"/>
          <w:highlight w:val="none"/>
          <w:lang w:bidi="ar"/>
          <w14:textFill>
            <w14:solidFill>
              <w14:schemeClr w14:val="tx1"/>
            </w14:solidFill>
          </w14:textFill>
        </w:rPr>
      </w:pP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按照</w:t>
      </w:r>
      <w:r>
        <w:rPr>
          <w:rStyle w:val="16"/>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塔城</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地区财政局预决算信息公开工作要求，我单位在</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政府信息网财政信息公开专栏对本单位预决算信息进行了公开。公开内容主要包括：本单位主要职能、机构及人员情况，收入、支出预算安排及决算情况，</w:t>
      </w:r>
      <w:r>
        <w:rPr>
          <w:rStyle w:val="16"/>
          <w:rFonts w:hint="eastAsia" w:ascii="仿宋_GB2312" w:hAnsi="仿宋_GB2312" w:eastAsia="仿宋_GB2312" w:cs="仿宋_GB2312"/>
          <w:b w:val="0"/>
          <w:color w:val="000000" w:themeColor="text1"/>
          <w:sz w:val="32"/>
          <w:szCs w:val="32"/>
          <w:highlight w:val="none"/>
          <w:lang w:eastAsia="zh-CN" w:bidi="ar"/>
          <w14:textFill>
            <w14:solidFill>
              <w14:schemeClr w14:val="tx1"/>
            </w14:solidFill>
          </w14:textFill>
        </w:rPr>
        <w:t>“三公”经费</w:t>
      </w:r>
      <w:r>
        <w:rPr>
          <w:rStyle w:val="16"/>
          <w:rFonts w:hint="eastAsia" w:ascii="仿宋_GB2312" w:hAnsi="仿宋_GB2312" w:eastAsia="仿宋_GB2312" w:cs="仿宋_GB2312"/>
          <w:b w:val="0"/>
          <w:color w:val="000000" w:themeColor="text1"/>
          <w:sz w:val="32"/>
          <w:szCs w:val="32"/>
          <w:highlight w:val="none"/>
          <w:lang w:bidi="ar"/>
          <w14:textFill>
            <w14:solidFill>
              <w14:schemeClr w14:val="tx1"/>
            </w14:solidFill>
          </w14:textFill>
        </w:rPr>
        <w:t>预算安排及决算情况，政府采购情况，国有资产占用情况，预算绩效情况等信息，主动接受社会各界监督。</w:t>
      </w:r>
    </w:p>
    <w:p>
      <w:pPr>
        <w:pStyle w:val="4"/>
        <w:numPr>
          <w:ilvl w:val="0"/>
          <w:numId w:val="2"/>
        </w:numPr>
        <w:spacing w:line="570" w:lineRule="exact"/>
        <w:ind w:firstLineChars="0"/>
        <w:rPr>
          <w:rFonts w:ascii="楷体_GB2312" w:eastAsia="楷体_GB2312"/>
          <w:bCs/>
          <w:color w:val="000000" w:themeColor="text1"/>
          <w:szCs w:val="32"/>
          <w:highlight w:val="none"/>
          <w14:textFill>
            <w14:solidFill>
              <w14:schemeClr w14:val="tx1"/>
            </w14:solidFill>
          </w14:textFill>
        </w:rPr>
      </w:pPr>
      <w:r>
        <w:rPr>
          <w:rFonts w:hint="eastAsia" w:ascii="楷体_GB2312" w:eastAsia="楷体_GB2312"/>
          <w:bCs/>
          <w:color w:val="000000" w:themeColor="text1"/>
          <w:szCs w:val="32"/>
          <w:highlight w:val="none"/>
          <w14:textFill>
            <w14:solidFill>
              <w14:schemeClr w14:val="tx1"/>
            </w14:solidFill>
          </w14:textFill>
        </w:rPr>
        <w:t>基本支出预算安排及支出情况</w:t>
      </w:r>
    </w:p>
    <w:p>
      <w:pPr>
        <w:spacing w:line="570" w:lineRule="exact"/>
        <w:ind w:firstLine="643"/>
        <w:rPr>
          <w:rFonts w:ascii="仿宋_GB2312" w:eastAsia="仿宋_GB2312"/>
          <w:b/>
          <w:bCs/>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14:textFill>
            <w14:solidFill>
              <w14:schemeClr w14:val="tx1"/>
            </w14:solidFill>
          </w14:textFill>
        </w:rPr>
        <w:t>1.基本支出情况</w:t>
      </w:r>
    </w:p>
    <w:p>
      <w:pPr>
        <w:spacing w:line="570" w:lineRule="exact"/>
        <w:ind w:firstLine="640"/>
        <w:rPr>
          <w:rFonts w:hint="eastAsia" w:ascii="仿宋_GB2312" w:eastAsia="仿宋_GB2312"/>
          <w:color w:val="000000" w:themeColor="text1"/>
          <w:sz w:val="32"/>
          <w:szCs w:val="32"/>
          <w:highlight w:val="none"/>
          <w:lang w:eastAsia="zh-CN"/>
          <w14:textFill>
            <w14:solidFill>
              <w14:schemeClr w14:val="tx1"/>
            </w14:solidFill>
          </w14:textFill>
        </w:rPr>
      </w:pPr>
      <w:r>
        <w:rPr>
          <w:rFonts w:hint="eastAsia" w:ascii="仿宋_GB2312" w:eastAsia="仿宋_GB2312"/>
          <w:color w:val="000000" w:themeColor="text1"/>
          <w:sz w:val="32"/>
          <w:szCs w:val="32"/>
          <w:highlight w:val="none"/>
          <w:lang w:eastAsia="zh-CN"/>
          <w14:textFill>
            <w14:solidFill>
              <w14:schemeClr w14:val="tx1"/>
            </w14:solidFill>
          </w14:textFill>
        </w:rPr>
        <w:t>2023</w:t>
      </w:r>
      <w:r>
        <w:rPr>
          <w:rFonts w:hint="eastAsia" w:ascii="仿宋_GB2312" w:eastAsia="仿宋_GB2312"/>
          <w:color w:val="000000" w:themeColor="text1"/>
          <w:sz w:val="32"/>
          <w:szCs w:val="32"/>
          <w:highlight w:val="none"/>
          <w14:textFill>
            <w14:solidFill>
              <w14:schemeClr w14:val="tx1"/>
            </w14:solidFill>
          </w14:textFill>
        </w:rPr>
        <w:t>年，</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沙湾市文化体育广播电视和旅游局</w:t>
      </w:r>
      <w:r>
        <w:rPr>
          <w:rFonts w:hint="eastAsia" w:ascii="仿宋_GB2312" w:eastAsia="仿宋_GB2312"/>
          <w:color w:val="000000" w:themeColor="text1"/>
          <w:sz w:val="32"/>
          <w:szCs w:val="32"/>
          <w:highlight w:val="none"/>
          <w14:textFill>
            <w14:solidFill>
              <w14:schemeClr w14:val="tx1"/>
            </w14:solidFill>
          </w14:textFill>
        </w:rPr>
        <w:t>基本支出年初预算金额为</w:t>
      </w:r>
      <w:r>
        <w:rPr>
          <w:rFonts w:hint="eastAsia" w:ascii="仿宋_GB2312" w:eastAsia="仿宋_GB2312"/>
          <w:color w:val="000000" w:themeColor="text1"/>
          <w:sz w:val="32"/>
          <w:szCs w:val="32"/>
          <w:highlight w:val="none"/>
          <w:lang w:val="en-US" w:eastAsia="zh-CN"/>
          <w14:textFill>
            <w14:solidFill>
              <w14:schemeClr w14:val="tx1"/>
            </w14:solidFill>
          </w14:textFill>
        </w:rPr>
        <w:t>644.18</w:t>
      </w:r>
      <w:r>
        <w:rPr>
          <w:rFonts w:hint="eastAsia" w:ascii="仿宋_GB2312" w:eastAsia="仿宋_GB2312"/>
          <w:color w:val="000000" w:themeColor="text1"/>
          <w:sz w:val="32"/>
          <w:szCs w:val="32"/>
          <w:highlight w:val="none"/>
          <w14:textFill>
            <w14:solidFill>
              <w14:schemeClr w14:val="tx1"/>
            </w14:solidFill>
          </w14:textFill>
        </w:rPr>
        <w:t>万元，实际支出金额为</w:t>
      </w:r>
      <w:r>
        <w:rPr>
          <w:rFonts w:hint="eastAsia" w:ascii="仿宋_GB2312" w:eastAsia="仿宋_GB2312"/>
          <w:color w:val="000000" w:themeColor="text1"/>
          <w:sz w:val="32"/>
          <w:szCs w:val="32"/>
          <w:highlight w:val="none"/>
          <w:lang w:val="en-US" w:eastAsia="zh-CN"/>
          <w14:textFill>
            <w14:solidFill>
              <w14:schemeClr w14:val="tx1"/>
            </w14:solidFill>
          </w14:textFill>
        </w:rPr>
        <w:t>595.90</w:t>
      </w:r>
      <w:r>
        <w:rPr>
          <w:rFonts w:hint="eastAsia" w:ascii="仿宋_GB2312" w:eastAsia="仿宋_GB2312"/>
          <w:color w:val="000000" w:themeColor="text1"/>
          <w:sz w:val="32"/>
          <w:szCs w:val="32"/>
          <w:highlight w:val="none"/>
          <w14:textFill>
            <w14:solidFill>
              <w14:schemeClr w14:val="tx1"/>
            </w14:solidFill>
          </w14:textFill>
        </w:rPr>
        <w:t>万元，预算执行率为</w:t>
      </w:r>
      <w:r>
        <w:rPr>
          <w:rFonts w:hint="eastAsia" w:ascii="仿宋_GB2312" w:eastAsia="仿宋_GB2312"/>
          <w:color w:val="000000" w:themeColor="text1"/>
          <w:sz w:val="32"/>
          <w:szCs w:val="32"/>
          <w:highlight w:val="none"/>
          <w:lang w:val="en-US" w:eastAsia="zh-CN"/>
          <w14:textFill>
            <w14:solidFill>
              <w14:schemeClr w14:val="tx1"/>
            </w14:solidFill>
          </w14:textFill>
        </w:rPr>
        <w:t>92.5</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年中调整预算金额为</w:t>
      </w:r>
      <w:r>
        <w:rPr>
          <w:rFonts w:hint="eastAsia" w:ascii="仿宋_GB2312" w:eastAsia="仿宋_GB2312"/>
          <w:color w:val="000000" w:themeColor="text1"/>
          <w:sz w:val="32"/>
          <w:szCs w:val="32"/>
          <w:highlight w:val="none"/>
          <w:lang w:val="en-US" w:eastAsia="zh-CN"/>
          <w14:textFill>
            <w14:solidFill>
              <w14:schemeClr w14:val="tx1"/>
            </w14:solidFill>
          </w14:textFill>
        </w:rPr>
        <w:t>104.93</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调整后基本支出总预算金额为749.11</w:t>
      </w:r>
      <w:r>
        <w:rPr>
          <w:rFonts w:hint="eastAsia" w:ascii="仿宋_GB2312" w:eastAsia="仿宋_GB2312"/>
          <w:color w:val="000000" w:themeColor="text1"/>
          <w:sz w:val="32"/>
          <w:szCs w:val="32"/>
          <w:highlight w:val="none"/>
          <w14:textFill>
            <w14:solidFill>
              <w14:schemeClr w14:val="tx1"/>
            </w14:solidFill>
          </w14:textFill>
        </w:rPr>
        <w:t>万元</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全年基本支出总预算执行率为100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p>
    <w:p>
      <w:pPr>
        <w:spacing w:line="570" w:lineRule="exact"/>
        <w:ind w:firstLine="640"/>
        <w:rPr>
          <w:rFonts w:hint="eastAsia"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综上所述，我单位基本支出预算总额为</w:t>
      </w:r>
      <w:r>
        <w:rPr>
          <w:rFonts w:hint="eastAsia" w:ascii="仿宋_GB2312" w:eastAsia="仿宋_GB2312"/>
          <w:color w:val="000000" w:themeColor="text1"/>
          <w:sz w:val="32"/>
          <w:szCs w:val="32"/>
          <w:highlight w:val="none"/>
          <w:lang w:val="en-US" w:eastAsia="zh-CN"/>
          <w14:textFill>
            <w14:solidFill>
              <w14:schemeClr w14:val="tx1"/>
            </w14:solidFill>
          </w14:textFill>
        </w:rPr>
        <w:t>749.11</w:t>
      </w:r>
      <w:r>
        <w:rPr>
          <w:rFonts w:hint="eastAsia" w:ascii="仿宋_GB2312" w:eastAsia="仿宋_GB2312"/>
          <w:color w:val="000000" w:themeColor="text1"/>
          <w:sz w:val="32"/>
          <w:szCs w:val="32"/>
          <w:highlight w:val="none"/>
          <w14:textFill>
            <w14:solidFill>
              <w14:schemeClr w14:val="tx1"/>
            </w14:solidFill>
          </w14:textFill>
        </w:rPr>
        <w:t>万元，实际支出总额为</w:t>
      </w:r>
      <w:r>
        <w:rPr>
          <w:rFonts w:hint="eastAsia" w:ascii="仿宋_GB2312" w:eastAsia="仿宋_GB2312"/>
          <w:color w:val="000000" w:themeColor="text1"/>
          <w:sz w:val="32"/>
          <w:szCs w:val="32"/>
          <w:highlight w:val="none"/>
          <w:lang w:val="en-US" w:eastAsia="zh-CN"/>
          <w14:textFill>
            <w14:solidFill>
              <w14:schemeClr w14:val="tx1"/>
            </w14:solidFill>
          </w14:textFill>
        </w:rPr>
        <w:t>749.11</w:t>
      </w:r>
      <w:r>
        <w:rPr>
          <w:rFonts w:hint="eastAsia" w:ascii="仿宋_GB2312" w:eastAsia="仿宋_GB2312"/>
          <w:color w:val="000000" w:themeColor="text1"/>
          <w:sz w:val="32"/>
          <w:szCs w:val="32"/>
          <w:highlight w:val="none"/>
          <w14:textFill>
            <w14:solidFill>
              <w14:schemeClr w14:val="tx1"/>
            </w14:solidFill>
          </w14:textFill>
        </w:rPr>
        <w:t>万元，预算总执行率为</w:t>
      </w:r>
      <w:r>
        <w:rPr>
          <w:rFonts w:hint="eastAsia" w:ascii="仿宋_GB2312" w:eastAsia="仿宋_GB2312"/>
          <w:color w:val="000000" w:themeColor="text1"/>
          <w:sz w:val="32"/>
          <w:szCs w:val="32"/>
          <w:highlight w:val="none"/>
          <w:lang w:val="en-US" w:eastAsia="zh-CN"/>
          <w14:textFill>
            <w14:solidFill>
              <w14:schemeClr w14:val="tx1"/>
            </w14:solidFill>
          </w14:textFill>
        </w:rPr>
        <w:t>100</w:t>
      </w:r>
      <w:r>
        <w:rPr>
          <w:rFonts w:hint="eastAsia" w:ascii="仿宋_GB2312" w:eastAsia="仿宋_GB2312"/>
          <w:color w:val="000000" w:themeColor="text1"/>
          <w:sz w:val="32"/>
          <w:szCs w:val="32"/>
          <w:highlight w:val="none"/>
          <w14:textFill>
            <w14:solidFill>
              <w14:schemeClr w14:val="tx1"/>
            </w14:solidFill>
          </w14:textFill>
        </w:rPr>
        <w:t>%，其中人员经费</w:t>
      </w:r>
      <w:r>
        <w:rPr>
          <w:rFonts w:hint="eastAsia" w:ascii="仿宋_GB2312" w:eastAsia="仿宋_GB2312"/>
          <w:color w:val="000000" w:themeColor="text1"/>
          <w:sz w:val="32"/>
          <w:szCs w:val="32"/>
          <w:highlight w:val="none"/>
          <w:lang w:val="en-US" w:eastAsia="zh-CN"/>
          <w14:textFill>
            <w14:solidFill>
              <w14:schemeClr w14:val="tx1"/>
            </w14:solidFill>
          </w14:textFill>
        </w:rPr>
        <w:t>706.77</w:t>
      </w:r>
      <w:r>
        <w:rPr>
          <w:rFonts w:hint="eastAsia" w:ascii="仿宋_GB2312" w:eastAsia="仿宋_GB2312"/>
          <w:color w:val="000000" w:themeColor="text1"/>
          <w:sz w:val="32"/>
          <w:szCs w:val="32"/>
          <w:highlight w:val="none"/>
          <w14:textFill>
            <w14:solidFill>
              <w14:schemeClr w14:val="tx1"/>
            </w14:solidFill>
          </w14:textFill>
        </w:rPr>
        <w:t>万元，公用经费</w:t>
      </w:r>
      <w:r>
        <w:rPr>
          <w:rFonts w:hint="eastAsia" w:ascii="仿宋_GB2312" w:eastAsia="仿宋_GB2312"/>
          <w:color w:val="000000" w:themeColor="text1"/>
          <w:sz w:val="32"/>
          <w:szCs w:val="32"/>
          <w:highlight w:val="none"/>
          <w:lang w:val="en-US" w:eastAsia="zh-CN"/>
          <w14:textFill>
            <w14:solidFill>
              <w14:schemeClr w14:val="tx1"/>
            </w14:solidFill>
          </w14:textFill>
        </w:rPr>
        <w:t>42.34</w:t>
      </w:r>
      <w:r>
        <w:rPr>
          <w:rFonts w:hint="eastAsia" w:ascii="仿宋_GB2312" w:eastAsia="仿宋_GB2312"/>
          <w:color w:val="000000" w:themeColor="text1"/>
          <w:sz w:val="32"/>
          <w:szCs w:val="32"/>
          <w:highlight w:val="none"/>
          <w14:textFill>
            <w14:solidFill>
              <w14:schemeClr w14:val="tx1"/>
            </w14:solidFill>
          </w14:textFill>
        </w:rPr>
        <w:t>万元。</w:t>
      </w:r>
    </w:p>
    <w:p>
      <w:pPr>
        <w:spacing w:line="570" w:lineRule="exact"/>
        <w:ind w:firstLine="640"/>
        <w:rPr>
          <w:rFonts w:hint="eastAsia" w:ascii="仿宋_GB2312" w:eastAsia="仿宋_GB2312"/>
          <w:bCs/>
          <w:color w:val="000000" w:themeColor="text1"/>
          <w:sz w:val="32"/>
          <w:szCs w:val="32"/>
          <w:highlight w:val="none"/>
          <w14:textFill>
            <w14:solidFill>
              <w14:schemeClr w14:val="tx1"/>
            </w14:solidFill>
          </w14:textFill>
        </w:rPr>
      </w:pPr>
      <w:r>
        <w:rPr>
          <w:rFonts w:hint="eastAsia" w:ascii="仿宋_GB2312" w:eastAsia="仿宋_GB2312"/>
          <w:bCs/>
          <w:color w:val="000000" w:themeColor="text1"/>
          <w:sz w:val="32"/>
          <w:szCs w:val="32"/>
          <w:highlight w:val="none"/>
          <w14:textFill>
            <w14:solidFill>
              <w14:schemeClr w14:val="tx1"/>
            </w14:solidFill>
          </w14:textFill>
        </w:rPr>
        <w:t>本单位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spacing w:line="570" w:lineRule="exact"/>
        <w:ind w:firstLine="643"/>
        <w:rPr>
          <w:rFonts w:ascii="仿宋_GB2312" w:eastAsia="仿宋_GB2312"/>
          <w:b/>
          <w:bCs/>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14:textFill>
            <w14:solidFill>
              <w14:schemeClr w14:val="tx1"/>
            </w14:solidFill>
          </w14:textFill>
        </w:rPr>
        <w:t>2.“三公”经费情况</w:t>
      </w:r>
    </w:p>
    <w:p>
      <w:pPr>
        <w:pStyle w:val="18"/>
        <w:snapToGrid w:val="0"/>
        <w:spacing w:line="570" w:lineRule="exact"/>
        <w:ind w:firstLine="640"/>
        <w:rPr>
          <w:rFonts w:hint="eastAsia" w:ascii="仿宋_GB2312" w:eastAsia="仿宋_GB2312" w:cs="宋体"/>
          <w:bCs/>
          <w:color w:val="000000" w:themeColor="text1"/>
          <w:sz w:val="32"/>
          <w:szCs w:val="32"/>
          <w:highlight w:val="none"/>
          <w:lang w:bidi="ar"/>
          <w14:textFill>
            <w14:solidFill>
              <w14:schemeClr w14:val="tx1"/>
            </w14:solidFill>
          </w14:textFill>
        </w:rPr>
      </w:pPr>
      <w:r>
        <w:rPr>
          <w:rFonts w:hint="eastAsia" w:ascii="仿宋_GB2312" w:eastAsia="仿宋_GB2312" w:cs="宋体"/>
          <w:bCs/>
          <w:color w:val="000000" w:themeColor="text1"/>
          <w:sz w:val="32"/>
          <w:szCs w:val="32"/>
          <w:highlight w:val="none"/>
          <w:lang w:bidi="ar"/>
          <w14:textFill>
            <w14:solidFill>
              <w14:schemeClr w14:val="tx1"/>
            </w14:solidFill>
          </w14:textFill>
        </w:rPr>
        <w:t>本单位坚决贯彻落实中央、自治区、地委行署厉行勤俭办公的工作要求，</w:t>
      </w:r>
      <w:r>
        <w:rPr>
          <w:rFonts w:hint="eastAsia" w:ascii="仿宋_GB2312" w:eastAsia="仿宋_GB2312" w:cs="宋体"/>
          <w:color w:val="000000" w:themeColor="text1"/>
          <w:sz w:val="32"/>
          <w:szCs w:val="32"/>
          <w:highlight w:val="none"/>
          <w14:textFill>
            <w14:solidFill>
              <w14:schemeClr w14:val="tx1"/>
            </w14:solidFill>
          </w14:textFill>
        </w:rPr>
        <w:t>严格执行《党政机关厉行节约反对浪费条例》</w:t>
      </w:r>
      <w:r>
        <w:rPr>
          <w:rFonts w:hint="eastAsia" w:ascii="仿宋_GB2312" w:eastAsia="仿宋_GB2312" w:cs="宋体"/>
          <w:color w:val="000000" w:themeColor="text1"/>
          <w:sz w:val="32"/>
          <w:szCs w:val="32"/>
          <w:highlight w:val="none"/>
          <w:lang w:eastAsia="zh-CN"/>
          <w14:textFill>
            <w14:solidFill>
              <w14:schemeClr w14:val="tx1"/>
            </w14:solidFill>
          </w14:textFill>
        </w:rPr>
        <w:t>，</w:t>
      </w:r>
      <w:r>
        <w:rPr>
          <w:rFonts w:hint="eastAsia" w:ascii="仿宋_GB2312" w:eastAsia="仿宋_GB2312" w:cs="宋体"/>
          <w:bCs/>
          <w:color w:val="000000" w:themeColor="text1"/>
          <w:sz w:val="32"/>
          <w:szCs w:val="32"/>
          <w:highlight w:val="none"/>
          <w:lang w:bidi="ar"/>
          <w14:textFill>
            <w14:solidFill>
              <w14:schemeClr w14:val="tx1"/>
            </w14:solidFill>
          </w14:textFill>
        </w:rPr>
        <w:t>提倡本单位全体干部职工，勤俭节约，切实降低行政运行成本，确保每年</w:t>
      </w:r>
      <w:r>
        <w:rPr>
          <w:rFonts w:hint="eastAsia" w:ascii="仿宋_GB2312" w:eastAsia="仿宋_GB2312" w:cs="宋体"/>
          <w:bCs/>
          <w:color w:val="000000" w:themeColor="text1"/>
          <w:sz w:val="32"/>
          <w:szCs w:val="32"/>
          <w:highlight w:val="none"/>
          <w:lang w:eastAsia="zh-CN" w:bidi="ar"/>
          <w14:textFill>
            <w14:solidFill>
              <w14:schemeClr w14:val="tx1"/>
            </w14:solidFill>
          </w14:textFill>
        </w:rPr>
        <w:t>“三公”经费</w:t>
      </w:r>
      <w:r>
        <w:rPr>
          <w:rFonts w:hint="eastAsia" w:ascii="仿宋_GB2312" w:eastAsia="仿宋_GB2312" w:cs="宋体"/>
          <w:bCs/>
          <w:color w:val="000000" w:themeColor="text1"/>
          <w:sz w:val="32"/>
          <w:szCs w:val="32"/>
          <w:highlight w:val="none"/>
          <w:lang w:bidi="ar"/>
          <w14:textFill>
            <w14:solidFill>
              <w14:schemeClr w14:val="tx1"/>
            </w14:solidFill>
          </w14:textFill>
        </w:rPr>
        <w:t>只减不增。</w:t>
      </w:r>
      <w:r>
        <w:rPr>
          <w:rFonts w:hint="eastAsia" w:ascii="仿宋_GB2312" w:eastAsia="仿宋_GB2312" w:cs="宋体"/>
          <w:bCs/>
          <w:color w:val="000000" w:themeColor="text1"/>
          <w:sz w:val="32"/>
          <w:szCs w:val="32"/>
          <w:highlight w:val="none"/>
          <w:lang w:eastAsia="zh-CN" w:bidi="ar"/>
          <w14:textFill>
            <w14:solidFill>
              <w14:schemeClr w14:val="tx1"/>
            </w14:solidFill>
          </w14:textFill>
        </w:rPr>
        <w:t>2023</w:t>
      </w:r>
      <w:r>
        <w:rPr>
          <w:rFonts w:hint="eastAsia" w:ascii="仿宋_GB2312" w:eastAsia="仿宋_GB2312" w:cs="宋体"/>
          <w:bCs/>
          <w:color w:val="000000" w:themeColor="text1"/>
          <w:sz w:val="32"/>
          <w:szCs w:val="32"/>
          <w:highlight w:val="none"/>
          <w:lang w:bidi="ar"/>
          <w14:textFill>
            <w14:solidFill>
              <w14:schemeClr w14:val="tx1"/>
            </w14:solidFill>
          </w14:textFill>
        </w:rPr>
        <w:t>年</w:t>
      </w:r>
      <w:r>
        <w:rPr>
          <w:rFonts w:hint="eastAsia" w:ascii="仿宋_GB2312" w:eastAsia="仿宋_GB2312" w:cs="宋体"/>
          <w:bCs/>
          <w:color w:val="000000" w:themeColor="text1"/>
          <w:sz w:val="32"/>
          <w:szCs w:val="32"/>
          <w:highlight w:val="none"/>
          <w:lang w:eastAsia="zh-CN" w:bidi="ar"/>
          <w14:textFill>
            <w14:solidFill>
              <w14:schemeClr w14:val="tx1"/>
            </w14:solidFill>
          </w14:textFill>
        </w:rPr>
        <w:t>“三公”经费</w:t>
      </w:r>
      <w:r>
        <w:rPr>
          <w:rFonts w:hint="eastAsia" w:ascii="仿宋_GB2312" w:eastAsia="仿宋_GB2312" w:cs="宋体"/>
          <w:bCs/>
          <w:color w:val="000000" w:themeColor="text1"/>
          <w:sz w:val="32"/>
          <w:szCs w:val="32"/>
          <w:highlight w:val="none"/>
          <w:lang w:bidi="ar"/>
          <w14:textFill>
            <w14:solidFill>
              <w14:schemeClr w14:val="tx1"/>
            </w14:solidFill>
          </w14:textFill>
        </w:rPr>
        <w:t>预算为</w:t>
      </w:r>
      <w:r>
        <w:rPr>
          <w:rFonts w:hint="eastAsia" w:ascii="仿宋_GB2312" w:eastAsia="仿宋_GB2312"/>
          <w:color w:val="000000" w:themeColor="text1"/>
          <w:sz w:val="32"/>
          <w:szCs w:val="32"/>
          <w:highlight w:val="none"/>
          <w:lang w:val="en-US" w:eastAsia="zh-CN"/>
          <w14:textFill>
            <w14:solidFill>
              <w14:schemeClr w14:val="tx1"/>
            </w14:solidFill>
          </w14:textFill>
        </w:rPr>
        <w:t>15.50</w:t>
      </w:r>
      <w:r>
        <w:rPr>
          <w:rFonts w:hint="eastAsia" w:ascii="仿宋_GB2312" w:eastAsia="仿宋_GB2312" w:cs="宋体"/>
          <w:bCs/>
          <w:color w:val="000000" w:themeColor="text1"/>
          <w:sz w:val="32"/>
          <w:szCs w:val="32"/>
          <w:highlight w:val="none"/>
          <w:lang w:bidi="ar"/>
          <w14:textFill>
            <w14:solidFill>
              <w14:schemeClr w14:val="tx1"/>
            </w14:solidFill>
          </w14:textFill>
        </w:rPr>
        <w:t>万元，实际支出</w:t>
      </w:r>
      <w:r>
        <w:rPr>
          <w:rFonts w:hint="eastAsia" w:ascii="仿宋_GB2312" w:eastAsia="仿宋_GB2312"/>
          <w:color w:val="000000" w:themeColor="text1"/>
          <w:sz w:val="32"/>
          <w:szCs w:val="32"/>
          <w:highlight w:val="none"/>
          <w:lang w:val="en-US" w:eastAsia="zh-CN"/>
          <w14:textFill>
            <w14:solidFill>
              <w14:schemeClr w14:val="tx1"/>
            </w14:solidFill>
          </w14:textFill>
        </w:rPr>
        <w:t>14.43</w:t>
      </w:r>
      <w:r>
        <w:rPr>
          <w:rFonts w:hint="eastAsia" w:ascii="仿宋_GB2312" w:eastAsia="仿宋_GB2312" w:cs="宋体"/>
          <w:bCs/>
          <w:color w:val="000000" w:themeColor="text1"/>
          <w:sz w:val="32"/>
          <w:szCs w:val="32"/>
          <w:highlight w:val="none"/>
          <w:lang w:bidi="ar"/>
          <w14:textFill>
            <w14:solidFill>
              <w14:schemeClr w14:val="tx1"/>
            </w14:solidFill>
          </w14:textFill>
        </w:rPr>
        <w:t>万元，</w:t>
      </w:r>
      <w:r>
        <w:rPr>
          <w:rFonts w:hint="eastAsia" w:ascii="仿宋_GB2312" w:eastAsia="仿宋_GB2312" w:cs="宋体"/>
          <w:color w:val="000000" w:themeColor="text1"/>
          <w:sz w:val="32"/>
          <w:szCs w:val="32"/>
          <w:highlight w:val="none"/>
          <w14:textFill>
            <w14:solidFill>
              <w14:schemeClr w14:val="tx1"/>
            </w14:solidFill>
          </w14:textFill>
        </w:rPr>
        <w:t>较上年“三公”经费决算支出</w:t>
      </w:r>
      <w:r>
        <w:rPr>
          <w:rFonts w:hint="eastAsia" w:ascii="仿宋_GB2312" w:eastAsia="仿宋_GB2312"/>
          <w:color w:val="000000" w:themeColor="text1"/>
          <w:sz w:val="32"/>
          <w:szCs w:val="32"/>
          <w:highlight w:val="none"/>
          <w:lang w:val="en-US" w:eastAsia="zh-CN"/>
          <w14:textFill>
            <w14:solidFill>
              <w14:schemeClr w14:val="tx1"/>
            </w14:solidFill>
          </w14:textFill>
        </w:rPr>
        <w:t>10.49</w:t>
      </w:r>
      <w:r>
        <w:rPr>
          <w:rFonts w:hint="eastAsia" w:ascii="仿宋_GB2312" w:eastAsia="仿宋_GB2312" w:cs="宋体"/>
          <w:color w:val="000000" w:themeColor="text1"/>
          <w:sz w:val="32"/>
          <w:szCs w:val="32"/>
          <w:highlight w:val="none"/>
          <w14:textFill>
            <w14:solidFill>
              <w14:schemeClr w14:val="tx1"/>
            </w14:solidFill>
          </w14:textFill>
        </w:rPr>
        <w:t>万元，</w:t>
      </w:r>
      <w:r>
        <w:rPr>
          <w:rFonts w:hint="eastAsia" w:ascii="仿宋_GB2312" w:eastAsia="仿宋_GB2312" w:cs="宋体"/>
          <w:color w:val="000000" w:themeColor="text1"/>
          <w:sz w:val="32"/>
          <w:szCs w:val="32"/>
          <w:highlight w:val="none"/>
          <w:lang w:val="en-US" w:eastAsia="zh-CN"/>
          <w14:textFill>
            <w14:solidFill>
              <w14:schemeClr w14:val="tx1"/>
            </w14:solidFill>
          </w14:textFill>
        </w:rPr>
        <w:t>增加</w:t>
      </w:r>
      <w:r>
        <w:rPr>
          <w:rFonts w:hint="eastAsia" w:ascii="仿宋_GB2312" w:eastAsia="仿宋_GB2312"/>
          <w:color w:val="000000" w:themeColor="text1"/>
          <w:sz w:val="32"/>
          <w:szCs w:val="32"/>
          <w:highlight w:val="none"/>
          <w:lang w:val="en-US" w:eastAsia="zh-CN"/>
          <w14:textFill>
            <w14:solidFill>
              <w14:schemeClr w14:val="tx1"/>
            </w14:solidFill>
          </w14:textFill>
        </w:rPr>
        <w:t>3.94</w:t>
      </w:r>
      <w:r>
        <w:rPr>
          <w:rFonts w:hint="eastAsia" w:ascii="仿宋_GB2312" w:eastAsia="仿宋_GB2312" w:cs="宋体"/>
          <w:color w:val="000000" w:themeColor="text1"/>
          <w:sz w:val="32"/>
          <w:szCs w:val="32"/>
          <w:highlight w:val="none"/>
          <w14:textFill>
            <w14:solidFill>
              <w14:schemeClr w14:val="tx1"/>
            </w14:solidFill>
          </w14:textFill>
        </w:rPr>
        <w:t>万元，</w:t>
      </w:r>
      <w:r>
        <w:rPr>
          <w:rFonts w:hint="eastAsia" w:ascii="仿宋_GB2312" w:eastAsia="仿宋_GB2312" w:cs="宋体"/>
          <w:color w:val="000000" w:themeColor="text1"/>
          <w:sz w:val="32"/>
          <w:szCs w:val="32"/>
          <w:highlight w:val="none"/>
          <w:lang w:val="en-US" w:eastAsia="zh-CN"/>
          <w14:textFill>
            <w14:solidFill>
              <w14:schemeClr w14:val="tx1"/>
            </w14:solidFill>
          </w14:textFill>
        </w:rPr>
        <w:t>增加37.6</w:t>
      </w:r>
      <w:r>
        <w:rPr>
          <w:rFonts w:hint="eastAsia" w:ascii="仿宋_GB2312" w:eastAsia="仿宋_GB2312" w:cs="宋体"/>
          <w:color w:val="000000" w:themeColor="text1"/>
          <w:sz w:val="32"/>
          <w:szCs w:val="32"/>
          <w:highlight w:val="none"/>
          <w14:textFill>
            <w14:solidFill>
              <w14:schemeClr w14:val="tx1"/>
            </w14:solidFill>
          </w14:textFill>
        </w:rPr>
        <w:t>%</w:t>
      </w:r>
      <w:r>
        <w:rPr>
          <w:rFonts w:hint="eastAsia" w:ascii="仿宋_GB2312" w:eastAsia="仿宋_GB2312" w:cs="宋体"/>
          <w:color w:val="000000" w:themeColor="text1"/>
          <w:sz w:val="32"/>
          <w:szCs w:val="32"/>
          <w:highlight w:val="none"/>
          <w:lang w:eastAsia="zh-CN"/>
          <w14:textFill>
            <w14:solidFill>
              <w14:schemeClr w14:val="tx1"/>
            </w14:solidFill>
          </w14:textFill>
        </w:rPr>
        <w:t>；</w:t>
      </w:r>
      <w:r>
        <w:rPr>
          <w:rFonts w:hint="eastAsia" w:ascii="仿宋_GB2312" w:eastAsia="仿宋_GB2312" w:cs="宋体"/>
          <w:color w:val="000000" w:themeColor="text1"/>
          <w:sz w:val="32"/>
          <w:szCs w:val="32"/>
          <w:highlight w:val="none"/>
          <w:lang w:val="en-US" w:eastAsia="zh-CN"/>
          <w14:textFill>
            <w14:solidFill>
              <w14:schemeClr w14:val="tx1"/>
            </w14:solidFill>
          </w14:textFill>
        </w:rPr>
        <w:t>增加的原因是：</w:t>
      </w:r>
      <w:r>
        <w:rPr>
          <w:rFonts w:hint="eastAsia" w:ascii="仿宋_GB2312" w:hAnsi="仿宋" w:eastAsia="仿宋_GB2312"/>
          <w:color w:val="000000" w:themeColor="text1"/>
          <w:sz w:val="32"/>
          <w:szCs w:val="32"/>
          <w:highlight w:val="none"/>
          <w14:textFill>
            <w14:solidFill>
              <w14:schemeClr w14:val="tx1"/>
            </w14:solidFill>
          </w14:textFill>
        </w:rPr>
        <w:t>2023年本年度安全生产工作要求，公务用车出车频率高，公务用车运行维护费增加了</w:t>
      </w:r>
      <w:r>
        <w:rPr>
          <w:rFonts w:hint="eastAsia" w:ascii="仿宋_GB2312" w:eastAsia="仿宋_GB2312" w:cs="宋体"/>
          <w:color w:val="000000" w:themeColor="text1"/>
          <w:sz w:val="32"/>
          <w:szCs w:val="32"/>
          <w:highlight w:val="none"/>
          <w14:textFill>
            <w14:solidFill>
              <w14:schemeClr w14:val="tx1"/>
            </w14:solidFill>
          </w14:textFill>
        </w:rPr>
        <w:t>。</w:t>
      </w:r>
      <w:r>
        <w:rPr>
          <w:rFonts w:hint="eastAsia" w:ascii="仿宋_GB2312" w:eastAsia="仿宋_GB2312" w:cs="宋体"/>
          <w:bCs/>
          <w:color w:val="000000" w:themeColor="text1"/>
          <w:sz w:val="32"/>
          <w:szCs w:val="32"/>
          <w:highlight w:val="none"/>
          <w:lang w:bidi="ar"/>
          <w14:textFill>
            <w14:solidFill>
              <w14:schemeClr w14:val="tx1"/>
            </w14:solidFill>
          </w14:textFill>
        </w:rPr>
        <w:t>其中：因公出国（境）费预算为</w:t>
      </w:r>
      <w:r>
        <w:rPr>
          <w:rFonts w:hint="eastAsia" w:ascii="仿宋_GB2312" w:eastAsia="仿宋_GB2312"/>
          <w:color w:val="000000" w:themeColor="text1"/>
          <w:sz w:val="32"/>
          <w:szCs w:val="32"/>
          <w:highlight w:val="none"/>
          <w:lang w:val="en-US" w:eastAsia="zh-CN"/>
          <w14:textFill>
            <w14:solidFill>
              <w14:schemeClr w14:val="tx1"/>
            </w14:solidFill>
          </w14:textFill>
        </w:rPr>
        <w:t>0</w:t>
      </w:r>
      <w:r>
        <w:rPr>
          <w:rFonts w:hint="eastAsia" w:ascii="仿宋_GB2312" w:eastAsia="仿宋_GB2312" w:cs="宋体"/>
          <w:bCs/>
          <w:color w:val="000000" w:themeColor="text1"/>
          <w:sz w:val="32"/>
          <w:szCs w:val="32"/>
          <w:highlight w:val="none"/>
          <w:lang w:bidi="ar"/>
          <w14:textFill>
            <w14:solidFill>
              <w14:schemeClr w14:val="tx1"/>
            </w14:solidFill>
          </w14:textFill>
        </w:rPr>
        <w:t>万元，实际支出</w:t>
      </w:r>
      <w:r>
        <w:rPr>
          <w:rFonts w:hint="eastAsia" w:ascii="仿宋_GB2312" w:eastAsia="仿宋_GB2312"/>
          <w:color w:val="000000" w:themeColor="text1"/>
          <w:sz w:val="32"/>
          <w:szCs w:val="32"/>
          <w:highlight w:val="none"/>
          <w:lang w:val="en-US" w:eastAsia="zh-CN"/>
          <w14:textFill>
            <w14:solidFill>
              <w14:schemeClr w14:val="tx1"/>
            </w14:solidFill>
          </w14:textFill>
        </w:rPr>
        <w:t>0</w:t>
      </w:r>
      <w:r>
        <w:rPr>
          <w:rFonts w:hint="eastAsia" w:ascii="仿宋_GB2312" w:eastAsia="仿宋_GB2312" w:cs="宋体"/>
          <w:bCs/>
          <w:color w:val="000000" w:themeColor="text1"/>
          <w:sz w:val="32"/>
          <w:szCs w:val="32"/>
          <w:highlight w:val="none"/>
          <w:lang w:bidi="ar"/>
          <w14:textFill>
            <w14:solidFill>
              <w14:schemeClr w14:val="tx1"/>
            </w14:solidFill>
          </w14:textFill>
        </w:rPr>
        <w:t>万元；公务接待费预算为</w:t>
      </w:r>
      <w:r>
        <w:rPr>
          <w:rFonts w:hint="eastAsia" w:ascii="仿宋_GB2312" w:eastAsia="仿宋_GB2312"/>
          <w:color w:val="000000" w:themeColor="text1"/>
          <w:sz w:val="32"/>
          <w:szCs w:val="32"/>
          <w:highlight w:val="none"/>
          <w:lang w:val="en-US" w:eastAsia="zh-CN"/>
          <w14:textFill>
            <w14:solidFill>
              <w14:schemeClr w14:val="tx1"/>
            </w14:solidFill>
          </w14:textFill>
        </w:rPr>
        <w:t>0.50</w:t>
      </w:r>
      <w:r>
        <w:rPr>
          <w:rFonts w:hint="eastAsia" w:ascii="仿宋_GB2312" w:eastAsia="仿宋_GB2312" w:cs="宋体"/>
          <w:bCs/>
          <w:color w:val="000000" w:themeColor="text1"/>
          <w:sz w:val="32"/>
          <w:szCs w:val="32"/>
          <w:highlight w:val="none"/>
          <w:lang w:bidi="ar"/>
          <w14:textFill>
            <w14:solidFill>
              <w14:schemeClr w14:val="tx1"/>
            </w14:solidFill>
          </w14:textFill>
        </w:rPr>
        <w:t>万元，实际支出</w:t>
      </w:r>
      <w:r>
        <w:rPr>
          <w:rFonts w:hint="eastAsia" w:ascii="仿宋_GB2312" w:eastAsia="仿宋_GB2312"/>
          <w:color w:val="000000" w:themeColor="text1"/>
          <w:sz w:val="32"/>
          <w:szCs w:val="32"/>
          <w:highlight w:val="none"/>
          <w:lang w:val="en-US" w:eastAsia="zh-CN"/>
          <w14:textFill>
            <w14:solidFill>
              <w14:schemeClr w14:val="tx1"/>
            </w14:solidFill>
          </w14:textFill>
        </w:rPr>
        <w:t>0</w:t>
      </w:r>
      <w:r>
        <w:rPr>
          <w:rFonts w:hint="eastAsia" w:ascii="仿宋_GB2312" w:eastAsia="仿宋_GB2312" w:cs="宋体"/>
          <w:bCs/>
          <w:color w:val="000000" w:themeColor="text1"/>
          <w:sz w:val="32"/>
          <w:szCs w:val="32"/>
          <w:highlight w:val="none"/>
          <w:lang w:bidi="ar"/>
          <w14:textFill>
            <w14:solidFill>
              <w14:schemeClr w14:val="tx1"/>
            </w14:solidFill>
          </w14:textFill>
        </w:rPr>
        <w:t>万元；公务用车购置费预算为</w:t>
      </w:r>
      <w:r>
        <w:rPr>
          <w:rFonts w:hint="eastAsia" w:ascii="仿宋_GB2312" w:eastAsia="仿宋_GB2312"/>
          <w:color w:val="000000" w:themeColor="text1"/>
          <w:sz w:val="32"/>
          <w:szCs w:val="32"/>
          <w:highlight w:val="none"/>
          <w:lang w:val="en-US" w:eastAsia="zh-CN"/>
          <w14:textFill>
            <w14:solidFill>
              <w14:schemeClr w14:val="tx1"/>
            </w14:solidFill>
          </w14:textFill>
        </w:rPr>
        <w:t>0</w:t>
      </w:r>
      <w:r>
        <w:rPr>
          <w:rFonts w:hint="eastAsia" w:ascii="仿宋_GB2312" w:eastAsia="仿宋_GB2312" w:cs="宋体"/>
          <w:bCs/>
          <w:color w:val="000000" w:themeColor="text1"/>
          <w:sz w:val="32"/>
          <w:szCs w:val="32"/>
          <w:highlight w:val="none"/>
          <w:lang w:bidi="ar"/>
          <w14:textFill>
            <w14:solidFill>
              <w14:schemeClr w14:val="tx1"/>
            </w14:solidFill>
          </w14:textFill>
        </w:rPr>
        <w:t>万元，实际支出</w:t>
      </w:r>
      <w:r>
        <w:rPr>
          <w:rFonts w:hint="eastAsia" w:ascii="仿宋_GB2312" w:eastAsia="仿宋_GB2312"/>
          <w:color w:val="000000" w:themeColor="text1"/>
          <w:sz w:val="32"/>
          <w:szCs w:val="32"/>
          <w:highlight w:val="none"/>
          <w:lang w:val="en-US" w:eastAsia="zh-CN"/>
          <w14:textFill>
            <w14:solidFill>
              <w14:schemeClr w14:val="tx1"/>
            </w14:solidFill>
          </w14:textFill>
        </w:rPr>
        <w:t>0</w:t>
      </w:r>
      <w:r>
        <w:rPr>
          <w:rFonts w:hint="eastAsia" w:ascii="仿宋_GB2312" w:eastAsia="仿宋_GB2312" w:cs="宋体"/>
          <w:bCs/>
          <w:color w:val="000000" w:themeColor="text1"/>
          <w:sz w:val="32"/>
          <w:szCs w:val="32"/>
          <w:highlight w:val="none"/>
          <w:lang w:bidi="ar"/>
          <w14:textFill>
            <w14:solidFill>
              <w14:schemeClr w14:val="tx1"/>
            </w14:solidFill>
          </w14:textFill>
        </w:rPr>
        <w:t>万元；公务用车运行维护费预算为</w:t>
      </w:r>
      <w:r>
        <w:rPr>
          <w:rFonts w:hint="eastAsia" w:ascii="仿宋_GB2312" w:eastAsia="仿宋_GB2312"/>
          <w:color w:val="000000" w:themeColor="text1"/>
          <w:sz w:val="32"/>
          <w:szCs w:val="32"/>
          <w:highlight w:val="none"/>
          <w:lang w:val="en-US" w:eastAsia="zh-CN"/>
          <w14:textFill>
            <w14:solidFill>
              <w14:schemeClr w14:val="tx1"/>
            </w14:solidFill>
          </w14:textFill>
        </w:rPr>
        <w:t>15.00</w:t>
      </w:r>
      <w:r>
        <w:rPr>
          <w:rFonts w:hint="eastAsia" w:ascii="仿宋_GB2312" w:eastAsia="仿宋_GB2312" w:cs="宋体"/>
          <w:bCs/>
          <w:color w:val="000000" w:themeColor="text1"/>
          <w:sz w:val="32"/>
          <w:szCs w:val="32"/>
          <w:highlight w:val="none"/>
          <w:lang w:bidi="ar"/>
          <w14:textFill>
            <w14:solidFill>
              <w14:schemeClr w14:val="tx1"/>
            </w14:solidFill>
          </w14:textFill>
        </w:rPr>
        <w:t>万元，实际支出</w:t>
      </w:r>
      <w:r>
        <w:rPr>
          <w:rFonts w:hint="eastAsia" w:ascii="仿宋_GB2312" w:eastAsia="仿宋_GB2312"/>
          <w:color w:val="000000" w:themeColor="text1"/>
          <w:sz w:val="32"/>
          <w:szCs w:val="32"/>
          <w:highlight w:val="none"/>
          <w:lang w:val="en-US" w:eastAsia="zh-CN"/>
          <w14:textFill>
            <w14:solidFill>
              <w14:schemeClr w14:val="tx1"/>
            </w14:solidFill>
          </w14:textFill>
        </w:rPr>
        <w:t>14.43</w:t>
      </w:r>
      <w:r>
        <w:rPr>
          <w:rFonts w:hint="eastAsia" w:ascii="仿宋_GB2312" w:eastAsia="仿宋_GB2312" w:cs="宋体"/>
          <w:bCs/>
          <w:color w:val="000000" w:themeColor="text1"/>
          <w:sz w:val="32"/>
          <w:szCs w:val="32"/>
          <w:highlight w:val="none"/>
          <w:lang w:bidi="ar"/>
          <w14:textFill>
            <w14:solidFill>
              <w14:schemeClr w14:val="tx1"/>
            </w14:solidFill>
          </w14:textFill>
        </w:rPr>
        <w:t>万元，</w:t>
      </w:r>
      <w:r>
        <w:rPr>
          <w:rFonts w:hint="eastAsia" w:ascii="仿宋_GB2312" w:eastAsia="仿宋_GB2312" w:cs="宋体"/>
          <w:bCs/>
          <w:color w:val="000000" w:themeColor="text1"/>
          <w:sz w:val="32"/>
          <w:szCs w:val="32"/>
          <w:highlight w:val="none"/>
          <w:lang w:eastAsia="zh-Hans" w:bidi="ar"/>
          <w14:textFill>
            <w14:solidFill>
              <w14:schemeClr w14:val="tx1"/>
            </w14:solidFill>
          </w14:textFill>
        </w:rPr>
        <w:t>各项支出均</w:t>
      </w:r>
      <w:r>
        <w:rPr>
          <w:rFonts w:hint="eastAsia" w:ascii="仿宋_GB2312" w:eastAsia="仿宋_GB2312" w:cs="宋体"/>
          <w:bCs/>
          <w:color w:val="000000" w:themeColor="text1"/>
          <w:sz w:val="32"/>
          <w:szCs w:val="32"/>
          <w:highlight w:val="none"/>
          <w:lang w:bidi="ar"/>
          <w14:textFill>
            <w14:solidFill>
              <w14:schemeClr w14:val="tx1"/>
            </w14:solidFill>
          </w14:textFill>
        </w:rPr>
        <w:t>符合财政部门本年预算要求和相关管理制度要求。</w:t>
      </w:r>
    </w:p>
    <w:p>
      <w:pPr>
        <w:pStyle w:val="4"/>
        <w:numPr>
          <w:ilvl w:val="0"/>
          <w:numId w:val="2"/>
        </w:numPr>
        <w:spacing w:line="570" w:lineRule="exact"/>
        <w:ind w:firstLineChars="0"/>
        <w:rPr>
          <w:rFonts w:hint="eastAsia" w:ascii="楷体_GB2312" w:eastAsia="楷体_GB2312"/>
          <w:bCs/>
          <w:color w:val="000000" w:themeColor="text1"/>
          <w:szCs w:val="32"/>
          <w:highlight w:val="none"/>
          <w14:textFill>
            <w14:solidFill>
              <w14:schemeClr w14:val="tx1"/>
            </w14:solidFill>
          </w14:textFill>
        </w:rPr>
      </w:pPr>
      <w:r>
        <w:rPr>
          <w:rFonts w:hint="eastAsia" w:ascii="楷体_GB2312" w:eastAsia="楷体_GB2312"/>
          <w:bCs/>
          <w:color w:val="000000" w:themeColor="text1"/>
          <w:szCs w:val="32"/>
          <w:highlight w:val="none"/>
          <w14:textFill>
            <w14:solidFill>
              <w14:schemeClr w14:val="tx1"/>
            </w14:solidFill>
          </w14:textFill>
        </w:rPr>
        <w:t>项目支出预算安排及支出情况</w:t>
      </w:r>
    </w:p>
    <w:p>
      <w:pPr>
        <w:ind w:firstLine="643"/>
        <w:rPr>
          <w:rFonts w:ascii="仿宋_GB2312" w:eastAsia="仿宋_GB2312"/>
          <w:b/>
          <w:bCs/>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14:textFill>
            <w14:solidFill>
              <w14:schemeClr w14:val="tx1"/>
            </w14:solidFill>
          </w14:textFill>
        </w:rPr>
        <w:t>1.项目支出情况</w:t>
      </w:r>
    </w:p>
    <w:p>
      <w:pPr>
        <w:bidi w:val="0"/>
        <w:rPr>
          <w:rFonts w:hint="default"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eastAsia="仿宋_GB2312" w:cs="仿宋_GB2312"/>
          <w:color w:val="000000" w:themeColor="text1"/>
          <w:sz w:val="32"/>
          <w:szCs w:val="32"/>
          <w:highlight w:val="none"/>
          <w14:textFill>
            <w14:solidFill>
              <w14:schemeClr w14:val="tx1"/>
            </w14:solidFill>
          </w14:textFill>
        </w:rPr>
        <w:t>年，</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沙湾市文化体育广播电视和旅游局</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项目支出年初预算金额为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2635.48</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万元，实际支出金额为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1919.45</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万元，预算执行率为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72.8</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14:textFill>
            <w14:solidFill>
              <w14:schemeClr w14:val="tx1"/>
            </w14:solidFill>
          </w14:textFill>
        </w:rPr>
        <w:t>年中调整预算金额为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1371.23</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调整后项目支出预算总额</w:t>
      </w:r>
      <w:r>
        <w:rPr>
          <w:rFonts w:hint="eastAsia" w:ascii="仿宋_GB2312" w:hAnsi="仿宋_GB2312" w:eastAsia="仿宋_GB2312" w:cs="仿宋_GB2312"/>
          <w:color w:val="000000" w:themeColor="text1"/>
          <w:sz w:val="32"/>
          <w:szCs w:val="32"/>
          <w:highlight w:val="none"/>
          <w14:textFill>
            <w14:solidFill>
              <w14:schemeClr w14:val="tx1"/>
            </w14:solidFill>
          </w14:textFill>
        </w:rPr>
        <w:t>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4006.71</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全年项目预算</w:t>
      </w:r>
      <w:r>
        <w:rPr>
          <w:rFonts w:hint="eastAsia" w:ascii="仿宋_GB2312" w:hAnsi="仿宋_GB2312" w:eastAsia="仿宋_GB2312" w:cs="仿宋_GB2312"/>
          <w:color w:val="000000" w:themeColor="text1"/>
          <w:sz w:val="32"/>
          <w:szCs w:val="32"/>
          <w:highlight w:val="none"/>
          <w14:textFill>
            <w14:solidFill>
              <w14:schemeClr w14:val="tx1"/>
            </w14:solidFill>
          </w14:textFill>
        </w:rPr>
        <w:t>支出总额为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3430.23</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万元，预算总执行率为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85.6</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p>
    <w:p>
      <w:pPr>
        <w:bidi w:val="0"/>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2023</w:t>
      </w:r>
      <w:r>
        <w:rPr>
          <w:rFonts w:hint="eastAsia" w:ascii="仿宋_GB2312" w:hAnsi="仿宋_GB2312" w:eastAsia="仿宋_GB2312" w:cs="仿宋_GB2312"/>
          <w:color w:val="000000" w:themeColor="text1"/>
          <w:sz w:val="32"/>
          <w:szCs w:val="32"/>
          <w:highlight w:val="none"/>
          <w14:textFill>
            <w14:solidFill>
              <w14:schemeClr w14:val="tx1"/>
            </w14:solidFill>
          </w14:textFill>
        </w:rPr>
        <w:t>年，</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沙湾市文化体育广播电视和旅游局</w:t>
      </w:r>
      <w:r>
        <w:rPr>
          <w:rFonts w:hint="eastAsia" w:ascii="仿宋_GB2312" w:hAnsi="仿宋_GB2312" w:eastAsia="仿宋_GB2312" w:cs="仿宋_GB2312"/>
          <w:color w:val="000000" w:themeColor="text1"/>
          <w:sz w:val="32"/>
          <w:szCs w:val="32"/>
          <w:highlight w:val="none"/>
          <w14:textFill>
            <w14:solidFill>
              <w14:schemeClr w14:val="tx1"/>
            </w14:solidFill>
          </w14:textFill>
        </w:rPr>
        <w:t>共有</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z w:val="32"/>
          <w:szCs w:val="32"/>
          <w:highlight w:val="none"/>
          <w14:textFill>
            <w14:solidFill>
              <w14:schemeClr w14:val="tx1"/>
            </w14:solidFill>
          </w14:textFill>
        </w:rPr>
        <w:t>个中央、自治区、地区</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及</w:t>
      </w:r>
      <w:r>
        <w:rPr>
          <w:rFonts w:hint="eastAsia" w:ascii="仿宋_GB2312" w:hAnsi="仿宋_GB2312" w:eastAsia="仿宋_GB2312" w:cs="仿宋_GB2312"/>
          <w:color w:val="000000" w:themeColor="text1"/>
          <w:sz w:val="32"/>
          <w:szCs w:val="32"/>
          <w:highlight w:val="none"/>
          <w14:textFill>
            <w14:solidFill>
              <w14:schemeClr w14:val="tx1"/>
            </w14:solidFill>
          </w14:textFill>
        </w:rPr>
        <w:t>本级财力安排</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的</w:t>
      </w:r>
      <w:r>
        <w:rPr>
          <w:rFonts w:hint="eastAsia" w:ascii="仿宋_GB2312" w:hAnsi="仿宋_GB2312" w:eastAsia="仿宋_GB2312" w:cs="仿宋_GB2312"/>
          <w:color w:val="000000" w:themeColor="text1"/>
          <w:sz w:val="32"/>
          <w:szCs w:val="32"/>
          <w:highlight w:val="none"/>
          <w14:textFill>
            <w14:solidFill>
              <w14:schemeClr w14:val="tx1"/>
            </w14:solidFill>
          </w14:textFill>
        </w:rPr>
        <w:t>项目，已</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实施</w:t>
      </w:r>
      <w:r>
        <w:rPr>
          <w:rFonts w:hint="eastAsia" w:ascii="仿宋_GB2312" w:hAnsi="仿宋_GB2312" w:eastAsia="仿宋_GB2312" w:cs="仿宋_GB2312"/>
          <w:color w:val="000000" w:themeColor="text1"/>
          <w:sz w:val="32"/>
          <w:szCs w:val="32"/>
          <w:highlight w:val="none"/>
          <w14:textFill>
            <w14:solidFill>
              <w14:schemeClr w14:val="tx1"/>
            </w14:solidFill>
          </w14:textFill>
        </w:rPr>
        <w:t>完成项目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12</w:t>
      </w:r>
      <w:r>
        <w:rPr>
          <w:rFonts w:hint="eastAsia" w:ascii="仿宋_GB2312" w:hAnsi="仿宋_GB2312" w:eastAsia="仿宋_GB2312" w:cs="仿宋_GB2312"/>
          <w:color w:val="000000" w:themeColor="text1"/>
          <w:sz w:val="32"/>
          <w:szCs w:val="32"/>
          <w:highlight w:val="none"/>
          <w14:textFill>
            <w14:solidFill>
              <w14:schemeClr w14:val="tx1"/>
            </w14:solidFill>
          </w14:textFill>
        </w:rPr>
        <w:t>个。</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具体项目实施及资金支出情况如下：</w:t>
      </w:r>
    </w:p>
    <w:p>
      <w:pPr>
        <w:keepNext w:val="0"/>
        <w:keepLines w:val="0"/>
        <w:pageBreakBefore w:val="0"/>
        <w:widowControl w:val="0"/>
        <w:numPr>
          <w:ilvl w:val="0"/>
          <w:numId w:val="3"/>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中央及自治区专项：</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博物馆、纪念馆免费开放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14:textFill>
            <w14:solidFill>
              <w14:schemeClr w14:val="tx1"/>
            </w14:solidFill>
          </w14:textFill>
        </w:rPr>
        <w:t>预算金额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39.40</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highlight w:val="none"/>
          <w14:textFill>
            <w14:solidFill>
              <w14:schemeClr w14:val="tx1"/>
            </w14:solidFill>
          </w14:textFill>
        </w:rPr>
        <w:t>执行金额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31.24</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万元，执行率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79.3</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因财政资金紧张未能完成全部资金支付，导致成本指标未完成，项目其他全部实施完成，并经验收合格。</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体育彩票公益金返还资金</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14:textFill>
            <w14:solidFill>
              <w14:schemeClr w14:val="tx1"/>
            </w14:solidFill>
          </w14:textFill>
        </w:rPr>
        <w:t>预算金额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27.65</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highlight w:val="none"/>
          <w14:textFill>
            <w14:solidFill>
              <w14:schemeClr w14:val="tx1"/>
            </w14:solidFill>
          </w14:textFill>
        </w:rPr>
        <w:t>执行金额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27.65</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万元，执行率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项目已全部实施完成，并经验收合格；项目各项任务指标均已完成。</w:t>
      </w:r>
    </w:p>
    <w:p>
      <w:pPr>
        <w:pStyle w:val="2"/>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bCs/>
          <w:color w:val="000000" w:themeColor="text1"/>
          <w:sz w:val="32"/>
          <w:szCs w:val="32"/>
          <w:highlight w:val="none"/>
          <w:lang w:val="en-US" w:eastAsia="zh-CN" w:bidi="ar"/>
          <w14:textFill>
            <w14:solidFill>
              <w14:schemeClr w14:val="tx1"/>
            </w14:solidFill>
          </w14:textFill>
        </w:rPr>
        <w:t>村村通工程聘用运行维护人员经费</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预算金额</w:t>
      </w:r>
      <w:r>
        <w:rPr>
          <w:rFonts w:hint="eastAsia" w:cs="仿宋_GB2312"/>
          <w:b w:val="0"/>
          <w:bCs w:val="0"/>
          <w:color w:val="000000" w:themeColor="text1"/>
          <w:sz w:val="32"/>
          <w:szCs w:val="32"/>
          <w:highlight w:val="none"/>
          <w:lang w:val="en-US" w:eastAsia="zh-CN"/>
          <w14:textFill>
            <w14:solidFill>
              <w14:schemeClr w14:val="tx1"/>
            </w14:solidFill>
          </w14:textFill>
        </w:rPr>
        <w:t>15.35</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执行金额</w:t>
      </w:r>
      <w:r>
        <w:rPr>
          <w:rFonts w:hint="eastAsia" w:cs="仿宋_GB2312"/>
          <w:b w:val="0"/>
          <w:bCs w:val="0"/>
          <w:color w:val="000000" w:themeColor="text1"/>
          <w:sz w:val="32"/>
          <w:szCs w:val="32"/>
          <w:highlight w:val="none"/>
          <w:lang w:val="en-US" w:eastAsia="zh-CN"/>
          <w14:textFill>
            <w14:solidFill>
              <w14:schemeClr w14:val="tx1"/>
            </w14:solidFill>
          </w14:textFill>
        </w:rPr>
        <w:t>15.35</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万元，执行率</w:t>
      </w:r>
      <w:r>
        <w:rPr>
          <w:rFonts w:hint="eastAsia" w:cs="仿宋_GB2312"/>
          <w:b w:val="0"/>
          <w:bCs w:val="0"/>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项目已全部实施完成，并经验收合格；项目各项任务指标均已完成。</w:t>
      </w:r>
    </w:p>
    <w:p>
      <w:pPr>
        <w:pStyle w:val="2"/>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bCs/>
          <w:color w:val="000000" w:themeColor="text1"/>
          <w:sz w:val="32"/>
          <w:szCs w:val="32"/>
          <w:highlight w:val="none"/>
          <w:lang w:val="en-US" w:eastAsia="zh-CN" w:bidi="ar"/>
          <w14:textFill>
            <w14:solidFill>
              <w14:schemeClr w14:val="tx1"/>
            </w14:solidFill>
          </w14:textFill>
        </w:rPr>
        <w:t>广播电视节目地线台站无线覆盖运行维护经费</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预算金额</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37.25</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执行金额</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32.25</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万元，执行率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86.6</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项目目前已完成产出指标</w:t>
      </w:r>
      <w:r>
        <w:rPr>
          <w:rFonts w:hint="eastAsia" w:cs="仿宋_GB2312"/>
          <w:b w:val="0"/>
          <w:bCs w:val="0"/>
          <w:color w:val="000000" w:themeColor="text1"/>
          <w:sz w:val="32"/>
          <w:szCs w:val="32"/>
          <w:highlight w:val="none"/>
          <w:lang w:val="en-US" w:eastAsia="zh-CN"/>
          <w14:textFill>
            <w14:solidFill>
              <w14:schemeClr w14:val="tx1"/>
            </w14:solidFill>
          </w14:textFill>
        </w:rPr>
        <w:t>、效益指标、满意度指标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w:t>
      </w:r>
      <w:r>
        <w:rPr>
          <w:rFonts w:hint="eastAsia" w:cs="仿宋_GB2312"/>
          <w:b w:val="0"/>
          <w:bCs w:val="0"/>
          <w:color w:val="000000" w:themeColor="text1"/>
          <w:sz w:val="32"/>
          <w:szCs w:val="32"/>
          <w:highlight w:val="none"/>
          <w:lang w:val="en-US" w:eastAsia="zh-CN"/>
          <w14:textFill>
            <w14:solidFill>
              <w14:schemeClr w14:val="tx1"/>
            </w14:solidFill>
          </w14:textFill>
        </w:rPr>
        <w:t>成本指标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目前因财政资金紧张未能完成全部资金支付原因未能完成。</w:t>
      </w:r>
    </w:p>
    <w:p>
      <w:pPr>
        <w:pStyle w:val="2"/>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bCs/>
          <w:color w:val="000000" w:themeColor="text1"/>
          <w:sz w:val="32"/>
          <w:szCs w:val="32"/>
          <w:highlight w:val="none"/>
          <w:lang w:val="en-US" w:eastAsia="zh-CN" w:bidi="ar"/>
          <w14:textFill>
            <w14:solidFill>
              <w14:schemeClr w14:val="tx1"/>
            </w14:solidFill>
          </w14:textFill>
        </w:rPr>
        <w:t>少数民族边疆地区文化安全补助资金</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预算金额</w:t>
      </w:r>
      <w:r>
        <w:rPr>
          <w:rFonts w:hint="eastAsia" w:cs="仿宋_GB2312"/>
          <w:b w:val="0"/>
          <w:bCs w:val="0"/>
          <w:color w:val="000000" w:themeColor="text1"/>
          <w:sz w:val="32"/>
          <w:szCs w:val="32"/>
          <w:highlight w:val="none"/>
          <w:lang w:val="en-US" w:eastAsia="zh-CN"/>
          <w14:textFill>
            <w14:solidFill>
              <w14:schemeClr w14:val="tx1"/>
            </w14:solidFill>
          </w14:textFill>
        </w:rPr>
        <w:t>32.00</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执行金额</w:t>
      </w:r>
      <w:r>
        <w:rPr>
          <w:rFonts w:hint="eastAsia" w:cs="仿宋_GB2312"/>
          <w:b w:val="0"/>
          <w:bCs w:val="0"/>
          <w:color w:val="000000" w:themeColor="text1"/>
          <w:sz w:val="32"/>
          <w:szCs w:val="32"/>
          <w:highlight w:val="none"/>
          <w:lang w:val="en-US" w:eastAsia="zh-CN"/>
          <w14:textFill>
            <w14:solidFill>
              <w14:schemeClr w14:val="tx1"/>
            </w14:solidFill>
          </w14:textFill>
        </w:rPr>
        <w:t>19.08</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万元，执行率</w:t>
      </w:r>
      <w:r>
        <w:rPr>
          <w:rFonts w:hint="eastAsia" w:cs="仿宋_GB2312"/>
          <w:b w:val="0"/>
          <w:bCs w:val="0"/>
          <w:color w:val="000000" w:themeColor="text1"/>
          <w:sz w:val="32"/>
          <w:szCs w:val="32"/>
          <w:highlight w:val="none"/>
          <w:lang w:val="en-US" w:eastAsia="zh-CN"/>
          <w14:textFill>
            <w14:solidFill>
              <w14:schemeClr w14:val="tx1"/>
            </w14:solidFill>
          </w14:textFill>
        </w:rPr>
        <w:t>59.6</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项目目前已完成产出指标</w:t>
      </w:r>
      <w:r>
        <w:rPr>
          <w:rFonts w:hint="eastAsia" w:cs="仿宋_GB2312"/>
          <w:b w:val="0"/>
          <w:bCs w:val="0"/>
          <w:color w:val="000000" w:themeColor="text1"/>
          <w:sz w:val="32"/>
          <w:szCs w:val="32"/>
          <w:highlight w:val="none"/>
          <w:lang w:val="en-US" w:eastAsia="zh-CN"/>
          <w14:textFill>
            <w14:solidFill>
              <w14:schemeClr w14:val="tx1"/>
            </w14:solidFill>
          </w14:textFill>
        </w:rPr>
        <w:t>、效益指标、满意度指标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w:t>
      </w:r>
      <w:r>
        <w:rPr>
          <w:rFonts w:hint="eastAsia" w:cs="仿宋_GB2312"/>
          <w:b w:val="0"/>
          <w:bCs w:val="0"/>
          <w:color w:val="000000" w:themeColor="text1"/>
          <w:sz w:val="32"/>
          <w:szCs w:val="32"/>
          <w:highlight w:val="none"/>
          <w:lang w:val="en-US" w:eastAsia="zh-CN"/>
          <w14:textFill>
            <w14:solidFill>
              <w14:schemeClr w14:val="tx1"/>
            </w14:solidFill>
          </w14:textFill>
        </w:rPr>
        <w:t>成本指标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目前因财政资金紧张未能完成全部资金支付原因未能完成。</w:t>
      </w:r>
    </w:p>
    <w:p>
      <w:pP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体育公园建设</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14:textFill>
            <w14:solidFill>
              <w14:schemeClr w14:val="tx1"/>
            </w14:solidFill>
          </w14:textFill>
        </w:rPr>
        <w:t>预算金额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480.00</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highlight w:val="none"/>
          <w14:textFill>
            <w14:solidFill>
              <w14:schemeClr w14:val="tx1"/>
            </w14:solidFill>
          </w14:textFill>
        </w:rPr>
        <w:t>执行金额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359.95</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万元，执行率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75</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项目目前已完成1条健走步道，另一条健走步道已完成路面硬化，塑胶摊铺目前因进入冬季等原因未能完成。</w:t>
      </w:r>
    </w:p>
    <w:p>
      <w:pPr>
        <w:pStyle w:val="2"/>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bCs/>
          <w:color w:val="000000" w:themeColor="text1"/>
          <w:sz w:val="32"/>
          <w:szCs w:val="32"/>
          <w:highlight w:val="none"/>
          <w:lang w:val="en-US" w:eastAsia="zh-CN" w:bidi="ar"/>
          <w14:textFill>
            <w14:solidFill>
              <w14:schemeClr w14:val="tx1"/>
            </w14:solidFill>
          </w14:textFill>
        </w:rPr>
        <w:t>文物保护员野外看护人员经费</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预算金额</w:t>
      </w:r>
      <w:r>
        <w:rPr>
          <w:rFonts w:hint="eastAsia" w:cs="仿宋_GB2312"/>
          <w:b w:val="0"/>
          <w:bCs w:val="0"/>
          <w:color w:val="000000" w:themeColor="text1"/>
          <w:sz w:val="32"/>
          <w:szCs w:val="32"/>
          <w:highlight w:val="none"/>
          <w:lang w:val="en-US" w:eastAsia="zh-CN"/>
          <w14:textFill>
            <w14:solidFill>
              <w14:schemeClr w14:val="tx1"/>
            </w14:solidFill>
          </w14:textFill>
        </w:rPr>
        <w:t>4.80</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执行金额</w:t>
      </w:r>
      <w:r>
        <w:rPr>
          <w:rFonts w:hint="eastAsia" w:cs="仿宋_GB2312"/>
          <w:b w:val="0"/>
          <w:bCs w:val="0"/>
          <w:color w:val="000000" w:themeColor="text1"/>
          <w:sz w:val="32"/>
          <w:szCs w:val="32"/>
          <w:highlight w:val="none"/>
          <w:lang w:val="en-US" w:eastAsia="zh-CN"/>
          <w14:textFill>
            <w14:solidFill>
              <w14:schemeClr w14:val="tx1"/>
            </w14:solidFill>
          </w14:textFill>
        </w:rPr>
        <w:t>4.80</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万元，执行率</w:t>
      </w:r>
      <w:r>
        <w:rPr>
          <w:rFonts w:hint="eastAsia" w:cs="仿宋_GB2312"/>
          <w:b w:val="0"/>
          <w:bCs w:val="0"/>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项目已全部实施完成，并经验收合格；项目各项任务指标均已完成。</w:t>
      </w:r>
    </w:p>
    <w:p>
      <w:pP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鹿角湾基础设施升级改造</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14:textFill>
            <w14:solidFill>
              <w14:schemeClr w14:val="tx1"/>
            </w14:solidFill>
          </w14:textFill>
        </w:rPr>
        <w:t>预算金额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522.27</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color w:val="000000" w:themeColor="text1"/>
          <w:sz w:val="32"/>
          <w:szCs w:val="32"/>
          <w:highlight w:val="none"/>
          <w14:textFill>
            <w14:solidFill>
              <w14:schemeClr w14:val="tx1"/>
            </w14:solidFill>
          </w14:textFill>
        </w:rPr>
        <w:t>执行金额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100.00</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万元，执行率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19.1</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项目实施完成10%-15%的工程量，未给施工方预付款，工程目前已停工。</w:t>
      </w:r>
    </w:p>
    <w:p>
      <w:pPr>
        <w:pStyle w:val="2"/>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bCs/>
          <w:color w:val="000000" w:themeColor="text1"/>
          <w:sz w:val="32"/>
          <w:szCs w:val="32"/>
          <w:highlight w:val="none"/>
          <w:lang w:val="en-US" w:eastAsia="zh-CN" w:bidi="ar"/>
          <w14:textFill>
            <w14:solidFill>
              <w14:schemeClr w14:val="tx1"/>
            </w14:solidFill>
          </w14:textFill>
        </w:rPr>
        <w:t>非物质文化遗产保护资金</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预算金额</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10</w:t>
      </w:r>
      <w:r>
        <w:rPr>
          <w:rFonts w:hint="eastAsia" w:cs="仿宋_GB2312"/>
          <w:b w:val="0"/>
          <w:bCs w:val="0"/>
          <w:color w:val="000000" w:themeColor="text1"/>
          <w:sz w:val="32"/>
          <w:szCs w:val="32"/>
          <w:highlight w:val="none"/>
          <w:lang w:val="en-US" w:eastAsia="zh-CN"/>
          <w14:textFill>
            <w14:solidFill>
              <w14:schemeClr w14:val="tx1"/>
            </w14:solidFill>
          </w14:textFill>
        </w:rPr>
        <w:t>.00</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执行金额</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3.02</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万元，执行率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30.2</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项目目前已完成产出指标</w:t>
      </w:r>
      <w:r>
        <w:rPr>
          <w:rFonts w:hint="eastAsia" w:cs="仿宋_GB2312"/>
          <w:b w:val="0"/>
          <w:bCs w:val="0"/>
          <w:color w:val="000000" w:themeColor="text1"/>
          <w:sz w:val="32"/>
          <w:szCs w:val="32"/>
          <w:highlight w:val="none"/>
          <w:lang w:val="en-US" w:eastAsia="zh-CN"/>
          <w14:textFill>
            <w14:solidFill>
              <w14:schemeClr w14:val="tx1"/>
            </w14:solidFill>
          </w14:textFill>
        </w:rPr>
        <w:t>、效益指标、满意度指标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w:t>
      </w:r>
      <w:r>
        <w:rPr>
          <w:rFonts w:hint="eastAsia" w:cs="仿宋_GB2312"/>
          <w:b w:val="0"/>
          <w:bCs w:val="0"/>
          <w:color w:val="000000" w:themeColor="text1"/>
          <w:sz w:val="32"/>
          <w:szCs w:val="32"/>
          <w:highlight w:val="none"/>
          <w:lang w:val="en-US" w:eastAsia="zh-CN"/>
          <w14:textFill>
            <w14:solidFill>
              <w14:schemeClr w14:val="tx1"/>
            </w14:solidFill>
          </w14:textFill>
        </w:rPr>
        <w:t>成本指标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目前因财政资金紧张未能完成全部资金支付。</w:t>
      </w:r>
    </w:p>
    <w:p>
      <w:pPr>
        <w:pStyle w:val="2"/>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bCs/>
          <w:color w:val="000000" w:themeColor="text1"/>
          <w:sz w:val="32"/>
          <w:szCs w:val="32"/>
          <w:highlight w:val="none"/>
          <w:lang w:val="en-US" w:eastAsia="zh-CN" w:bidi="ar"/>
          <w14:textFill>
            <w14:solidFill>
              <w14:schemeClr w14:val="tx1"/>
            </w14:solidFill>
          </w14:textFill>
        </w:rPr>
        <w:t>中央补助地方公共文化体系建设资金</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预算金额</w:t>
      </w:r>
      <w:r>
        <w:rPr>
          <w:rFonts w:hint="eastAsia" w:cs="仿宋_GB2312"/>
          <w:b w:val="0"/>
          <w:bCs w:val="0"/>
          <w:color w:val="000000" w:themeColor="text1"/>
          <w:sz w:val="32"/>
          <w:szCs w:val="32"/>
          <w:highlight w:val="none"/>
          <w:lang w:val="en-US" w:eastAsia="zh-CN"/>
          <w14:textFill>
            <w14:solidFill>
              <w14:schemeClr w14:val="tx1"/>
            </w14:solidFill>
          </w14:textFill>
        </w:rPr>
        <w:t>62.29</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执行金额</w:t>
      </w:r>
      <w:r>
        <w:rPr>
          <w:rFonts w:hint="eastAsia" w:cs="仿宋_GB2312"/>
          <w:b w:val="0"/>
          <w:bCs w:val="0"/>
          <w:color w:val="000000" w:themeColor="text1"/>
          <w:sz w:val="32"/>
          <w:szCs w:val="32"/>
          <w:highlight w:val="none"/>
          <w:lang w:val="en-US" w:eastAsia="zh-CN"/>
          <w14:textFill>
            <w14:solidFill>
              <w14:schemeClr w14:val="tx1"/>
            </w14:solidFill>
          </w14:textFill>
        </w:rPr>
        <w:t>62.29</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万元，执行率</w:t>
      </w:r>
      <w:r>
        <w:rPr>
          <w:rFonts w:hint="eastAsia" w:cs="仿宋_GB2312"/>
          <w:b w:val="0"/>
          <w:bCs w:val="0"/>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项目已全部实施完成，并经验收合格；项目各项任务指标均已完成。</w:t>
      </w:r>
    </w:p>
    <w:p>
      <w:pPr>
        <w:pStyle w:val="2"/>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bCs/>
          <w:color w:val="000000" w:themeColor="text1"/>
          <w:sz w:val="32"/>
          <w:szCs w:val="32"/>
          <w:highlight w:val="none"/>
          <w:lang w:val="en-US" w:eastAsia="zh-CN" w:bidi="ar"/>
          <w14:textFill>
            <w14:solidFill>
              <w14:schemeClr w14:val="tx1"/>
            </w14:solidFill>
          </w14:textFill>
        </w:rPr>
        <w:t>访惠聚“为民办实事”工作队经费</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预算金额</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43.04</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全年</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执行金额</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41.94</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万元，执行率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97.4</w:t>
      </w:r>
      <w:r>
        <w:rPr>
          <w:rFonts w:hint="eastAsia" w:ascii="仿宋_GB2312" w:hAnsi="仿宋_GB2312" w:eastAsia="仿宋_GB2312" w:cs="仿宋_GB2312"/>
          <w:b w:val="0"/>
          <w:bCs w:val="0"/>
          <w:color w:val="000000" w:themeColor="text1"/>
          <w:sz w:val="32"/>
          <w:szCs w:val="32"/>
          <w:highlight w:val="none"/>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项目目前已完成产出指标</w:t>
      </w:r>
      <w:r>
        <w:rPr>
          <w:rFonts w:hint="eastAsia" w:cs="仿宋_GB2312"/>
          <w:b w:val="0"/>
          <w:bCs w:val="0"/>
          <w:color w:val="000000" w:themeColor="text1"/>
          <w:sz w:val="32"/>
          <w:szCs w:val="32"/>
          <w:highlight w:val="none"/>
          <w:lang w:val="en-US" w:eastAsia="zh-CN"/>
          <w14:textFill>
            <w14:solidFill>
              <w14:schemeClr w14:val="tx1"/>
            </w14:solidFill>
          </w14:textFill>
        </w:rPr>
        <w:t>、效益指标、满意度指标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w:t>
      </w:r>
      <w:r>
        <w:rPr>
          <w:rFonts w:hint="eastAsia" w:cs="仿宋_GB2312"/>
          <w:b w:val="0"/>
          <w:bCs w:val="0"/>
          <w:color w:val="000000" w:themeColor="text1"/>
          <w:sz w:val="32"/>
          <w:szCs w:val="32"/>
          <w:highlight w:val="none"/>
          <w:lang w:val="en-US" w:eastAsia="zh-CN"/>
          <w14:textFill>
            <w14:solidFill>
              <w14:schemeClr w14:val="tx1"/>
            </w14:solidFill>
          </w14:textFill>
        </w:rPr>
        <w:t>成本指标</w:t>
      </w:r>
      <w:r>
        <w:rPr>
          <w:rFonts w:hint="eastAsia" w:ascii="仿宋_GB2312" w:hAnsi="仿宋_GB2312" w:eastAsia="仿宋_GB2312" w:cs="仿宋_GB2312"/>
          <w:b w:val="0"/>
          <w:bCs w:val="0"/>
          <w:color w:val="000000" w:themeColor="text1"/>
          <w:sz w:val="32"/>
          <w:szCs w:val="32"/>
          <w:highlight w:val="none"/>
          <w:lang w:val="en-US" w:eastAsia="zh-CN"/>
          <w14:textFill>
            <w14:solidFill>
              <w14:schemeClr w14:val="tx1"/>
            </w14:solidFill>
          </w14:textFill>
        </w:rPr>
        <w:t>目前因财政资金紧张未能完成全部资金支付。</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以上项目是本单位2023年度实施的中央和自治区</w:t>
      </w:r>
      <w:r>
        <w:rPr>
          <w:rFonts w:hint="eastAsia" w:ascii="仿宋_GB2312" w:hAnsi="仿宋_GB2312" w:eastAsia="仿宋_GB2312" w:cs="仿宋_GB2312"/>
          <w:color w:val="000000" w:themeColor="text1"/>
          <w:sz w:val="32"/>
          <w:szCs w:val="32"/>
          <w:highlight w:val="none"/>
          <w14:textFill>
            <w14:solidFill>
              <w14:schemeClr w14:val="tx1"/>
            </w14:solidFill>
          </w14:textFill>
        </w:rPr>
        <w:t>专项项目。</w:t>
      </w:r>
    </w:p>
    <w:p>
      <w:pPr>
        <w:keepNext w:val="0"/>
        <w:keepLines w:val="0"/>
        <w:pageBreakBefore w:val="0"/>
        <w:widowControl w:val="0"/>
        <w:numPr>
          <w:ilvl w:val="0"/>
          <w:numId w:val="3"/>
        </w:numPr>
        <w:kinsoku/>
        <w:wordWrap/>
        <w:overflowPunct/>
        <w:topLinePunct w:val="0"/>
        <w:autoSpaceDE/>
        <w:autoSpaceDN/>
        <w:bidi w:val="0"/>
        <w:adjustRightInd/>
        <w:snapToGrid/>
        <w:ind w:left="0" w:leftChars="0"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本级项目：</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化解</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w:t>
      </w:r>
      <w:r>
        <w:rPr>
          <w:rFonts w:hint="eastAsia" w:ascii="仿宋_GB2312" w:hAnsi="仿宋_GB2312" w:eastAsia="仿宋_GB2312" w:cs="仿宋_GB2312"/>
          <w:color w:val="000000" w:themeColor="text1"/>
          <w:sz w:val="32"/>
          <w:szCs w:val="32"/>
          <w:highlight w:val="none"/>
          <w14:textFill>
            <w14:solidFill>
              <w14:schemeClr w14:val="tx1"/>
            </w14:solidFill>
          </w14:textFill>
        </w:rPr>
        <w:t>预算金额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1365.00</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万元，执行金额</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2732.66</w:t>
      </w:r>
      <w:r>
        <w:rPr>
          <w:rFonts w:hint="eastAsia" w:ascii="仿宋_GB2312" w:hAnsi="仿宋_GB2312" w:eastAsia="仿宋_GB2312" w:cs="仿宋_GB2312"/>
          <w:color w:val="000000" w:themeColor="text1"/>
          <w:sz w:val="32"/>
          <w:szCs w:val="32"/>
          <w:highlight w:val="none"/>
          <w14:textFill>
            <w14:solidFill>
              <w14:schemeClr w14:val="tx1"/>
            </w14:solidFill>
          </w14:textFill>
        </w:rPr>
        <w:t>万元，执行率</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100</w:t>
      </w:r>
      <w:r>
        <w:rPr>
          <w:rFonts w:hint="eastAsia" w:ascii="仿宋_GB2312" w:hAnsi="仿宋_GB2312" w:eastAsia="仿宋_GB2312" w:cs="仿宋_GB2312"/>
          <w:color w:val="000000" w:themeColor="text1"/>
          <w:sz w:val="32"/>
          <w:szCs w:val="32"/>
          <w:highlight w:val="none"/>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项目已全部实施完成。</w:t>
      </w:r>
    </w:p>
    <w:p>
      <w:pPr>
        <w:ind w:firstLine="643"/>
        <w:rPr>
          <w:rFonts w:hint="eastAsia" w:ascii="仿宋_GB2312" w:eastAsia="仿宋_GB2312"/>
          <w:b/>
          <w:bCs/>
          <w:color w:val="000000" w:themeColor="text1"/>
          <w:sz w:val="32"/>
          <w:szCs w:val="32"/>
          <w:highlight w:val="none"/>
          <w14:textFill>
            <w14:solidFill>
              <w14:schemeClr w14:val="tx1"/>
            </w14:solidFill>
          </w14:textFill>
        </w:rPr>
      </w:pPr>
      <w:r>
        <w:rPr>
          <w:rFonts w:hint="eastAsia" w:ascii="仿宋_GB2312" w:eastAsia="仿宋_GB2312"/>
          <w:b/>
          <w:bCs/>
          <w:color w:val="000000" w:themeColor="text1"/>
          <w:sz w:val="32"/>
          <w:szCs w:val="32"/>
          <w:highlight w:val="none"/>
          <w:lang w:val="en-US" w:eastAsia="zh-CN"/>
          <w14:textFill>
            <w14:solidFill>
              <w14:schemeClr w14:val="tx1"/>
            </w14:solidFill>
          </w14:textFill>
        </w:rPr>
        <w:t>2.</w:t>
      </w:r>
      <w:r>
        <w:rPr>
          <w:rFonts w:hint="eastAsia" w:ascii="仿宋_GB2312" w:eastAsia="仿宋_GB2312"/>
          <w:b/>
          <w:bCs/>
          <w:color w:val="000000" w:themeColor="text1"/>
          <w:sz w:val="32"/>
          <w:szCs w:val="32"/>
          <w:highlight w:val="none"/>
          <w14:textFill>
            <w14:solidFill>
              <w14:schemeClr w14:val="tx1"/>
            </w14:solidFill>
          </w14:textFill>
        </w:rPr>
        <w:t>专项资金总投入及实际使用情况分析</w:t>
      </w:r>
    </w:p>
    <w:p>
      <w:pPr>
        <w:pStyle w:val="8"/>
        <w:widowControl/>
        <w:spacing w:before="0" w:beforeAutospacing="0" w:after="0" w:afterAutospacing="0" w:line="570" w:lineRule="exact"/>
        <w:ind w:firstLine="640"/>
        <w:jc w:val="both"/>
        <w:rPr>
          <w:rFonts w:ascii="仿宋_GB2312" w:eastAsia="仿宋_GB2312" w:cs="仿宋"/>
          <w:color w:val="000000" w:themeColor="text1"/>
          <w:sz w:val="32"/>
          <w:szCs w:val="32"/>
          <w:highlight w:val="none"/>
          <w14:textFill>
            <w14:solidFill>
              <w14:schemeClr w14:val="tx1"/>
            </w14:solidFill>
          </w14:textFill>
        </w:rPr>
      </w:pPr>
      <w:r>
        <w:rPr>
          <w:rFonts w:hint="eastAsia" w:ascii="仿宋_GB2312" w:eastAsia="仿宋_GB2312" w:cs="仿宋"/>
          <w:color w:val="000000" w:themeColor="text1"/>
          <w:sz w:val="32"/>
          <w:szCs w:val="32"/>
          <w:highlight w:val="none"/>
          <w:lang w:eastAsia="zh-CN"/>
          <w14:textFill>
            <w14:solidFill>
              <w14:schemeClr w14:val="tx1"/>
            </w14:solidFill>
          </w14:textFill>
        </w:rPr>
        <w:t>2023</w:t>
      </w:r>
      <w:r>
        <w:rPr>
          <w:rFonts w:hint="eastAsia" w:ascii="仿宋_GB2312" w:eastAsia="仿宋_GB2312" w:cs="仿宋"/>
          <w:color w:val="000000" w:themeColor="text1"/>
          <w:sz w:val="32"/>
          <w:szCs w:val="32"/>
          <w:highlight w:val="none"/>
          <w14:textFill>
            <w14:solidFill>
              <w14:schemeClr w14:val="tx1"/>
            </w14:solidFill>
          </w14:textFill>
        </w:rPr>
        <w:t>年，中央和自治区专项转移支付预算安排专项资金</w:t>
      </w:r>
      <w:r>
        <w:rPr>
          <w:rFonts w:hint="eastAsia" w:ascii="仿宋_GB2312" w:eastAsia="仿宋_GB2312"/>
          <w:color w:val="000000" w:themeColor="text1"/>
          <w:sz w:val="32"/>
          <w:szCs w:val="32"/>
          <w:highlight w:val="none"/>
          <w:lang w:val="en-US" w:eastAsia="zh-CN"/>
          <w14:textFill>
            <w14:solidFill>
              <w14:schemeClr w14:val="tx1"/>
            </w14:solidFill>
          </w14:textFill>
        </w:rPr>
        <w:t>1274.05</w:t>
      </w:r>
      <w:r>
        <w:rPr>
          <w:rFonts w:hint="eastAsia" w:ascii="仿宋_GB2312" w:eastAsia="仿宋_GB2312" w:cs="仿宋"/>
          <w:color w:val="000000" w:themeColor="text1"/>
          <w:sz w:val="32"/>
          <w:szCs w:val="32"/>
          <w:highlight w:val="none"/>
          <w14:textFill>
            <w14:solidFill>
              <w14:schemeClr w14:val="tx1"/>
            </w14:solidFill>
          </w14:textFill>
        </w:rPr>
        <w:t>万元，实际使用</w:t>
      </w:r>
      <w:r>
        <w:rPr>
          <w:rFonts w:hint="eastAsia" w:ascii="仿宋_GB2312" w:eastAsia="仿宋_GB2312"/>
          <w:color w:val="000000" w:themeColor="text1"/>
          <w:sz w:val="32"/>
          <w:szCs w:val="32"/>
          <w:highlight w:val="none"/>
          <w:lang w:val="en-US" w:eastAsia="zh-CN"/>
          <w14:textFill>
            <w14:solidFill>
              <w14:schemeClr w14:val="tx1"/>
            </w14:solidFill>
          </w14:textFill>
        </w:rPr>
        <w:t>697.57</w:t>
      </w:r>
      <w:r>
        <w:rPr>
          <w:rFonts w:hint="eastAsia" w:ascii="仿宋_GB2312" w:eastAsia="仿宋_GB2312" w:cs="仿宋"/>
          <w:color w:val="000000" w:themeColor="text1"/>
          <w:sz w:val="32"/>
          <w:szCs w:val="32"/>
          <w:highlight w:val="none"/>
          <w14:textFill>
            <w14:solidFill>
              <w14:schemeClr w14:val="tx1"/>
            </w14:solidFill>
          </w14:textFill>
        </w:rPr>
        <w:t>万元</w:t>
      </w:r>
      <w:r>
        <w:rPr>
          <w:rFonts w:hint="eastAsia" w:ascii="仿宋_GB2312" w:eastAsia="仿宋_GB2312" w:cs="仿宋"/>
          <w:color w:val="000000" w:themeColor="text1"/>
          <w:sz w:val="32"/>
          <w:szCs w:val="32"/>
          <w:highlight w:val="none"/>
          <w:lang w:eastAsia="zh-CN"/>
          <w14:textFill>
            <w14:solidFill>
              <w14:schemeClr w14:val="tx1"/>
            </w14:solidFill>
          </w14:textFill>
        </w:rPr>
        <w:t>，</w:t>
      </w:r>
      <w:r>
        <w:rPr>
          <w:rFonts w:hint="eastAsia" w:ascii="仿宋_GB2312" w:eastAsia="仿宋_GB2312" w:cs="仿宋"/>
          <w:color w:val="000000" w:themeColor="text1"/>
          <w:sz w:val="32"/>
          <w:szCs w:val="32"/>
          <w:highlight w:val="none"/>
          <w14:textFill>
            <w14:solidFill>
              <w14:schemeClr w14:val="tx1"/>
            </w14:solidFill>
          </w14:textFill>
        </w:rPr>
        <w:t>结转</w:t>
      </w:r>
      <w:r>
        <w:rPr>
          <w:rFonts w:hint="eastAsia" w:ascii="仿宋_GB2312" w:eastAsia="仿宋_GB2312"/>
          <w:color w:val="000000" w:themeColor="text1"/>
          <w:sz w:val="32"/>
          <w:szCs w:val="32"/>
          <w:highlight w:val="none"/>
          <w:lang w:val="en-US" w:eastAsia="zh-CN"/>
          <w14:textFill>
            <w14:solidFill>
              <w14:schemeClr w14:val="tx1"/>
            </w14:solidFill>
          </w14:textFill>
        </w:rPr>
        <w:t>576.48</w:t>
      </w:r>
      <w:r>
        <w:rPr>
          <w:rFonts w:hint="eastAsia" w:ascii="仿宋_GB2312" w:eastAsia="仿宋_GB2312" w:cs="仿宋"/>
          <w:color w:val="000000" w:themeColor="text1"/>
          <w:sz w:val="32"/>
          <w:szCs w:val="32"/>
          <w:highlight w:val="none"/>
          <w14:textFill>
            <w14:solidFill>
              <w14:schemeClr w14:val="tx1"/>
            </w14:solidFill>
          </w14:textFill>
        </w:rPr>
        <w:t>万元。结转项目主要为</w:t>
      </w:r>
      <w:r>
        <w:rPr>
          <w:rFonts w:hint="eastAsia" w:ascii="仿宋_GB2312" w:eastAsia="仿宋_GB2312" w:cs="仿宋"/>
          <w:color w:val="000000" w:themeColor="text1"/>
          <w:sz w:val="32"/>
          <w:szCs w:val="32"/>
          <w:highlight w:val="none"/>
          <w:lang w:eastAsia="zh-CN"/>
          <w14:textFill>
            <w14:solidFill>
              <w14:schemeClr w14:val="tx1"/>
            </w14:solidFill>
          </w14:textFill>
        </w:rPr>
        <w:t>：</w:t>
      </w:r>
    </w:p>
    <w:p>
      <w:pPr>
        <w:pStyle w:val="8"/>
        <w:widowControl/>
        <w:spacing w:before="0" w:beforeAutospacing="0" w:after="0" w:afterAutospacing="0" w:line="570" w:lineRule="exact"/>
        <w:ind w:firstLine="640"/>
        <w:jc w:val="both"/>
        <w:rPr>
          <w:rFonts w:ascii="仿宋_GB2312" w:eastAsia="仿宋_GB2312" w:cs="仿宋"/>
          <w:color w:val="000000" w:themeColor="text1"/>
          <w:sz w:val="32"/>
          <w:szCs w:val="32"/>
          <w:highlight w:val="none"/>
          <w14:textFill>
            <w14:solidFill>
              <w14:schemeClr w14:val="tx1"/>
            </w14:solidFill>
          </w14:textFill>
        </w:rPr>
      </w:pPr>
      <w:r>
        <w:rPr>
          <w:rStyle w:val="16"/>
          <w:rFonts w:hint="eastAsia" w:cs="仿宋"/>
          <w:b w:val="0"/>
          <w:color w:val="000000" w:themeColor="text1"/>
          <w:sz w:val="32"/>
          <w:szCs w:val="32"/>
          <w:highlight w:val="none"/>
          <w:lang w:val="en-US" w:eastAsia="zh-CN" w:bidi="ar"/>
          <w14:textFill>
            <w14:solidFill>
              <w14:schemeClr w14:val="tx1"/>
            </w14:solidFill>
          </w14:textFill>
        </w:rPr>
        <w:t>（1）</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博物馆、纪念馆免费开放</w:t>
      </w:r>
      <w:r>
        <w:rPr>
          <w:rFonts w:hint="eastAsia" w:ascii="仿宋_GB2312" w:eastAsia="仿宋_GB2312" w:cs="仿宋"/>
          <w:color w:val="000000" w:themeColor="text1"/>
          <w:sz w:val="32"/>
          <w:szCs w:val="32"/>
          <w:highlight w:val="none"/>
          <w14:textFill>
            <w14:solidFill>
              <w14:schemeClr w14:val="tx1"/>
            </w14:solidFill>
          </w14:textFill>
        </w:rPr>
        <w:t>项目结转资金</w:t>
      </w:r>
      <w:r>
        <w:rPr>
          <w:rFonts w:hint="eastAsia" w:ascii="仿宋_GB2312" w:eastAsia="仿宋_GB2312"/>
          <w:color w:val="000000" w:themeColor="text1"/>
          <w:sz w:val="32"/>
          <w:szCs w:val="32"/>
          <w:highlight w:val="none"/>
          <w:lang w:val="en-US" w:eastAsia="zh-CN"/>
          <w14:textFill>
            <w14:solidFill>
              <w14:schemeClr w14:val="tx1"/>
            </w14:solidFill>
          </w14:textFill>
        </w:rPr>
        <w:t>8.16</w:t>
      </w:r>
      <w:r>
        <w:rPr>
          <w:rFonts w:hint="eastAsia" w:ascii="仿宋_GB2312" w:eastAsia="仿宋_GB2312" w:cs="仿宋"/>
          <w:color w:val="000000" w:themeColor="text1"/>
          <w:sz w:val="32"/>
          <w:szCs w:val="32"/>
          <w:highlight w:val="none"/>
          <w14:textFill>
            <w14:solidFill>
              <w14:schemeClr w14:val="tx1"/>
            </w14:solidFill>
          </w14:textFill>
        </w:rPr>
        <w:t>万元，结转原因为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财政资金紧张未付</w:t>
      </w:r>
      <w:r>
        <w:rPr>
          <w:rFonts w:hint="eastAsia" w:ascii="仿宋_GB2312" w:eastAsia="仿宋_GB2312" w:cs="仿宋"/>
          <w:color w:val="000000" w:themeColor="text1"/>
          <w:sz w:val="32"/>
          <w:szCs w:val="32"/>
          <w:highlight w:val="none"/>
          <w14:textFill>
            <w14:solidFill>
              <w14:schemeClr w14:val="tx1"/>
            </w14:solidFill>
          </w14:textFill>
        </w:rPr>
        <w:t>；</w:t>
      </w:r>
    </w:p>
    <w:p>
      <w:pPr>
        <w:pStyle w:val="8"/>
        <w:widowControl/>
        <w:spacing w:before="0" w:beforeAutospacing="0" w:after="0" w:afterAutospacing="0" w:line="570" w:lineRule="exact"/>
        <w:ind w:firstLine="640"/>
        <w:jc w:val="both"/>
        <w:rPr>
          <w:rFonts w:hint="eastAsia" w:ascii="仿宋_GB2312" w:eastAsia="仿宋_GB2312" w:cs="仿宋"/>
          <w:color w:val="000000" w:themeColor="text1"/>
          <w:sz w:val="32"/>
          <w:szCs w:val="32"/>
          <w:highlight w:val="none"/>
          <w:lang w:eastAsia="zh-CN"/>
          <w14:textFill>
            <w14:solidFill>
              <w14:schemeClr w14:val="tx1"/>
            </w14:solidFill>
          </w14:textFill>
        </w:rPr>
      </w:pPr>
      <w:r>
        <w:rPr>
          <w:rStyle w:val="16"/>
          <w:rFonts w:hint="eastAsia" w:cs="仿宋"/>
          <w:b w:val="0"/>
          <w:color w:val="000000" w:themeColor="text1"/>
          <w:sz w:val="32"/>
          <w:szCs w:val="32"/>
          <w:highlight w:val="none"/>
          <w:lang w:val="en-US" w:eastAsia="zh-CN" w:bidi="ar"/>
          <w14:textFill>
            <w14:solidFill>
              <w14:schemeClr w14:val="tx1"/>
            </w14:solidFill>
          </w14:textFill>
        </w:rPr>
        <w:t>（2）</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访惠聚“为民办实事”工作队经费</w:t>
      </w:r>
      <w:r>
        <w:rPr>
          <w:rFonts w:hint="eastAsia" w:ascii="仿宋_GB2312" w:eastAsia="仿宋_GB2312" w:cs="仿宋"/>
          <w:color w:val="000000" w:themeColor="text1"/>
          <w:sz w:val="32"/>
          <w:szCs w:val="32"/>
          <w:highlight w:val="none"/>
          <w14:textFill>
            <w14:solidFill>
              <w14:schemeClr w14:val="tx1"/>
            </w14:solidFill>
          </w14:textFill>
        </w:rPr>
        <w:t>项目结转资金</w:t>
      </w:r>
      <w:r>
        <w:rPr>
          <w:rFonts w:hint="eastAsia" w:ascii="仿宋_GB2312" w:eastAsia="仿宋_GB2312"/>
          <w:color w:val="000000" w:themeColor="text1"/>
          <w:sz w:val="32"/>
          <w:szCs w:val="32"/>
          <w:highlight w:val="none"/>
          <w:lang w:val="en-US" w:eastAsia="zh-CN"/>
          <w14:textFill>
            <w14:solidFill>
              <w14:schemeClr w14:val="tx1"/>
            </w14:solidFill>
          </w14:textFill>
        </w:rPr>
        <w:t>1.10</w:t>
      </w:r>
      <w:r>
        <w:rPr>
          <w:rFonts w:hint="eastAsia" w:ascii="仿宋_GB2312" w:eastAsia="仿宋_GB2312" w:cs="仿宋"/>
          <w:color w:val="000000" w:themeColor="text1"/>
          <w:sz w:val="32"/>
          <w:szCs w:val="32"/>
          <w:highlight w:val="none"/>
          <w14:textFill>
            <w14:solidFill>
              <w14:schemeClr w14:val="tx1"/>
            </w14:solidFill>
          </w14:textFill>
        </w:rPr>
        <w:t>万元，结转原因为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票据未到位，支付未完成</w:t>
      </w:r>
      <w:r>
        <w:rPr>
          <w:rFonts w:hint="eastAsia" w:ascii="仿宋_GB2312" w:eastAsia="仿宋_GB2312" w:cs="仿宋"/>
          <w:color w:val="000000" w:themeColor="text1"/>
          <w:sz w:val="32"/>
          <w:szCs w:val="32"/>
          <w:highlight w:val="none"/>
          <w:lang w:eastAsia="zh-CN"/>
          <w14:textFill>
            <w14:solidFill>
              <w14:schemeClr w14:val="tx1"/>
            </w14:solidFill>
          </w14:textFill>
        </w:rPr>
        <w:t>；</w:t>
      </w:r>
    </w:p>
    <w:p>
      <w:pPr>
        <w:pStyle w:val="8"/>
        <w:widowControl/>
        <w:spacing w:before="0" w:beforeAutospacing="0" w:after="0" w:afterAutospacing="0" w:line="570" w:lineRule="exact"/>
        <w:ind w:firstLine="640"/>
        <w:jc w:val="both"/>
        <w:rPr>
          <w:rFonts w:hint="eastAsia" w:ascii="仿宋" w:hAnsi="仿宋" w:eastAsia="仿宋_GB2312" w:cs="仿宋"/>
          <w:color w:val="000000" w:themeColor="text1"/>
          <w:sz w:val="32"/>
          <w:szCs w:val="32"/>
          <w:highlight w:val="none"/>
          <w:lang w:eastAsia="zh-CN"/>
          <w14:textFill>
            <w14:solidFill>
              <w14:schemeClr w14:val="tx1"/>
            </w14:solidFill>
          </w14:textFill>
        </w:rPr>
      </w:pPr>
      <w:r>
        <w:rPr>
          <w:rStyle w:val="16"/>
          <w:rFonts w:hint="eastAsia" w:cs="仿宋"/>
          <w:b w:val="0"/>
          <w:bCs/>
          <w:color w:val="000000" w:themeColor="text1"/>
          <w:sz w:val="32"/>
          <w:szCs w:val="32"/>
          <w:highlight w:val="none"/>
          <w:lang w:val="en-US" w:eastAsia="zh-CN" w:bidi="ar"/>
          <w14:textFill>
            <w14:solidFill>
              <w14:schemeClr w14:val="tx1"/>
            </w14:solidFill>
          </w14:textFill>
        </w:rPr>
        <w:t>（3）</w:t>
      </w:r>
      <w:r>
        <w:rPr>
          <w:rStyle w:val="16"/>
          <w:rFonts w:hint="eastAsia" w:ascii="仿宋" w:hAnsi="仿宋" w:eastAsia="仿宋" w:cs="仿宋"/>
          <w:b w:val="0"/>
          <w:bCs/>
          <w:color w:val="000000" w:themeColor="text1"/>
          <w:sz w:val="32"/>
          <w:szCs w:val="32"/>
          <w:highlight w:val="none"/>
          <w:lang w:val="en-US" w:eastAsia="zh-CN" w:bidi="ar"/>
          <w14:textFill>
            <w14:solidFill>
              <w14:schemeClr w14:val="tx1"/>
            </w14:solidFill>
          </w14:textFill>
        </w:rPr>
        <w:t>广播电视节目地线台站无线覆盖运行维护经费</w:t>
      </w:r>
      <w:r>
        <w:rPr>
          <w:rFonts w:hint="eastAsia" w:ascii="仿宋_GB2312" w:eastAsia="仿宋_GB2312" w:cs="仿宋"/>
          <w:color w:val="000000" w:themeColor="text1"/>
          <w:sz w:val="32"/>
          <w:szCs w:val="32"/>
          <w:highlight w:val="none"/>
          <w14:textFill>
            <w14:solidFill>
              <w14:schemeClr w14:val="tx1"/>
            </w14:solidFill>
          </w14:textFill>
        </w:rPr>
        <w:t>项目结转资金</w:t>
      </w:r>
      <w:r>
        <w:rPr>
          <w:rFonts w:hint="eastAsia" w:ascii="仿宋_GB2312" w:eastAsia="仿宋_GB2312"/>
          <w:color w:val="000000" w:themeColor="text1"/>
          <w:sz w:val="32"/>
          <w:szCs w:val="32"/>
          <w:highlight w:val="none"/>
          <w:lang w:val="en-US" w:eastAsia="zh-CN"/>
          <w14:textFill>
            <w14:solidFill>
              <w14:schemeClr w14:val="tx1"/>
            </w14:solidFill>
          </w14:textFill>
        </w:rPr>
        <w:t>5.00</w:t>
      </w:r>
      <w:r>
        <w:rPr>
          <w:rFonts w:hint="eastAsia" w:ascii="仿宋_GB2312" w:eastAsia="仿宋_GB2312" w:cs="仿宋"/>
          <w:color w:val="000000" w:themeColor="text1"/>
          <w:sz w:val="32"/>
          <w:szCs w:val="32"/>
          <w:highlight w:val="none"/>
          <w14:textFill>
            <w14:solidFill>
              <w14:schemeClr w14:val="tx1"/>
            </w14:solidFill>
          </w14:textFill>
        </w:rPr>
        <w:t>万元，结转原因为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财政资金紧张未付</w:t>
      </w:r>
      <w:r>
        <w:rPr>
          <w:rFonts w:hint="eastAsia" w:ascii="仿宋_GB2312" w:eastAsia="仿宋_GB2312" w:cs="仿宋"/>
          <w:color w:val="000000" w:themeColor="text1"/>
          <w:sz w:val="32"/>
          <w:szCs w:val="32"/>
          <w:highlight w:val="none"/>
          <w:lang w:eastAsia="zh-CN"/>
          <w14:textFill>
            <w14:solidFill>
              <w14:schemeClr w14:val="tx1"/>
            </w14:solidFill>
          </w14:textFill>
        </w:rPr>
        <w:t>；</w:t>
      </w:r>
    </w:p>
    <w:p>
      <w:pPr>
        <w:pStyle w:val="8"/>
        <w:widowControl/>
        <w:spacing w:before="0" w:beforeAutospacing="0" w:after="0" w:afterAutospacing="0" w:line="570" w:lineRule="exact"/>
        <w:ind w:firstLine="640"/>
        <w:jc w:val="both"/>
        <w:rPr>
          <w:rFonts w:hint="eastAsia" w:ascii="仿宋" w:hAnsi="仿宋" w:eastAsia="仿宋_GB2312" w:cs="仿宋"/>
          <w:color w:val="000000" w:themeColor="text1"/>
          <w:sz w:val="32"/>
          <w:szCs w:val="32"/>
          <w:highlight w:val="none"/>
          <w:lang w:eastAsia="zh-CN"/>
          <w14:textFill>
            <w14:solidFill>
              <w14:schemeClr w14:val="tx1"/>
            </w14:solidFill>
          </w14:textFill>
        </w:rPr>
      </w:pPr>
      <w:r>
        <w:rPr>
          <w:rStyle w:val="16"/>
          <w:rFonts w:hint="eastAsia" w:cs="仿宋"/>
          <w:b w:val="0"/>
          <w:color w:val="000000" w:themeColor="text1"/>
          <w:sz w:val="32"/>
          <w:szCs w:val="32"/>
          <w:highlight w:val="none"/>
          <w:lang w:val="en-US" w:eastAsia="zh-CN" w:bidi="ar"/>
          <w14:textFill>
            <w14:solidFill>
              <w14:schemeClr w14:val="tx1"/>
            </w14:solidFill>
          </w14:textFill>
        </w:rPr>
        <w:t>（4）</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非物质文化遗产保护资金</w:t>
      </w:r>
      <w:r>
        <w:rPr>
          <w:rFonts w:hint="eastAsia" w:ascii="仿宋_GB2312" w:eastAsia="仿宋_GB2312" w:cs="仿宋"/>
          <w:color w:val="000000" w:themeColor="text1"/>
          <w:sz w:val="32"/>
          <w:szCs w:val="32"/>
          <w:highlight w:val="none"/>
          <w14:textFill>
            <w14:solidFill>
              <w14:schemeClr w14:val="tx1"/>
            </w14:solidFill>
          </w14:textFill>
        </w:rPr>
        <w:t>项目结转资金</w:t>
      </w:r>
      <w:r>
        <w:rPr>
          <w:rFonts w:hint="eastAsia" w:ascii="仿宋_GB2312" w:eastAsia="仿宋_GB2312"/>
          <w:color w:val="000000" w:themeColor="text1"/>
          <w:sz w:val="32"/>
          <w:szCs w:val="32"/>
          <w:highlight w:val="none"/>
          <w:lang w:val="en-US" w:eastAsia="zh-CN"/>
          <w14:textFill>
            <w14:solidFill>
              <w14:schemeClr w14:val="tx1"/>
            </w14:solidFill>
          </w14:textFill>
        </w:rPr>
        <w:t>6.98</w:t>
      </w:r>
      <w:r>
        <w:rPr>
          <w:rFonts w:hint="eastAsia" w:ascii="仿宋_GB2312" w:eastAsia="仿宋_GB2312" w:cs="仿宋"/>
          <w:color w:val="000000" w:themeColor="text1"/>
          <w:sz w:val="32"/>
          <w:szCs w:val="32"/>
          <w:highlight w:val="none"/>
          <w14:textFill>
            <w14:solidFill>
              <w14:schemeClr w14:val="tx1"/>
            </w14:solidFill>
          </w14:textFill>
        </w:rPr>
        <w:t>万元，结转原因为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财政资金紧张未付</w:t>
      </w:r>
      <w:r>
        <w:rPr>
          <w:rFonts w:hint="eastAsia" w:ascii="仿宋_GB2312" w:eastAsia="仿宋_GB2312" w:cs="仿宋"/>
          <w:color w:val="000000" w:themeColor="text1"/>
          <w:sz w:val="32"/>
          <w:szCs w:val="32"/>
          <w:highlight w:val="none"/>
          <w:lang w:eastAsia="zh-CN"/>
          <w14:textFill>
            <w14:solidFill>
              <w14:schemeClr w14:val="tx1"/>
            </w14:solidFill>
          </w14:textFill>
        </w:rPr>
        <w:t>；</w:t>
      </w:r>
    </w:p>
    <w:p>
      <w:pPr>
        <w:pStyle w:val="8"/>
        <w:widowControl/>
        <w:spacing w:before="0" w:beforeAutospacing="0" w:after="0" w:afterAutospacing="0" w:line="570" w:lineRule="exact"/>
        <w:ind w:firstLine="640"/>
        <w:jc w:val="both"/>
        <w:rPr>
          <w:rFonts w:hint="eastAsia" w:ascii="仿宋" w:hAnsi="仿宋" w:eastAsia="仿宋_GB2312" w:cs="仿宋"/>
          <w:color w:val="000000" w:themeColor="text1"/>
          <w:sz w:val="32"/>
          <w:szCs w:val="32"/>
          <w:highlight w:val="none"/>
          <w:lang w:eastAsia="zh-CN"/>
          <w14:textFill>
            <w14:solidFill>
              <w14:schemeClr w14:val="tx1"/>
            </w14:solidFill>
          </w14:textFill>
        </w:rPr>
      </w:pPr>
      <w:r>
        <w:rPr>
          <w:rStyle w:val="16"/>
          <w:rFonts w:hint="eastAsia" w:cs="仿宋"/>
          <w:b w:val="0"/>
          <w:bCs/>
          <w:color w:val="000000" w:themeColor="text1"/>
          <w:sz w:val="32"/>
          <w:szCs w:val="32"/>
          <w:highlight w:val="none"/>
          <w:lang w:val="en-US" w:eastAsia="zh-CN" w:bidi="ar"/>
          <w14:textFill>
            <w14:solidFill>
              <w14:schemeClr w14:val="tx1"/>
            </w14:solidFill>
          </w14:textFill>
        </w:rPr>
        <w:t>（5）</w:t>
      </w:r>
      <w:r>
        <w:rPr>
          <w:rStyle w:val="16"/>
          <w:rFonts w:hint="eastAsia" w:ascii="仿宋" w:hAnsi="仿宋" w:eastAsia="仿宋" w:cs="仿宋"/>
          <w:b w:val="0"/>
          <w:bCs/>
          <w:color w:val="000000" w:themeColor="text1"/>
          <w:sz w:val="32"/>
          <w:szCs w:val="32"/>
          <w:highlight w:val="none"/>
          <w:lang w:val="en-US" w:eastAsia="zh-CN" w:bidi="ar"/>
          <w14:textFill>
            <w14:solidFill>
              <w14:schemeClr w14:val="tx1"/>
            </w14:solidFill>
          </w14:textFill>
        </w:rPr>
        <w:t>少数民族边疆地区文化安全补助资金</w:t>
      </w:r>
      <w:r>
        <w:rPr>
          <w:rFonts w:hint="eastAsia" w:ascii="仿宋_GB2312" w:eastAsia="仿宋_GB2312" w:cs="仿宋"/>
          <w:color w:val="000000" w:themeColor="text1"/>
          <w:sz w:val="32"/>
          <w:szCs w:val="32"/>
          <w:highlight w:val="none"/>
          <w14:textFill>
            <w14:solidFill>
              <w14:schemeClr w14:val="tx1"/>
            </w14:solidFill>
          </w14:textFill>
        </w:rPr>
        <w:t>项目结转资金</w:t>
      </w:r>
      <w:r>
        <w:rPr>
          <w:rFonts w:hint="eastAsia" w:ascii="仿宋_GB2312" w:eastAsia="仿宋_GB2312"/>
          <w:color w:val="000000" w:themeColor="text1"/>
          <w:sz w:val="32"/>
          <w:szCs w:val="32"/>
          <w:highlight w:val="none"/>
          <w:lang w:val="en-US" w:eastAsia="zh-CN"/>
          <w14:textFill>
            <w14:solidFill>
              <w14:schemeClr w14:val="tx1"/>
            </w14:solidFill>
          </w14:textFill>
        </w:rPr>
        <w:t>12.92</w:t>
      </w:r>
      <w:r>
        <w:rPr>
          <w:rFonts w:hint="eastAsia" w:ascii="仿宋_GB2312" w:eastAsia="仿宋_GB2312" w:cs="仿宋"/>
          <w:color w:val="000000" w:themeColor="text1"/>
          <w:sz w:val="32"/>
          <w:szCs w:val="32"/>
          <w:highlight w:val="none"/>
          <w14:textFill>
            <w14:solidFill>
              <w14:schemeClr w14:val="tx1"/>
            </w14:solidFill>
          </w14:textFill>
        </w:rPr>
        <w:t>万元，结转原因为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财政资金紧张未付</w:t>
      </w:r>
      <w:r>
        <w:rPr>
          <w:rFonts w:hint="eastAsia" w:ascii="仿宋_GB2312" w:eastAsia="仿宋_GB2312" w:cs="仿宋"/>
          <w:color w:val="000000" w:themeColor="text1"/>
          <w:sz w:val="32"/>
          <w:szCs w:val="32"/>
          <w:highlight w:val="none"/>
          <w:lang w:eastAsia="zh-CN"/>
          <w14:textFill>
            <w14:solidFill>
              <w14:schemeClr w14:val="tx1"/>
            </w14:solidFill>
          </w14:textFill>
        </w:rPr>
        <w:t>；</w:t>
      </w:r>
    </w:p>
    <w:p>
      <w:pPr>
        <w:pStyle w:val="8"/>
        <w:widowControl/>
        <w:spacing w:before="0" w:beforeAutospacing="0" w:after="0" w:afterAutospacing="0" w:line="570" w:lineRule="exact"/>
        <w:ind w:firstLine="640"/>
        <w:jc w:val="both"/>
        <w:rPr>
          <w:rFonts w:hint="eastAsia" w:ascii="仿宋" w:hAnsi="仿宋" w:eastAsia="仿宋_GB2312" w:cs="仿宋"/>
          <w:color w:val="000000" w:themeColor="text1"/>
          <w:sz w:val="32"/>
          <w:szCs w:val="32"/>
          <w:highlight w:val="none"/>
          <w:lang w:eastAsia="zh-CN"/>
          <w14:textFill>
            <w14:solidFill>
              <w14:schemeClr w14:val="tx1"/>
            </w14:solidFill>
          </w14:textFill>
        </w:rPr>
      </w:pPr>
      <w:r>
        <w:rPr>
          <w:rStyle w:val="16"/>
          <w:rFonts w:hint="eastAsia" w:cs="仿宋"/>
          <w:b w:val="0"/>
          <w:color w:val="000000" w:themeColor="text1"/>
          <w:sz w:val="32"/>
          <w:szCs w:val="32"/>
          <w:highlight w:val="none"/>
          <w:lang w:val="en-US" w:eastAsia="zh-CN" w:bidi="ar"/>
          <w14:textFill>
            <w14:solidFill>
              <w14:schemeClr w14:val="tx1"/>
            </w14:solidFill>
          </w14:textFill>
        </w:rPr>
        <w:t>（6）</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鹿角湾基础设施升级改造</w:t>
      </w:r>
      <w:r>
        <w:rPr>
          <w:rStyle w:val="16"/>
          <w:rFonts w:hint="eastAsia" w:cs="仿宋"/>
          <w:b w:val="0"/>
          <w:color w:val="000000" w:themeColor="text1"/>
          <w:sz w:val="32"/>
          <w:szCs w:val="32"/>
          <w:highlight w:val="none"/>
          <w:lang w:val="en-US" w:eastAsia="zh-CN" w:bidi="ar"/>
          <w14:textFill>
            <w14:solidFill>
              <w14:schemeClr w14:val="tx1"/>
            </w14:solidFill>
          </w14:textFill>
        </w:rPr>
        <w:t>项目</w:t>
      </w:r>
      <w:r>
        <w:rPr>
          <w:rFonts w:hint="eastAsia" w:ascii="仿宋_GB2312" w:eastAsia="仿宋_GB2312" w:cs="仿宋"/>
          <w:color w:val="000000" w:themeColor="text1"/>
          <w:sz w:val="32"/>
          <w:szCs w:val="32"/>
          <w:highlight w:val="none"/>
          <w14:textFill>
            <w14:solidFill>
              <w14:schemeClr w14:val="tx1"/>
            </w14:solidFill>
          </w14:textFill>
        </w:rPr>
        <w:t>结转资金</w:t>
      </w:r>
      <w:r>
        <w:rPr>
          <w:rFonts w:hint="eastAsia" w:ascii="仿宋_GB2312" w:eastAsia="仿宋_GB2312"/>
          <w:color w:val="000000" w:themeColor="text1"/>
          <w:sz w:val="32"/>
          <w:szCs w:val="32"/>
          <w:highlight w:val="none"/>
          <w:lang w:val="en-US" w:eastAsia="zh-CN"/>
          <w14:textFill>
            <w14:solidFill>
              <w14:schemeClr w14:val="tx1"/>
            </w14:solidFill>
          </w14:textFill>
        </w:rPr>
        <w:t>422.27</w:t>
      </w:r>
      <w:r>
        <w:rPr>
          <w:rFonts w:hint="eastAsia" w:ascii="仿宋_GB2312" w:eastAsia="仿宋_GB2312" w:cs="仿宋"/>
          <w:color w:val="000000" w:themeColor="text1"/>
          <w:sz w:val="32"/>
          <w:szCs w:val="32"/>
          <w:highlight w:val="none"/>
          <w14:textFill>
            <w14:solidFill>
              <w14:schemeClr w14:val="tx1"/>
            </w14:solidFill>
          </w14:textFill>
        </w:rPr>
        <w:t>万元，结转原因为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未付预付款工程中止</w:t>
      </w:r>
      <w:r>
        <w:rPr>
          <w:rFonts w:hint="eastAsia" w:ascii="仿宋_GB2312" w:eastAsia="仿宋_GB2312" w:cs="仿宋"/>
          <w:color w:val="000000" w:themeColor="text1"/>
          <w:sz w:val="32"/>
          <w:szCs w:val="32"/>
          <w:highlight w:val="none"/>
          <w:lang w:eastAsia="zh-CN"/>
          <w14:textFill>
            <w14:solidFill>
              <w14:schemeClr w14:val="tx1"/>
            </w14:solidFill>
          </w14:textFill>
        </w:rPr>
        <w:t>；</w:t>
      </w:r>
    </w:p>
    <w:p>
      <w:pPr>
        <w:pStyle w:val="8"/>
        <w:widowControl/>
        <w:spacing w:before="0" w:beforeAutospacing="0" w:after="0" w:afterAutospacing="0" w:line="570" w:lineRule="exact"/>
        <w:ind w:firstLine="640"/>
        <w:jc w:val="both"/>
        <w:rPr>
          <w:rFonts w:hint="eastAsia" w:ascii="仿宋" w:hAnsi="仿宋" w:eastAsia="仿宋_GB2312" w:cs="仿宋"/>
          <w:color w:val="000000" w:themeColor="text1"/>
          <w:sz w:val="32"/>
          <w:szCs w:val="32"/>
          <w:highlight w:val="none"/>
          <w:lang w:eastAsia="zh-CN"/>
          <w14:textFill>
            <w14:solidFill>
              <w14:schemeClr w14:val="tx1"/>
            </w14:solidFill>
          </w14:textFill>
        </w:rPr>
      </w:pPr>
      <w:r>
        <w:rPr>
          <w:rStyle w:val="16"/>
          <w:rFonts w:hint="eastAsia" w:cs="仿宋"/>
          <w:b w:val="0"/>
          <w:color w:val="000000" w:themeColor="text1"/>
          <w:sz w:val="32"/>
          <w:szCs w:val="32"/>
          <w:highlight w:val="none"/>
          <w:lang w:val="en-US" w:eastAsia="zh-CN" w:bidi="ar"/>
          <w14:textFill>
            <w14:solidFill>
              <w14:schemeClr w14:val="tx1"/>
            </w14:solidFill>
          </w14:textFill>
        </w:rPr>
        <w:t>（7）</w:t>
      </w:r>
      <w:r>
        <w:rPr>
          <w:rStyle w:val="16"/>
          <w:rFonts w:hint="eastAsia" w:ascii="仿宋" w:hAnsi="仿宋" w:eastAsia="仿宋" w:cs="仿宋"/>
          <w:b w:val="0"/>
          <w:color w:val="000000" w:themeColor="text1"/>
          <w:sz w:val="32"/>
          <w:szCs w:val="32"/>
          <w:highlight w:val="none"/>
          <w:lang w:val="en-US" w:eastAsia="zh-CN" w:bidi="ar"/>
          <w14:textFill>
            <w14:solidFill>
              <w14:schemeClr w14:val="tx1"/>
            </w14:solidFill>
          </w14:textFill>
        </w:rPr>
        <w:t>体育公园建设项目</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项目</w:t>
      </w:r>
      <w:r>
        <w:rPr>
          <w:rFonts w:hint="eastAsia" w:ascii="仿宋_GB2312" w:eastAsia="仿宋_GB2312" w:cs="仿宋"/>
          <w:color w:val="000000" w:themeColor="text1"/>
          <w:sz w:val="32"/>
          <w:szCs w:val="32"/>
          <w:highlight w:val="none"/>
          <w14:textFill>
            <w14:solidFill>
              <w14:schemeClr w14:val="tx1"/>
            </w14:solidFill>
          </w14:textFill>
        </w:rPr>
        <w:t>结转资金</w:t>
      </w:r>
      <w:r>
        <w:rPr>
          <w:rFonts w:hint="eastAsia" w:ascii="仿宋_GB2312" w:eastAsia="仿宋_GB2312"/>
          <w:color w:val="000000" w:themeColor="text1"/>
          <w:sz w:val="32"/>
          <w:szCs w:val="32"/>
          <w:highlight w:val="none"/>
          <w:lang w:val="en-US" w:eastAsia="zh-CN"/>
          <w14:textFill>
            <w14:solidFill>
              <w14:schemeClr w14:val="tx1"/>
            </w14:solidFill>
          </w14:textFill>
        </w:rPr>
        <w:t>120.05</w:t>
      </w:r>
      <w:r>
        <w:rPr>
          <w:rFonts w:hint="eastAsia" w:ascii="仿宋_GB2312" w:eastAsia="仿宋_GB2312" w:cs="仿宋"/>
          <w:color w:val="000000" w:themeColor="text1"/>
          <w:sz w:val="32"/>
          <w:szCs w:val="32"/>
          <w:highlight w:val="none"/>
          <w14:textFill>
            <w14:solidFill>
              <w14:schemeClr w14:val="tx1"/>
            </w14:solidFill>
          </w14:textFill>
        </w:rPr>
        <w:t>万元，结转原因为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未完工，按进度付款</w:t>
      </w:r>
      <w:r>
        <w:rPr>
          <w:rFonts w:hint="eastAsia" w:ascii="仿宋_GB2312" w:eastAsia="仿宋_GB2312" w:cs="仿宋"/>
          <w:color w:val="000000" w:themeColor="text1"/>
          <w:sz w:val="32"/>
          <w:szCs w:val="32"/>
          <w:highlight w:val="none"/>
          <w:lang w:eastAsia="zh-CN"/>
          <w14:textFill>
            <w14:solidFill>
              <w14:schemeClr w14:val="tx1"/>
            </w14:solidFill>
          </w14:textFill>
        </w:rPr>
        <w:t>。</w:t>
      </w:r>
    </w:p>
    <w:p>
      <w:pPr>
        <w:pStyle w:val="3"/>
        <w:spacing w:line="570" w:lineRule="exact"/>
        <w:ind w:firstLine="640"/>
        <w:rPr>
          <w:rFonts w:hint="eastAsia" w:ascii="黑体" w:hAnsi="黑体" w:eastAsia="黑体"/>
          <w:b w:val="0"/>
          <w:color w:val="000000" w:themeColor="text1"/>
          <w:sz w:val="32"/>
          <w:szCs w:val="32"/>
          <w:highlight w:val="none"/>
          <w:lang w:val="en-US" w:eastAsia="zh-CN"/>
          <w14:textFill>
            <w14:solidFill>
              <w14:schemeClr w14:val="tx1"/>
            </w14:solidFill>
          </w14:textFill>
        </w:rPr>
      </w:pPr>
      <w:r>
        <w:rPr>
          <w:rFonts w:hint="eastAsia" w:ascii="黑体" w:hAnsi="黑体"/>
          <w:b w:val="0"/>
          <w:color w:val="000000" w:themeColor="text1"/>
          <w:sz w:val="32"/>
          <w:szCs w:val="32"/>
          <w:highlight w:val="none"/>
          <w:lang w:val="en-US" w:eastAsia="zh-CN"/>
          <w14:textFill>
            <w14:solidFill>
              <w14:schemeClr w14:val="tx1"/>
            </w14:solidFill>
          </w14:textFill>
        </w:rPr>
        <w:t>三</w:t>
      </w:r>
      <w:r>
        <w:rPr>
          <w:rFonts w:hint="eastAsia" w:ascii="黑体" w:hAnsi="黑体"/>
          <w:b w:val="0"/>
          <w:color w:val="000000" w:themeColor="text1"/>
          <w:sz w:val="32"/>
          <w:szCs w:val="32"/>
          <w:highlight w:val="none"/>
          <w14:textFill>
            <w14:solidFill>
              <w14:schemeClr w14:val="tx1"/>
            </w14:solidFill>
          </w14:textFill>
        </w:rPr>
        <w:t>、部门单位整体支出</w:t>
      </w:r>
      <w:r>
        <w:rPr>
          <w:rFonts w:hint="eastAsia" w:ascii="黑体" w:hAnsi="黑体"/>
          <w:b w:val="0"/>
          <w:color w:val="000000" w:themeColor="text1"/>
          <w:sz w:val="32"/>
          <w:szCs w:val="32"/>
          <w:highlight w:val="none"/>
          <w:lang w:val="en-US" w:eastAsia="zh-CN"/>
          <w14:textFill>
            <w14:solidFill>
              <w14:schemeClr w14:val="tx1"/>
            </w14:solidFill>
          </w14:textFill>
        </w:rPr>
        <w:t>绩效分析</w:t>
      </w:r>
    </w:p>
    <w:p>
      <w:pPr>
        <w:pStyle w:val="4"/>
        <w:spacing w:line="570" w:lineRule="exact"/>
        <w:ind w:firstLine="643"/>
        <w:rPr>
          <w:rFonts w:hint="default" w:ascii="仿宋_GB2312" w:eastAsia="楷体_GB2312"/>
          <w:bCs/>
          <w:color w:val="000000" w:themeColor="text1"/>
          <w:spacing w:val="-4"/>
          <w:sz w:val="32"/>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（一）</w:t>
      </w:r>
      <w:r>
        <w:rPr>
          <w:rFonts w:hint="eastAsia" w:ascii="楷体_GB2312" w:eastAsia="楷体_GB2312"/>
          <w:color w:val="000000" w:themeColor="text1"/>
          <w:szCs w:val="32"/>
          <w:highlight w:val="none"/>
          <w:lang w:val="en-US" w:eastAsia="zh-CN"/>
          <w14:textFill>
            <w14:solidFill>
              <w14:schemeClr w14:val="tx1"/>
            </w14:solidFill>
          </w14:textFill>
        </w:rPr>
        <w:t>指标一：</w:t>
      </w:r>
    </w:p>
    <w:p>
      <w:pPr>
        <w:spacing w:line="570" w:lineRule="exact"/>
        <w:ind w:firstLine="64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“旅游接待人次”指标</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预期指标值为“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大于等于</w:t>
      </w:r>
      <w:r>
        <w:rPr>
          <w:rFonts w:hint="eastAsia" w:ascii="仿宋_GB2312" w:eastAsia="仿宋_GB2312"/>
          <w:color w:val="000000" w:themeColor="text1"/>
          <w:sz w:val="32"/>
          <w:szCs w:val="32"/>
          <w:highlight w:val="none"/>
          <w14:textFill>
            <w14:solidFill>
              <w14:schemeClr w14:val="tx1"/>
            </w14:solidFill>
          </w14:textFill>
        </w:rPr>
        <w:t>325万人次”，</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年中绩效运行监控完成值为“206.04</w:t>
      </w:r>
      <w:r>
        <w:rPr>
          <w:rFonts w:hint="eastAsia" w:ascii="仿宋_GB2312" w:eastAsia="仿宋_GB2312"/>
          <w:color w:val="000000" w:themeColor="text1"/>
          <w:sz w:val="32"/>
          <w:szCs w:val="32"/>
          <w:highlight w:val="none"/>
          <w14:textFill>
            <w14:solidFill>
              <w14:schemeClr w14:val="tx1"/>
            </w14:solidFill>
          </w14:textFill>
        </w:rPr>
        <w:t>万人次</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14:textFill>
            <w14:solidFill>
              <w14:schemeClr w14:val="tx1"/>
            </w14:solidFill>
          </w14:textFill>
        </w:rPr>
        <w:t>实际完成指标值为“325万人次”，</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14:textFill>
            <w14:solidFill>
              <w14:schemeClr w14:val="tx1"/>
            </w14:solidFill>
          </w14:textFill>
        </w:rPr>
        <w:t>指标完成率为</w:t>
      </w:r>
      <w:r>
        <w:rPr>
          <w:rFonts w:hint="eastAsia" w:ascii="仿宋_GB2312" w:eastAsia="仿宋_GB2312"/>
          <w:bCs/>
          <w:color w:val="000000" w:themeColor="text1"/>
          <w:spacing w:val="-4"/>
          <w:sz w:val="32"/>
          <w:szCs w:val="32"/>
          <w:highlight w:val="none"/>
          <w:lang w:val="en-US" w:eastAsia="zh-CN"/>
          <w14:textFill>
            <w14:solidFill>
              <w14:schemeClr w14:val="tx1"/>
            </w14:solidFill>
          </w14:textFill>
        </w:rPr>
        <w:t>100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年中绩效运行监控完成值与全年</w:t>
      </w:r>
      <w:r>
        <w:rPr>
          <w:rFonts w:hint="eastAsia" w:ascii="仿宋_GB2312" w:eastAsia="仿宋_GB2312"/>
          <w:color w:val="000000" w:themeColor="text1"/>
          <w:sz w:val="32"/>
          <w:szCs w:val="32"/>
          <w:highlight w:val="none"/>
          <w14:textFill>
            <w14:solidFill>
              <w14:schemeClr w14:val="tx1"/>
            </w14:solidFill>
          </w14:textFill>
        </w:rPr>
        <w:t>指标完成</w:t>
      </w:r>
      <w:r>
        <w:rPr>
          <w:rFonts w:hint="eastAsia" w:ascii="仿宋_GB2312" w:eastAsia="仿宋_GB2312"/>
          <w:color w:val="000000" w:themeColor="text1"/>
          <w:sz w:val="32"/>
          <w:szCs w:val="32"/>
          <w:highlight w:val="none"/>
          <w:lang w:val="en-US" w:eastAsia="zh-CN"/>
          <w14:textFill>
            <w14:solidFill>
              <w14:schemeClr w14:val="tx1"/>
            </w14:solidFill>
          </w14:textFill>
        </w:rPr>
        <w:t>值均不存在偏差。全年本单位履职尽责，严格</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贯彻落实自治区党委十届九次全会精神、地委扩大会议精神及自治区文化和旅游工作会议、自治区体育工作会议、自治区广电工作会议精神，深入实施</w:t>
      </w:r>
      <w:r>
        <w:rPr>
          <w:rFonts w:hint="eastAsia" w:ascii="仿宋_GB2312" w:hAnsi="微软雅黑" w:eastAsia="仿宋_GB2312" w:cs="仿宋_GB2312"/>
          <w:i w:val="0"/>
          <w:iCs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“文化润疆”工程和“旅游新疆”战略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微软雅黑" w:eastAsia="仿宋_GB2312" w:cs="仿宋_GB2312"/>
          <w:i w:val="0"/>
          <w:iCs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大力培育文化旅游市场主体，不断强化文、体、广、旅融合发展，不断提升公共文化服务力、旅游品牌影响力，让党的旗帜高高飘扬。</w:t>
      </w:r>
    </w:p>
    <w:p>
      <w:pPr>
        <w:spacing w:line="570" w:lineRule="exact"/>
        <w:ind w:firstLine="640"/>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综上，该指标分值20分，得20分。</w:t>
      </w:r>
    </w:p>
    <w:p>
      <w:pPr>
        <w:pStyle w:val="4"/>
        <w:spacing w:line="570" w:lineRule="exact"/>
        <w:ind w:firstLine="643"/>
        <w:rPr>
          <w:rFonts w:hint="default" w:ascii="仿宋_GB2312" w:eastAsia="楷体_GB2312"/>
          <w:bCs/>
          <w:color w:val="000000" w:themeColor="text1"/>
          <w:spacing w:val="-4"/>
          <w:sz w:val="32"/>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二</w:t>
      </w: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指标二：</w:t>
      </w:r>
    </w:p>
    <w:p>
      <w:pPr>
        <w:spacing w:line="570" w:lineRule="exact"/>
        <w:ind w:firstLine="64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“创建4A级以上景区”指标</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预期指标值为“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大于等于</w:t>
      </w:r>
      <w:r>
        <w:rPr>
          <w:rFonts w:hint="eastAsia" w:ascii="仿宋_GB2312" w:eastAsia="仿宋_GB2312"/>
          <w:color w:val="000000" w:themeColor="text1"/>
          <w:sz w:val="32"/>
          <w:szCs w:val="32"/>
          <w:highlight w:val="none"/>
          <w14:textFill>
            <w14:solidFill>
              <w14:schemeClr w14:val="tx1"/>
            </w14:solidFill>
          </w14:textFill>
        </w:rPr>
        <w:t>1家”，</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年中绩效运行监控完成值为“0”，全年</w:t>
      </w:r>
      <w:r>
        <w:rPr>
          <w:rFonts w:hint="eastAsia" w:ascii="仿宋_GB2312" w:eastAsia="仿宋_GB2312"/>
          <w:color w:val="000000" w:themeColor="text1"/>
          <w:sz w:val="32"/>
          <w:szCs w:val="32"/>
          <w:highlight w:val="none"/>
          <w14:textFill>
            <w14:solidFill>
              <w14:schemeClr w14:val="tx1"/>
            </w14:solidFill>
          </w14:textFill>
        </w:rPr>
        <w:t>实际完成指标值为“1家”，</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14:textFill>
            <w14:solidFill>
              <w14:schemeClr w14:val="tx1"/>
            </w14:solidFill>
          </w14:textFill>
        </w:rPr>
        <w:t>指标完成率为</w:t>
      </w:r>
      <w:r>
        <w:rPr>
          <w:rFonts w:hint="eastAsia" w:ascii="仿宋_GB2312" w:eastAsia="仿宋_GB2312"/>
          <w:bCs/>
          <w:color w:val="000000" w:themeColor="text1"/>
          <w:spacing w:val="-4"/>
          <w:sz w:val="32"/>
          <w:szCs w:val="32"/>
          <w:highlight w:val="none"/>
          <w:lang w:val="en-US" w:eastAsia="zh-CN"/>
          <w14:textFill>
            <w14:solidFill>
              <w14:schemeClr w14:val="tx1"/>
            </w14:solidFill>
          </w14:textFill>
        </w:rPr>
        <w:t>100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年中绩效运行监控完成值与全年</w:t>
      </w:r>
      <w:r>
        <w:rPr>
          <w:rFonts w:hint="eastAsia" w:ascii="仿宋_GB2312" w:eastAsia="仿宋_GB2312"/>
          <w:color w:val="000000" w:themeColor="text1"/>
          <w:sz w:val="32"/>
          <w:szCs w:val="32"/>
          <w:highlight w:val="none"/>
          <w14:textFill>
            <w14:solidFill>
              <w14:schemeClr w14:val="tx1"/>
            </w14:solidFill>
          </w14:textFill>
        </w:rPr>
        <w:t>指标完成</w:t>
      </w:r>
      <w:r>
        <w:rPr>
          <w:rFonts w:hint="eastAsia" w:ascii="仿宋_GB2312" w:eastAsia="仿宋_GB2312"/>
          <w:color w:val="000000" w:themeColor="text1"/>
          <w:sz w:val="32"/>
          <w:szCs w:val="32"/>
          <w:highlight w:val="none"/>
          <w:lang w:val="en-US" w:eastAsia="zh-CN"/>
          <w14:textFill>
            <w14:solidFill>
              <w14:schemeClr w14:val="tx1"/>
            </w14:solidFill>
          </w14:textFill>
        </w:rPr>
        <w:t>值均不存在偏差。全年本单位履职尽责，严格</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贯彻落实各级工作会议精神，深入实施</w:t>
      </w:r>
      <w:r>
        <w:rPr>
          <w:rFonts w:hint="eastAsia" w:ascii="仿宋_GB2312" w:hAnsi="微软雅黑" w:eastAsia="仿宋_GB2312" w:cs="仿宋_GB2312"/>
          <w:i w:val="0"/>
          <w:iCs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“文化润疆”工程和“旅游新疆”战略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微软雅黑" w:eastAsia="仿宋_GB2312" w:cs="仿宋_GB2312"/>
          <w:i w:val="0"/>
          <w:iCs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大力培育文化旅游市场主体，不断强化文、体、广、旅融合发展，不断提升公共文化服务力、旅游品牌影响力，让党的旗帜高高飘扬。</w:t>
      </w:r>
    </w:p>
    <w:p>
      <w:pPr>
        <w:pStyle w:val="18"/>
        <w:snapToGrid w:val="0"/>
        <w:spacing w:line="570" w:lineRule="exact"/>
        <w:ind w:firstLine="624"/>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综上，该指标分值20分，得20分。</w:t>
      </w:r>
    </w:p>
    <w:p>
      <w:pPr>
        <w:pStyle w:val="4"/>
        <w:spacing w:line="570" w:lineRule="exact"/>
        <w:ind w:firstLine="643"/>
        <w:rPr>
          <w:rFonts w:hint="default" w:ascii="仿宋_GB2312" w:eastAsia="楷体_GB2312"/>
          <w:bCs/>
          <w:color w:val="000000" w:themeColor="text1"/>
          <w:spacing w:val="-4"/>
          <w:sz w:val="32"/>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三</w:t>
      </w: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指标三：</w:t>
      </w:r>
    </w:p>
    <w:p>
      <w:pPr>
        <w:spacing w:line="570" w:lineRule="exact"/>
        <w:ind w:firstLine="64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“创建国家级旅游度假村”指标</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预期指标值为“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大于等于1</w:t>
      </w:r>
      <w:r>
        <w:rPr>
          <w:rFonts w:hint="eastAsia" w:ascii="仿宋_GB2312" w:eastAsia="仿宋_GB2312"/>
          <w:color w:val="000000" w:themeColor="text1"/>
          <w:sz w:val="32"/>
          <w:szCs w:val="32"/>
          <w:highlight w:val="none"/>
          <w14:textFill>
            <w14:solidFill>
              <w14:schemeClr w14:val="tx1"/>
            </w14:solidFill>
          </w14:textFill>
        </w:rPr>
        <w:t>家”，</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年中绩效运行监控完成值为“0家”，全年</w:t>
      </w:r>
      <w:r>
        <w:rPr>
          <w:rFonts w:hint="eastAsia" w:ascii="仿宋_GB2312" w:eastAsia="仿宋_GB2312"/>
          <w:color w:val="000000" w:themeColor="text1"/>
          <w:sz w:val="32"/>
          <w:szCs w:val="32"/>
          <w:highlight w:val="none"/>
          <w14:textFill>
            <w14:solidFill>
              <w14:schemeClr w14:val="tx1"/>
            </w14:solidFill>
          </w14:textFill>
        </w:rPr>
        <w:t>实际完成指标值为“</w:t>
      </w:r>
      <w:r>
        <w:rPr>
          <w:rFonts w:hint="eastAsia" w:ascii="仿宋_GB2312" w:eastAsia="仿宋_GB2312"/>
          <w:color w:val="000000" w:themeColor="text1"/>
          <w:sz w:val="32"/>
          <w:szCs w:val="32"/>
          <w:highlight w:val="none"/>
          <w:lang w:val="en-US" w:eastAsia="zh-CN"/>
          <w14:textFill>
            <w14:solidFill>
              <w14:schemeClr w14:val="tx1"/>
            </w14:solidFill>
          </w14:textFill>
        </w:rPr>
        <w:t>0</w:t>
      </w:r>
      <w:r>
        <w:rPr>
          <w:rFonts w:hint="eastAsia" w:ascii="仿宋_GB2312" w:eastAsia="仿宋_GB2312"/>
          <w:color w:val="000000" w:themeColor="text1"/>
          <w:sz w:val="32"/>
          <w:szCs w:val="32"/>
          <w:highlight w:val="none"/>
          <w14:textFill>
            <w14:solidFill>
              <w14:schemeClr w14:val="tx1"/>
            </w14:solidFill>
          </w14:textFill>
        </w:rPr>
        <w:t>家”，</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14:textFill>
            <w14:solidFill>
              <w14:schemeClr w14:val="tx1"/>
            </w14:solidFill>
          </w14:textFill>
        </w:rPr>
        <w:t>指标完成率为</w:t>
      </w:r>
      <w:r>
        <w:rPr>
          <w:rFonts w:hint="eastAsia" w:ascii="仿宋_GB2312" w:eastAsia="仿宋_GB2312"/>
          <w:bCs/>
          <w:color w:val="000000" w:themeColor="text1"/>
          <w:spacing w:val="-4"/>
          <w:sz w:val="32"/>
          <w:szCs w:val="32"/>
          <w:highlight w:val="none"/>
          <w:lang w:val="en-US" w:eastAsia="zh-CN"/>
          <w14:textFill>
            <w14:solidFill>
              <w14:schemeClr w14:val="tx1"/>
            </w14:solidFill>
          </w14:textFill>
        </w:rPr>
        <w:t>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年中绩效运行监控完成值不存在偏差。全年</w:t>
      </w:r>
      <w:r>
        <w:rPr>
          <w:rFonts w:hint="eastAsia" w:ascii="仿宋_GB2312" w:eastAsia="仿宋_GB2312"/>
          <w:color w:val="000000" w:themeColor="text1"/>
          <w:sz w:val="32"/>
          <w:szCs w:val="32"/>
          <w:highlight w:val="none"/>
          <w14:textFill>
            <w14:solidFill>
              <w14:schemeClr w14:val="tx1"/>
            </w14:solidFill>
          </w14:textFill>
        </w:rPr>
        <w:t>指标完成</w:t>
      </w:r>
      <w:r>
        <w:rPr>
          <w:rFonts w:hint="eastAsia" w:ascii="仿宋_GB2312" w:eastAsia="仿宋_GB2312"/>
          <w:color w:val="000000" w:themeColor="text1"/>
          <w:sz w:val="32"/>
          <w:szCs w:val="32"/>
          <w:highlight w:val="none"/>
          <w:lang w:val="en-US" w:eastAsia="zh-CN"/>
          <w14:textFill>
            <w14:solidFill>
              <w14:schemeClr w14:val="tx1"/>
            </w14:solidFill>
          </w14:textFill>
        </w:rPr>
        <w:t>值存在偏差，偏差原因是：文旅局没有创建成国家级旅游度假村，导致偏差。全年本单位履职尽责，严格</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贯彻落实各级工作会议精神，深入实施</w:t>
      </w:r>
      <w:r>
        <w:rPr>
          <w:rFonts w:hint="eastAsia" w:ascii="仿宋_GB2312" w:hAnsi="微软雅黑" w:eastAsia="仿宋_GB2312" w:cs="仿宋_GB2312"/>
          <w:i w:val="0"/>
          <w:iCs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“文化润疆”工程和“旅游新疆”战略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微软雅黑" w:eastAsia="仿宋_GB2312" w:cs="仿宋_GB2312"/>
          <w:i w:val="0"/>
          <w:iCs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大力培育文化旅游市场主体，不断强化文、体、广、旅融合发展，不断提升公共文化服务力、旅游品牌影响力，让党的旗帜高高飘扬。</w:t>
      </w:r>
    </w:p>
    <w:p>
      <w:pPr>
        <w:pStyle w:val="18"/>
        <w:snapToGrid w:val="0"/>
        <w:spacing w:line="570" w:lineRule="exact"/>
        <w:ind w:firstLine="624"/>
        <w:rPr>
          <w:rFonts w:hint="default"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综上，该指标分值10分，得0分。</w:t>
      </w:r>
    </w:p>
    <w:p>
      <w:pPr>
        <w:pStyle w:val="4"/>
        <w:spacing w:line="570" w:lineRule="exact"/>
        <w:ind w:firstLine="643"/>
        <w:rPr>
          <w:rFonts w:hint="default" w:ascii="仿宋_GB2312" w:eastAsia="楷体_GB2312"/>
          <w:bCs/>
          <w:color w:val="000000" w:themeColor="text1"/>
          <w:spacing w:val="-4"/>
          <w:sz w:val="32"/>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四</w:t>
      </w: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指标四：</w:t>
      </w:r>
    </w:p>
    <w:p>
      <w:pPr>
        <w:spacing w:line="570" w:lineRule="exact"/>
        <w:ind w:firstLine="64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“大型文化惠民活动”指标</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预期指标值为“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大于等于</w:t>
      </w:r>
      <w:r>
        <w:rPr>
          <w:rFonts w:hint="eastAsia" w:ascii="仿宋_GB2312" w:eastAsia="仿宋_GB2312"/>
          <w:color w:val="000000" w:themeColor="text1"/>
          <w:sz w:val="32"/>
          <w:szCs w:val="32"/>
          <w:highlight w:val="none"/>
          <w:lang w:val="en-US" w:eastAsia="zh-CN"/>
          <w14:textFill>
            <w14:solidFill>
              <w14:schemeClr w14:val="tx1"/>
            </w14:solidFill>
          </w14:textFill>
        </w:rPr>
        <w:t>120场</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年中绩效运行监控完成值为“42场”，全年</w:t>
      </w:r>
      <w:r>
        <w:rPr>
          <w:rFonts w:hint="eastAsia" w:ascii="仿宋_GB2312" w:eastAsia="仿宋_GB2312"/>
          <w:color w:val="000000" w:themeColor="text1"/>
          <w:sz w:val="32"/>
          <w:szCs w:val="32"/>
          <w:highlight w:val="none"/>
          <w14:textFill>
            <w14:solidFill>
              <w14:schemeClr w14:val="tx1"/>
            </w14:solidFill>
          </w14:textFill>
        </w:rPr>
        <w:t>实际完成指标值为“</w:t>
      </w:r>
      <w:r>
        <w:rPr>
          <w:rFonts w:hint="eastAsia" w:ascii="仿宋_GB2312" w:eastAsia="仿宋_GB2312"/>
          <w:color w:val="000000" w:themeColor="text1"/>
          <w:sz w:val="32"/>
          <w:szCs w:val="32"/>
          <w:highlight w:val="none"/>
          <w:lang w:val="en-US" w:eastAsia="zh-CN"/>
          <w14:textFill>
            <w14:solidFill>
              <w14:schemeClr w14:val="tx1"/>
            </w14:solidFill>
          </w14:textFill>
        </w:rPr>
        <w:t>120场</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14:textFill>
            <w14:solidFill>
              <w14:schemeClr w14:val="tx1"/>
            </w14:solidFill>
          </w14:textFill>
        </w:rPr>
        <w:t>指标完成率为</w:t>
      </w:r>
      <w:r>
        <w:rPr>
          <w:rFonts w:hint="eastAsia" w:ascii="仿宋_GB2312" w:eastAsia="仿宋_GB2312"/>
          <w:bCs/>
          <w:color w:val="000000" w:themeColor="text1"/>
          <w:spacing w:val="-4"/>
          <w:sz w:val="32"/>
          <w:szCs w:val="32"/>
          <w:highlight w:val="none"/>
          <w:lang w:val="en-US" w:eastAsia="zh-CN"/>
          <w14:textFill>
            <w14:solidFill>
              <w14:schemeClr w14:val="tx1"/>
            </w14:solidFill>
          </w14:textFill>
        </w:rPr>
        <w:t>100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年中绩效运行监控完成值偏差率16%，偏差原因是：由于</w:t>
      </w:r>
      <w:r>
        <w:rPr>
          <w:rFonts w:hint="eastAsia" w:ascii="仿宋_GB2312" w:eastAsia="仿宋_GB2312"/>
          <w:color w:val="000000" w:themeColor="text1"/>
          <w:sz w:val="32"/>
          <w:szCs w:val="32"/>
          <w:highlight w:val="none"/>
          <w14:textFill>
            <w14:solidFill>
              <w14:schemeClr w14:val="tx1"/>
            </w14:solidFill>
          </w14:textFill>
        </w:rPr>
        <w:t>大型文化惠民活动</w:t>
      </w:r>
      <w:r>
        <w:rPr>
          <w:rFonts w:hint="eastAsia" w:ascii="仿宋_GB2312" w:eastAsia="仿宋_GB2312"/>
          <w:color w:val="000000" w:themeColor="text1"/>
          <w:sz w:val="32"/>
          <w:szCs w:val="32"/>
          <w:highlight w:val="none"/>
          <w:lang w:val="en-US" w:eastAsia="zh-CN"/>
          <w14:textFill>
            <w14:solidFill>
              <w14:schemeClr w14:val="tx1"/>
            </w14:solidFill>
          </w14:textFill>
        </w:rPr>
        <w:t>是在秋冬季开展，导致偏差。全年</w:t>
      </w:r>
      <w:r>
        <w:rPr>
          <w:rFonts w:hint="eastAsia" w:ascii="仿宋_GB2312" w:eastAsia="仿宋_GB2312"/>
          <w:color w:val="000000" w:themeColor="text1"/>
          <w:sz w:val="32"/>
          <w:szCs w:val="32"/>
          <w:highlight w:val="none"/>
          <w14:textFill>
            <w14:solidFill>
              <w14:schemeClr w14:val="tx1"/>
            </w14:solidFill>
          </w14:textFill>
        </w:rPr>
        <w:t>指标完成</w:t>
      </w:r>
      <w:r>
        <w:rPr>
          <w:rFonts w:hint="eastAsia" w:ascii="仿宋_GB2312" w:eastAsia="仿宋_GB2312"/>
          <w:color w:val="000000" w:themeColor="text1"/>
          <w:sz w:val="32"/>
          <w:szCs w:val="32"/>
          <w:highlight w:val="none"/>
          <w:lang w:val="en-US" w:eastAsia="zh-CN"/>
          <w14:textFill>
            <w14:solidFill>
              <w14:schemeClr w14:val="tx1"/>
            </w14:solidFill>
          </w14:textFill>
        </w:rPr>
        <w:t>值不存在偏差。全年本单位履职尽责，严格</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贯彻落实各级工作会议精神，深入实施</w:t>
      </w:r>
      <w:r>
        <w:rPr>
          <w:rFonts w:hint="eastAsia" w:ascii="仿宋_GB2312" w:hAnsi="微软雅黑" w:eastAsia="仿宋_GB2312" w:cs="仿宋_GB2312"/>
          <w:i w:val="0"/>
          <w:iCs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“文化润疆”工程和“旅游新疆”战略</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w:t>
      </w:r>
      <w:r>
        <w:rPr>
          <w:rFonts w:hint="eastAsia" w:ascii="仿宋_GB2312" w:hAnsi="微软雅黑" w:eastAsia="仿宋_GB2312" w:cs="仿宋_GB2312"/>
          <w:i w:val="0"/>
          <w:iCs w:val="0"/>
          <w:caps w:val="0"/>
          <w:color w:val="000000" w:themeColor="text1"/>
          <w:spacing w:val="0"/>
          <w:kern w:val="0"/>
          <w:sz w:val="32"/>
          <w:szCs w:val="32"/>
          <w:highlight w:val="none"/>
          <w:shd w:val="clear" w:color="auto" w:fill="FFFFFF"/>
          <w:lang w:val="en-US" w:eastAsia="zh-CN" w:bidi="ar"/>
          <w14:textFill>
            <w14:solidFill>
              <w14:schemeClr w14:val="tx1"/>
            </w14:solidFill>
          </w14:textFill>
        </w:rPr>
        <w:t>大力培育文化旅游市场主体，不断强化文、体、广、旅融合发展，不断提升公共文化服务力、旅游品牌影响力，让党的旗帜高高飘扬。</w:t>
      </w:r>
    </w:p>
    <w:p>
      <w:pPr>
        <w:spacing w:line="570" w:lineRule="exact"/>
        <w:ind w:firstLine="64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综上，该指标分值10分，得10分。</w:t>
      </w:r>
    </w:p>
    <w:p>
      <w:pPr>
        <w:pStyle w:val="4"/>
        <w:spacing w:line="570" w:lineRule="exact"/>
        <w:ind w:firstLine="643"/>
        <w:rPr>
          <w:rFonts w:hint="default" w:ascii="仿宋_GB2312" w:eastAsia="楷体_GB2312"/>
          <w:bCs/>
          <w:color w:val="000000" w:themeColor="text1"/>
          <w:spacing w:val="-4"/>
          <w:sz w:val="32"/>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五</w:t>
      </w: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指标五：</w:t>
      </w:r>
    </w:p>
    <w:p>
      <w:pPr>
        <w:spacing w:line="570" w:lineRule="exact"/>
        <w:ind w:firstLine="64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“大型体育赛事活动”指标</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预期指标值为“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大于等于</w:t>
      </w:r>
      <w:r>
        <w:rPr>
          <w:rFonts w:hint="eastAsia" w:ascii="仿宋_GB2312" w:eastAsia="仿宋_GB2312"/>
          <w:color w:val="000000" w:themeColor="text1"/>
          <w:sz w:val="32"/>
          <w:szCs w:val="32"/>
          <w:highlight w:val="none"/>
          <w14:textFill>
            <w14:solidFill>
              <w14:schemeClr w14:val="tx1"/>
            </w14:solidFill>
          </w14:textFill>
        </w:rPr>
        <w:t>20场”，</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年中绩效运行监控完成值为“8场”，全年</w:t>
      </w:r>
      <w:r>
        <w:rPr>
          <w:rFonts w:hint="eastAsia" w:ascii="仿宋_GB2312" w:eastAsia="仿宋_GB2312"/>
          <w:color w:val="000000" w:themeColor="text1"/>
          <w:sz w:val="32"/>
          <w:szCs w:val="32"/>
          <w:highlight w:val="none"/>
          <w14:textFill>
            <w14:solidFill>
              <w14:schemeClr w14:val="tx1"/>
            </w14:solidFill>
          </w14:textFill>
        </w:rPr>
        <w:t>实际完成指标值为“20场”，</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14:textFill>
            <w14:solidFill>
              <w14:schemeClr w14:val="tx1"/>
            </w14:solidFill>
          </w14:textFill>
        </w:rPr>
        <w:t>指标完成率为</w:t>
      </w:r>
      <w:r>
        <w:rPr>
          <w:rFonts w:hint="eastAsia" w:ascii="仿宋_GB2312" w:eastAsia="仿宋_GB2312"/>
          <w:bCs/>
          <w:color w:val="000000" w:themeColor="text1"/>
          <w:spacing w:val="-4"/>
          <w:sz w:val="32"/>
          <w:szCs w:val="32"/>
          <w:highlight w:val="none"/>
          <w:lang w:val="en-US" w:eastAsia="zh-CN"/>
          <w14:textFill>
            <w14:solidFill>
              <w14:schemeClr w14:val="tx1"/>
            </w14:solidFill>
          </w14:textFill>
        </w:rPr>
        <w:t>100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年中绩效运行监控完成值偏差率20%，偏差原因是：由于</w:t>
      </w:r>
      <w:r>
        <w:rPr>
          <w:rFonts w:hint="eastAsia" w:ascii="仿宋_GB2312" w:eastAsia="仿宋_GB2312"/>
          <w:color w:val="000000" w:themeColor="text1"/>
          <w:sz w:val="32"/>
          <w:szCs w:val="32"/>
          <w:highlight w:val="none"/>
          <w14:textFill>
            <w14:solidFill>
              <w14:schemeClr w14:val="tx1"/>
            </w14:solidFill>
          </w14:textFill>
        </w:rPr>
        <w:t>体育赛事活动</w:t>
      </w:r>
      <w:r>
        <w:rPr>
          <w:rFonts w:hint="eastAsia" w:ascii="仿宋_GB2312" w:eastAsia="仿宋_GB2312"/>
          <w:color w:val="000000" w:themeColor="text1"/>
          <w:sz w:val="32"/>
          <w:szCs w:val="32"/>
          <w:highlight w:val="none"/>
          <w:lang w:val="en-US" w:eastAsia="zh-CN"/>
          <w14:textFill>
            <w14:solidFill>
              <w14:schemeClr w14:val="tx1"/>
            </w14:solidFill>
          </w14:textFill>
        </w:rPr>
        <w:t>是在秋冬季开展，导致偏差。全年</w:t>
      </w:r>
      <w:r>
        <w:rPr>
          <w:rFonts w:hint="eastAsia" w:ascii="仿宋_GB2312" w:eastAsia="仿宋_GB2312"/>
          <w:color w:val="000000" w:themeColor="text1"/>
          <w:sz w:val="32"/>
          <w:szCs w:val="32"/>
          <w:highlight w:val="none"/>
          <w14:textFill>
            <w14:solidFill>
              <w14:schemeClr w14:val="tx1"/>
            </w14:solidFill>
          </w14:textFill>
        </w:rPr>
        <w:t>指标完成</w:t>
      </w:r>
      <w:r>
        <w:rPr>
          <w:rFonts w:hint="eastAsia" w:ascii="仿宋_GB2312" w:eastAsia="仿宋_GB2312"/>
          <w:color w:val="000000" w:themeColor="text1"/>
          <w:sz w:val="32"/>
          <w:szCs w:val="32"/>
          <w:highlight w:val="none"/>
          <w:lang w:val="en-US" w:eastAsia="zh-CN"/>
          <w14:textFill>
            <w14:solidFill>
              <w14:schemeClr w14:val="tx1"/>
            </w14:solidFill>
          </w14:textFill>
        </w:rPr>
        <w:t>值不存在偏差。2023年度本单位全年履职尽责，全年以提高体育公共服务能力和水平为主要目标，不断改进群众体育健身活动场地和设施，把全民健身与全民健康有机融合，推动了广大各族群众积极开展全民健身活动，促进了本地区公共体育服务均等化。通过广泛开展全民健身活动，丰富了各族群众精神文化生活，增强了全民身体素质，推动了全民健身与全民健康深度融合，满足了人民群众对美好生活的向往。</w:t>
      </w:r>
    </w:p>
    <w:p>
      <w:pPr>
        <w:spacing w:line="570" w:lineRule="exact"/>
        <w:ind w:firstLine="64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综上，该指标分值10分，得10分。</w:t>
      </w:r>
    </w:p>
    <w:p>
      <w:pPr>
        <w:pStyle w:val="4"/>
        <w:spacing w:line="570" w:lineRule="exact"/>
        <w:ind w:firstLine="643"/>
        <w:rPr>
          <w:rFonts w:hint="default" w:ascii="仿宋_GB2312" w:eastAsia="楷体_GB2312"/>
          <w:bCs/>
          <w:color w:val="000000" w:themeColor="text1"/>
          <w:spacing w:val="-4"/>
          <w:sz w:val="32"/>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六</w:t>
      </w: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指标六：</w:t>
      </w:r>
    </w:p>
    <w:p>
      <w:pPr>
        <w:spacing w:line="570" w:lineRule="exact"/>
        <w:ind w:firstLine="64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“维护大喇叭配套设备”指标</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预期指标值为“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大于等于</w:t>
      </w:r>
      <w:r>
        <w:rPr>
          <w:rFonts w:hint="eastAsia" w:ascii="仿宋_GB2312" w:eastAsia="仿宋_GB2312"/>
          <w:color w:val="000000" w:themeColor="text1"/>
          <w:sz w:val="32"/>
          <w:szCs w:val="32"/>
          <w:highlight w:val="none"/>
          <w14:textFill>
            <w14:solidFill>
              <w14:schemeClr w14:val="tx1"/>
            </w14:solidFill>
          </w14:textFill>
        </w:rPr>
        <w:t>520套”，</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年中绩效运行监控完成值为“276套”，全年</w:t>
      </w:r>
      <w:r>
        <w:rPr>
          <w:rFonts w:hint="eastAsia" w:ascii="仿宋_GB2312" w:eastAsia="仿宋_GB2312"/>
          <w:color w:val="000000" w:themeColor="text1"/>
          <w:sz w:val="32"/>
          <w:szCs w:val="32"/>
          <w:highlight w:val="none"/>
          <w14:textFill>
            <w14:solidFill>
              <w14:schemeClr w14:val="tx1"/>
            </w14:solidFill>
          </w14:textFill>
        </w:rPr>
        <w:t>实际完成指标值为“520套”，</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14:textFill>
            <w14:solidFill>
              <w14:schemeClr w14:val="tx1"/>
            </w14:solidFill>
          </w14:textFill>
        </w:rPr>
        <w:t>指标完成率为</w:t>
      </w:r>
      <w:r>
        <w:rPr>
          <w:rFonts w:hint="eastAsia" w:ascii="仿宋_GB2312" w:eastAsia="仿宋_GB2312"/>
          <w:bCs/>
          <w:color w:val="000000" w:themeColor="text1"/>
          <w:spacing w:val="-4"/>
          <w:sz w:val="32"/>
          <w:szCs w:val="32"/>
          <w:highlight w:val="none"/>
          <w:lang w:val="en-US" w:eastAsia="zh-CN"/>
          <w14:textFill>
            <w14:solidFill>
              <w14:schemeClr w14:val="tx1"/>
            </w14:solidFill>
          </w14:textFill>
        </w:rPr>
        <w:t>100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年中绩效运行监控完成值与全年</w:t>
      </w:r>
      <w:r>
        <w:rPr>
          <w:rFonts w:hint="eastAsia" w:ascii="仿宋_GB2312" w:eastAsia="仿宋_GB2312"/>
          <w:color w:val="000000" w:themeColor="text1"/>
          <w:sz w:val="32"/>
          <w:szCs w:val="32"/>
          <w:highlight w:val="none"/>
          <w14:textFill>
            <w14:solidFill>
              <w14:schemeClr w14:val="tx1"/>
            </w14:solidFill>
          </w14:textFill>
        </w:rPr>
        <w:t>指标完成</w:t>
      </w:r>
      <w:r>
        <w:rPr>
          <w:rFonts w:hint="eastAsia" w:ascii="仿宋_GB2312" w:eastAsia="仿宋_GB2312"/>
          <w:color w:val="000000" w:themeColor="text1"/>
          <w:sz w:val="32"/>
          <w:szCs w:val="32"/>
          <w:highlight w:val="none"/>
          <w:lang w:val="en-US" w:eastAsia="zh-CN"/>
          <w14:textFill>
            <w14:solidFill>
              <w14:schemeClr w14:val="tx1"/>
            </w14:solidFill>
          </w14:textFill>
        </w:rPr>
        <w:t>值均不存在偏差。2023年度本单位全年履职尽责，全年以提高公共服务能力和水平为主要目标，不断改进工作方式，推动了广大各族群众积极收看收听，保障县域、乡镇各族人民正常收听、收看广播，丰富群众的生活。</w:t>
      </w:r>
    </w:p>
    <w:p>
      <w:pPr>
        <w:spacing w:line="570" w:lineRule="exact"/>
        <w:ind w:firstLine="640"/>
        <w:rPr>
          <w:rFonts w:hint="eastAsia" w:ascii="仿宋_GB2312" w:eastAsia="仿宋_GB2312"/>
          <w:color w:val="000000" w:themeColor="text1"/>
          <w:sz w:val="32"/>
          <w:szCs w:val="32"/>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综上，该指标分值10分，得10分。</w:t>
      </w:r>
    </w:p>
    <w:p>
      <w:pPr>
        <w:pStyle w:val="4"/>
        <w:spacing w:line="570" w:lineRule="exact"/>
        <w:ind w:firstLine="643"/>
        <w:rPr>
          <w:rFonts w:hint="default" w:ascii="仿宋_GB2312" w:eastAsia="楷体_GB2312"/>
          <w:bCs/>
          <w:color w:val="000000" w:themeColor="text1"/>
          <w:spacing w:val="-4"/>
          <w:sz w:val="32"/>
          <w:szCs w:val="32"/>
          <w:highlight w:val="none"/>
          <w:lang w:val="en-US" w:eastAsia="zh-CN"/>
          <w14:textFill>
            <w14:solidFill>
              <w14:schemeClr w14:val="tx1"/>
            </w14:solidFill>
          </w14:textFill>
        </w:rPr>
      </w:pP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七</w:t>
      </w:r>
      <w:r>
        <w:rPr>
          <w:rFonts w:hint="eastAsia" w:ascii="楷体_GB2312" w:eastAsia="楷体_GB2312"/>
          <w:color w:val="000000" w:themeColor="text1"/>
          <w:szCs w:val="32"/>
          <w:highlight w:val="none"/>
          <w14:textFill>
            <w14:solidFill>
              <w14:schemeClr w14:val="tx1"/>
            </w14:solidFill>
          </w14:textFill>
        </w:rPr>
        <w:t>）</w:t>
      </w:r>
      <w:r>
        <w:rPr>
          <w:rFonts w:hint="eastAsia" w:ascii="楷体_GB2312" w:eastAsia="楷体_GB2312"/>
          <w:color w:val="000000" w:themeColor="text1"/>
          <w:szCs w:val="32"/>
          <w:highlight w:val="none"/>
          <w:lang w:val="en-US" w:eastAsia="zh-CN"/>
          <w14:textFill>
            <w14:solidFill>
              <w14:schemeClr w14:val="tx1"/>
            </w14:solidFill>
          </w14:textFill>
        </w:rPr>
        <w:t>指标七：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“建设完成古墓挖掘考古工地”指标</w:t>
      </w:r>
      <w:r>
        <w:rPr>
          <w:rFonts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14:textFill>
            <w14:solidFill>
              <w14:schemeClr w14:val="tx1"/>
            </w14:solidFill>
          </w14:textFill>
        </w:rPr>
        <w:t>预期指标值为“</w:t>
      </w:r>
      <w:r>
        <w:rPr>
          <w:rFonts w:hint="eastAsia" w:ascii="仿宋_GB2312" w:eastAsia="仿宋_GB2312" w:cs="仿宋"/>
          <w:color w:val="000000" w:themeColor="text1"/>
          <w:sz w:val="32"/>
          <w:szCs w:val="32"/>
          <w:highlight w:val="none"/>
          <w:lang w:val="en-US" w:eastAsia="zh-CN"/>
          <w14:textFill>
            <w14:solidFill>
              <w14:schemeClr w14:val="tx1"/>
            </w14:solidFill>
          </w14:textFill>
        </w:rPr>
        <w:t>大于等于</w:t>
      </w:r>
      <w:r>
        <w:rPr>
          <w:rFonts w:hint="eastAsia" w:ascii="仿宋_GB2312" w:eastAsia="仿宋_GB2312"/>
          <w:color w:val="000000" w:themeColor="text1"/>
          <w:sz w:val="32"/>
          <w:szCs w:val="32"/>
          <w:highlight w:val="none"/>
          <w14:textFill>
            <w14:solidFill>
              <w14:schemeClr w14:val="tx1"/>
            </w14:solidFill>
          </w14:textFill>
        </w:rPr>
        <w:t>1座”，</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年中绩效运行监控完成值为“0座”，全年</w:t>
      </w:r>
      <w:r>
        <w:rPr>
          <w:rFonts w:hint="eastAsia" w:ascii="仿宋_GB2312" w:eastAsia="仿宋_GB2312"/>
          <w:color w:val="000000" w:themeColor="text1"/>
          <w:sz w:val="32"/>
          <w:szCs w:val="32"/>
          <w:highlight w:val="none"/>
          <w14:textFill>
            <w14:solidFill>
              <w14:schemeClr w14:val="tx1"/>
            </w14:solidFill>
          </w14:textFill>
        </w:rPr>
        <w:t>实际完成指标值为“1座”，</w:t>
      </w:r>
      <w:r>
        <w:rPr>
          <w:rFonts w:hint="eastAsia" w:ascii="仿宋_GB2312" w:eastAsia="仿宋_GB2312"/>
          <w:color w:val="000000" w:themeColor="text1"/>
          <w:sz w:val="32"/>
          <w:szCs w:val="32"/>
          <w:highlight w:val="none"/>
          <w:lang w:val="en-US" w:eastAsia="zh-CN"/>
          <w14:textFill>
            <w14:solidFill>
              <w14:schemeClr w14:val="tx1"/>
            </w14:solidFill>
          </w14:textFill>
        </w:rPr>
        <w:t>全年</w:t>
      </w:r>
      <w:r>
        <w:rPr>
          <w:rFonts w:hint="eastAsia" w:ascii="仿宋_GB2312" w:eastAsia="仿宋_GB2312"/>
          <w:color w:val="000000" w:themeColor="text1"/>
          <w:sz w:val="32"/>
          <w:szCs w:val="32"/>
          <w:highlight w:val="none"/>
          <w14:textFill>
            <w14:solidFill>
              <w14:schemeClr w14:val="tx1"/>
            </w14:solidFill>
          </w14:textFill>
        </w:rPr>
        <w:t>指标完成率为</w:t>
      </w:r>
      <w:r>
        <w:rPr>
          <w:rFonts w:hint="eastAsia" w:ascii="仿宋_GB2312" w:eastAsia="仿宋_GB2312"/>
          <w:bCs/>
          <w:color w:val="000000" w:themeColor="text1"/>
          <w:spacing w:val="-4"/>
          <w:sz w:val="32"/>
          <w:szCs w:val="32"/>
          <w:highlight w:val="none"/>
          <w:lang w:val="en-US" w:eastAsia="zh-CN"/>
          <w14:textFill>
            <w14:solidFill>
              <w14:schemeClr w14:val="tx1"/>
            </w14:solidFill>
          </w14:textFill>
        </w:rPr>
        <w:t>100</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eastAsia="zh-CN"/>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年中绩效运行监控完成值与全年</w:t>
      </w:r>
      <w:r>
        <w:rPr>
          <w:rFonts w:hint="eastAsia" w:ascii="仿宋_GB2312" w:eastAsia="仿宋_GB2312"/>
          <w:color w:val="000000" w:themeColor="text1"/>
          <w:sz w:val="32"/>
          <w:szCs w:val="32"/>
          <w:highlight w:val="none"/>
          <w14:textFill>
            <w14:solidFill>
              <w14:schemeClr w14:val="tx1"/>
            </w14:solidFill>
          </w14:textFill>
        </w:rPr>
        <w:t>指标完成</w:t>
      </w:r>
      <w:r>
        <w:rPr>
          <w:rFonts w:hint="eastAsia" w:ascii="仿宋_GB2312" w:eastAsia="仿宋_GB2312"/>
          <w:color w:val="000000" w:themeColor="text1"/>
          <w:sz w:val="32"/>
          <w:szCs w:val="32"/>
          <w:highlight w:val="none"/>
          <w:lang w:val="en-US" w:eastAsia="zh-CN"/>
          <w14:textFill>
            <w14:solidFill>
              <w14:schemeClr w14:val="tx1"/>
            </w14:solidFill>
          </w14:textFill>
        </w:rPr>
        <w:t>值均不存在偏差。2023年度本单位全年履职尽责，全年以提高体育公共服务能力和水平为主要目标，</w:t>
      </w:r>
      <w:r>
        <w:rPr>
          <w:rFonts w:hint="eastAsia" w:ascii="仿宋_GB2312" w:hAnsi="仿宋_GB2312" w:eastAsia="仿宋_GB2312" w:cs="仿宋_GB2312"/>
          <w:color w:val="000000" w:themeColor="text1"/>
          <w:sz w:val="32"/>
          <w:szCs w:val="32"/>
          <w:highlight w:val="none"/>
          <w14:textFill>
            <w14:solidFill>
              <w14:schemeClr w14:val="tx1"/>
            </w14:solidFill>
          </w14:textFill>
        </w:rPr>
        <w:t>负责文物保护管理、抢救维修、考古发掘、科技研究、文物鉴定以及宣传教育等工作。</w:t>
      </w:r>
    </w:p>
    <w:p>
      <w:pPr>
        <w:spacing w:line="570" w:lineRule="exact"/>
        <w:ind w:firstLine="640"/>
        <w:rPr>
          <w:rFonts w:hint="eastAsia"/>
          <w:color w:val="000000" w:themeColor="text1"/>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综上，该指标分值10分，得10分。</w:t>
      </w:r>
    </w:p>
    <w:p>
      <w:pPr>
        <w:pStyle w:val="3"/>
        <w:numPr>
          <w:ilvl w:val="0"/>
          <w:numId w:val="4"/>
        </w:numPr>
        <w:spacing w:line="570" w:lineRule="exact"/>
        <w:ind w:firstLine="640"/>
        <w:rPr>
          <w:rFonts w:hint="eastAsia" w:ascii="黑体" w:hAnsi="黑体"/>
          <w:b w:val="0"/>
          <w:color w:val="000000" w:themeColor="text1"/>
          <w:sz w:val="32"/>
          <w:szCs w:val="32"/>
          <w:highlight w:val="none"/>
          <w:lang w:val="en-US" w:eastAsia="zh-CN"/>
          <w14:textFill>
            <w14:solidFill>
              <w14:schemeClr w14:val="tx1"/>
            </w14:solidFill>
          </w14:textFill>
        </w:rPr>
      </w:pPr>
      <w:r>
        <w:rPr>
          <w:rFonts w:hint="eastAsia" w:ascii="黑体" w:hAnsi="黑体"/>
          <w:b w:val="0"/>
          <w:color w:val="000000" w:themeColor="text1"/>
          <w:sz w:val="32"/>
          <w:szCs w:val="32"/>
          <w:highlight w:val="none"/>
          <w:lang w:val="en-US" w:eastAsia="zh-CN"/>
          <w14:textFill>
            <w14:solidFill>
              <w14:schemeClr w14:val="tx1"/>
            </w14:solidFill>
          </w14:textFill>
        </w:rPr>
        <w:t>评价结论</w:t>
      </w:r>
    </w:p>
    <w:p>
      <w:pPr>
        <w:spacing w:line="570" w:lineRule="exact"/>
        <w:ind w:firstLine="640"/>
        <w:rPr>
          <w:rFonts w:hint="default"/>
          <w:color w:val="000000" w:themeColor="text1"/>
          <w:highlight w:val="none"/>
          <w:lang w:val="en-US" w:eastAsia="zh-CN"/>
          <w14:textFill>
            <w14:solidFill>
              <w14:schemeClr w14:val="tx1"/>
            </w14:solidFill>
          </w14:textFill>
        </w:rPr>
      </w:pPr>
      <w:r>
        <w:rPr>
          <w:rFonts w:hint="eastAsia" w:ascii="仿宋_GB2312" w:eastAsia="仿宋_GB2312"/>
          <w:color w:val="000000" w:themeColor="text1"/>
          <w:sz w:val="32"/>
          <w:szCs w:val="32"/>
          <w:highlight w:val="none"/>
          <w:lang w:val="en-US" w:eastAsia="zh-CN"/>
          <w14:textFill>
            <w14:solidFill>
              <w14:schemeClr w14:val="tx1"/>
            </w14:solidFill>
          </w14:textFill>
        </w:rPr>
        <w:t>2023年度</w:t>
      </w:r>
      <w:r>
        <w:rPr>
          <w:rStyle w:val="16"/>
          <w:rFonts w:hint="eastAsia" w:ascii="仿宋_GB2312" w:hAnsi="仿宋_GB2312" w:eastAsia="仿宋_GB2312" w:cs="仿宋_GB2312"/>
          <w:b w:val="0"/>
          <w:color w:val="000000" w:themeColor="text1"/>
          <w:sz w:val="32"/>
          <w:szCs w:val="32"/>
          <w:highlight w:val="none"/>
          <w:lang w:val="en-US" w:eastAsia="zh-CN" w:bidi="ar"/>
          <w14:textFill>
            <w14:solidFill>
              <w14:schemeClr w14:val="tx1"/>
            </w14:solidFill>
          </w14:textFill>
        </w:rPr>
        <w:t>沙湾市文化体育广播电视和旅游局</w:t>
      </w:r>
      <w:r>
        <w:rPr>
          <w:rFonts w:hint="eastAsia" w:ascii="仿宋_GB2312" w:eastAsia="仿宋_GB2312"/>
          <w:color w:val="000000" w:themeColor="text1"/>
          <w:sz w:val="32"/>
          <w:szCs w:val="32"/>
          <w:highlight w:val="none"/>
          <w:lang w:val="en-US" w:eastAsia="zh-CN"/>
          <w14:textFill>
            <w14:solidFill>
              <w14:schemeClr w14:val="tx1"/>
            </w14:solidFill>
          </w14:textFill>
        </w:rPr>
        <w:t>部门整体支出绩效自评综合得分88.8分</w:t>
      </w:r>
      <w:r>
        <w:rPr>
          <w:rFonts w:hint="eastAsia" w:ascii="仿宋_GB2312" w:eastAsia="仿宋_GB2312"/>
          <w:color w:val="000000" w:themeColor="text1"/>
          <w:sz w:val="32"/>
          <w:szCs w:val="32"/>
          <w:highlight w:val="none"/>
          <w14:textFill>
            <w14:solidFill>
              <w14:schemeClr w14:val="tx1"/>
            </w14:solidFill>
          </w14:textFill>
        </w:rPr>
        <w:t>，</w:t>
      </w:r>
      <w:r>
        <w:rPr>
          <w:rFonts w:hint="eastAsia" w:ascii="仿宋_GB2312" w:eastAsia="仿宋_GB2312"/>
          <w:color w:val="000000" w:themeColor="text1"/>
          <w:sz w:val="32"/>
          <w:szCs w:val="32"/>
          <w:highlight w:val="none"/>
          <w:lang w:val="en-US" w:eastAsia="zh-CN"/>
          <w14:textFill>
            <w14:solidFill>
              <w14:schemeClr w14:val="tx1"/>
            </w14:solidFill>
          </w14:textFill>
        </w:rPr>
        <w:t>评价结果为“良”。</w:t>
      </w:r>
    </w:p>
    <w:p>
      <w:pPr>
        <w:pStyle w:val="3"/>
        <w:spacing w:line="570" w:lineRule="exact"/>
        <w:ind w:firstLine="640"/>
        <w:rPr>
          <w:rFonts w:hint="default" w:ascii="黑体" w:hAnsi="黑体" w:eastAsia="黑体"/>
          <w:b w:val="0"/>
          <w:color w:val="000000" w:themeColor="text1"/>
          <w:sz w:val="32"/>
          <w:szCs w:val="32"/>
          <w:highlight w:val="none"/>
          <w:lang w:val="en-US" w:eastAsia="zh-CN"/>
          <w14:textFill>
            <w14:solidFill>
              <w14:schemeClr w14:val="tx1"/>
            </w14:solidFill>
          </w14:textFill>
        </w:rPr>
      </w:pPr>
      <w:r>
        <w:rPr>
          <w:rFonts w:hint="eastAsia" w:ascii="黑体" w:hAnsi="黑体"/>
          <w:b w:val="0"/>
          <w:color w:val="000000" w:themeColor="text1"/>
          <w:sz w:val="32"/>
          <w:szCs w:val="32"/>
          <w:highlight w:val="none"/>
          <w:lang w:val="en-US" w:eastAsia="zh-CN"/>
          <w14:textFill>
            <w14:solidFill>
              <w14:schemeClr w14:val="tx1"/>
            </w14:solidFill>
          </w14:textFill>
        </w:rPr>
        <w:t>五</w:t>
      </w:r>
      <w:r>
        <w:rPr>
          <w:rFonts w:hint="eastAsia" w:ascii="黑体" w:hAnsi="黑体"/>
          <w:b w:val="0"/>
          <w:color w:val="000000" w:themeColor="text1"/>
          <w:sz w:val="32"/>
          <w:szCs w:val="32"/>
          <w:highlight w:val="none"/>
          <w14:textFill>
            <w14:solidFill>
              <w14:schemeClr w14:val="tx1"/>
            </w14:solidFill>
          </w14:textFill>
        </w:rPr>
        <w:t>、存在的主要问题</w:t>
      </w:r>
      <w:r>
        <w:rPr>
          <w:rFonts w:hint="eastAsia" w:ascii="黑体" w:hAnsi="黑体"/>
          <w:b w:val="0"/>
          <w:color w:val="000000" w:themeColor="text1"/>
          <w:sz w:val="32"/>
          <w:szCs w:val="32"/>
          <w:highlight w:val="none"/>
          <w:lang w:val="en-US" w:eastAsia="zh-CN"/>
          <w14:textFill>
            <w14:solidFill>
              <w14:schemeClr w14:val="tx1"/>
            </w14:solidFill>
          </w14:textFill>
        </w:rPr>
        <w:t>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1、部分项目资金支付进度滞后。</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2、内控制度需进一步完善，随着资金管理改革的进一步推进，我单位内部机构进行了相应的优化，建立健全了财务管理制度、固定资产管理制度、费用报销规程等制度，但仍需进一步强化财务约束监督体制。</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sz w:val="32"/>
          <w:szCs w:val="32"/>
          <w:highlight w:val="none"/>
          <w14:textFill>
            <w14:solidFill>
              <w14:schemeClr w14:val="tx1"/>
            </w14:solidFill>
          </w14:textFill>
        </w:rPr>
        <w:t>预算编制前根据年度内单位可预见的工作任务，确定了单位年度预算目标，细化了预算指标，但是在实际支付过程中，个别时候未严格按照预算指标执行。财政公用经费不足。</w:t>
      </w:r>
    </w:p>
    <w:p>
      <w:pPr>
        <w:pStyle w:val="3"/>
        <w:spacing w:line="570" w:lineRule="exact"/>
        <w:ind w:firstLine="640"/>
        <w:rPr>
          <w:rFonts w:ascii="仿宋_GB2312" w:eastAsia="仿宋_GB2312"/>
          <w:bCs/>
          <w:color w:val="000000" w:themeColor="text1"/>
          <w:spacing w:val="-4"/>
          <w:sz w:val="32"/>
          <w:szCs w:val="32"/>
          <w:highlight w:val="none"/>
          <w:lang w:eastAsia="zh-Hans"/>
          <w14:textFill>
            <w14:solidFill>
              <w14:schemeClr w14:val="tx1"/>
            </w14:solidFill>
          </w14:textFill>
        </w:rPr>
      </w:pPr>
      <w:r>
        <w:rPr>
          <w:rFonts w:hint="eastAsia" w:ascii="黑体" w:hAnsi="黑体"/>
          <w:b w:val="0"/>
          <w:color w:val="000000" w:themeColor="text1"/>
          <w:sz w:val="32"/>
          <w:szCs w:val="32"/>
          <w:highlight w:val="none"/>
          <w:lang w:val="en-US" w:eastAsia="zh-CN"/>
          <w14:textFill>
            <w14:solidFill>
              <w14:schemeClr w14:val="tx1"/>
            </w14:solidFill>
          </w14:textFill>
        </w:rPr>
        <w:t>六</w:t>
      </w:r>
      <w:r>
        <w:rPr>
          <w:rFonts w:hint="eastAsia" w:ascii="黑体" w:hAnsi="黑体"/>
          <w:b w:val="0"/>
          <w:color w:val="000000" w:themeColor="text1"/>
          <w:sz w:val="32"/>
          <w:szCs w:val="32"/>
          <w:highlight w:val="none"/>
          <w14:textFill>
            <w14:solidFill>
              <w14:schemeClr w14:val="tx1"/>
            </w14:solidFill>
          </w14:textFill>
        </w:rPr>
        <w:t>、改进措施和建议</w:t>
      </w:r>
    </w:p>
    <w:p>
      <w:pPr>
        <w:pStyle w:val="2"/>
        <w:numPr>
          <w:ilvl w:val="0"/>
          <w:numId w:val="5"/>
        </w:numPr>
        <w:spacing w:line="570" w:lineRule="exact"/>
        <w:ind w:firstLine="643"/>
        <w:rPr>
          <w:rFonts w:ascii="楷体_GB2312" w:hAnsi="楷体_GB2312" w:eastAsia="楷体_GB2312" w:cs="楷体_GB2312"/>
          <w:color w:val="000000" w:themeColor="text1"/>
          <w:sz w:val="32"/>
          <w:highlight w:val="none"/>
          <w:lang w:eastAsia="zh-Hans"/>
          <w14:textFill>
            <w14:solidFill>
              <w14:schemeClr w14:val="tx1"/>
            </w14:solidFill>
          </w14:textFill>
        </w:rPr>
      </w:pPr>
      <w:r>
        <w:rPr>
          <w:rFonts w:hint="eastAsia" w:ascii="楷体_GB2312" w:hAnsi="楷体_GB2312" w:eastAsia="楷体_GB2312" w:cs="楷体_GB2312"/>
          <w:color w:val="000000" w:themeColor="text1"/>
          <w:sz w:val="32"/>
          <w:highlight w:val="none"/>
          <w:lang w:eastAsia="zh-Hans"/>
          <w14:textFill>
            <w14:solidFill>
              <w14:schemeClr w14:val="tx1"/>
            </w14:solidFill>
          </w14:textFill>
        </w:rPr>
        <w:t>改进措施</w:t>
      </w:r>
    </w:p>
    <w:p>
      <w:pPr>
        <w:keepNext w:val="0"/>
        <w:keepLines w:val="0"/>
        <w:pageBreakBefore w:val="0"/>
        <w:widowControl w:val="0"/>
        <w:kinsoku/>
        <w:wordWrap/>
        <w:overflowPunct/>
        <w:topLinePunct w:val="0"/>
        <w:autoSpaceDE/>
        <w:autoSpaceDN/>
        <w:bidi w:val="0"/>
        <w:adjustRightInd/>
        <w:snapToGrid/>
        <w:spacing w:line="560" w:lineRule="exact"/>
        <w:ind w:firstLine="624"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Style w:val="16"/>
          <w:rFonts w:ascii="仿宋_GB2312" w:hAnsi="仿宋_GB2312" w:eastAsia="仿宋_GB2312" w:cs="仿宋_GB2312"/>
          <w:b w:val="0"/>
          <w:bCs w:val="0"/>
          <w:color w:val="000000" w:themeColor="text1"/>
          <w:spacing w:val="-4"/>
          <w:sz w:val="32"/>
          <w:szCs w:val="32"/>
          <w:highlight w:val="none"/>
          <w14:textFill>
            <w14:solidFill>
              <w14:schemeClr w14:val="tx1"/>
            </w14:solidFill>
          </w14:textFill>
        </w:rPr>
        <w:t xml:space="preserve"> </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1、科学合理编制预算，严格执行预算。进一步提高预算编制到位率，做准做全基本支出预算，做全项目支出预算，加强预算支出的审核、跟踪及预算执行情况分析，提高预算编制严谨性和可控性。</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2进一步加强项目资金管理。严格实行项目管理程序化，实现项目申报、实施、拨付、评价全流程监督与控制，规范专项资金管理，提高专项资金的使用效益。</w:t>
      </w:r>
    </w:p>
    <w:p>
      <w:pPr>
        <w:pStyle w:val="2"/>
        <w:numPr>
          <w:ilvl w:val="0"/>
          <w:numId w:val="5"/>
        </w:numPr>
        <w:spacing w:line="570" w:lineRule="exact"/>
        <w:ind w:firstLine="643"/>
        <w:rPr>
          <w:rFonts w:ascii="楷体_GB2312" w:hAnsi="楷体_GB2312" w:eastAsia="楷体_GB2312" w:cs="楷体_GB2312"/>
          <w:color w:val="000000" w:themeColor="text1"/>
          <w:sz w:val="32"/>
          <w:highlight w:val="none"/>
          <w:lang w:eastAsia="zh-Hans"/>
          <w14:textFill>
            <w14:solidFill>
              <w14:schemeClr w14:val="tx1"/>
            </w14:solidFill>
          </w14:textFill>
        </w:rPr>
      </w:pPr>
      <w:r>
        <w:rPr>
          <w:rFonts w:hint="eastAsia" w:ascii="楷体_GB2312" w:hAnsi="楷体_GB2312" w:eastAsia="楷体_GB2312" w:cs="楷体_GB2312"/>
          <w:color w:val="000000" w:themeColor="text1"/>
          <w:sz w:val="32"/>
          <w:highlight w:val="none"/>
          <w:lang w:eastAsia="zh-Hans"/>
          <w14:textFill>
            <w14:solidFill>
              <w14:schemeClr w14:val="tx1"/>
            </w14:solidFill>
          </w14:textFill>
        </w:rPr>
        <w:t>建议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1.高度重视财政预决算工作，加强预算的约束力。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2.加强内部管理，严格执行预算，坚持厉行节约，进一步降低财政支出。</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3.严格财务管理，提高工作效率。</w:t>
      </w:r>
    </w:p>
    <w:p>
      <w:pPr>
        <w:pStyle w:val="3"/>
        <w:spacing w:line="570" w:lineRule="exact"/>
        <w:ind w:firstLine="640"/>
        <w:rPr>
          <w:rFonts w:ascii="黑体" w:hAnsi="黑体"/>
          <w:b w:val="0"/>
          <w:color w:val="000000" w:themeColor="text1"/>
          <w:sz w:val="32"/>
          <w:szCs w:val="32"/>
          <w:highlight w:val="none"/>
          <w14:textFill>
            <w14:solidFill>
              <w14:schemeClr w14:val="tx1"/>
            </w14:solidFill>
          </w14:textFill>
        </w:rPr>
      </w:pPr>
      <w:r>
        <w:rPr>
          <w:rFonts w:hint="eastAsia" w:ascii="黑体" w:hAnsi="黑体"/>
          <w:b w:val="0"/>
          <w:color w:val="000000" w:themeColor="text1"/>
          <w:sz w:val="32"/>
          <w:szCs w:val="32"/>
          <w:highlight w:val="none"/>
          <w:lang w:val="en-US" w:eastAsia="zh-CN"/>
          <w14:textFill>
            <w14:solidFill>
              <w14:schemeClr w14:val="tx1"/>
            </w14:solidFill>
          </w14:textFill>
        </w:rPr>
        <w:t>七</w:t>
      </w:r>
      <w:r>
        <w:rPr>
          <w:rFonts w:hint="eastAsia" w:ascii="黑体" w:hAnsi="黑体"/>
          <w:b w:val="0"/>
          <w:color w:val="000000" w:themeColor="text1"/>
          <w:sz w:val="32"/>
          <w:szCs w:val="32"/>
          <w:highlight w:val="none"/>
          <w14:textFill>
            <w14:solidFill>
              <w14:schemeClr w14:val="tx1"/>
            </w14:solidFill>
          </w14:textFill>
        </w:rPr>
        <w:t>、附表</w:t>
      </w:r>
    </w:p>
    <w:p>
      <w:pPr>
        <w:spacing w:line="570" w:lineRule="exact"/>
        <w:ind w:firstLine="640"/>
        <w:rPr>
          <w:rFonts w:ascii="仿宋_GB2312" w:eastAsia="仿宋_GB2312"/>
          <w:color w:val="000000" w:themeColor="text1"/>
          <w:sz w:val="32"/>
          <w:szCs w:val="32"/>
          <w:highlight w:val="none"/>
          <w14:textFill>
            <w14:solidFill>
              <w14:schemeClr w14:val="tx1"/>
            </w14:solidFill>
          </w14:textFill>
        </w:rPr>
      </w:pPr>
      <w:r>
        <w:rPr>
          <w:rFonts w:hint="eastAsia" w:ascii="仿宋_GB2312" w:eastAsia="仿宋_GB2312"/>
          <w:color w:val="000000" w:themeColor="text1"/>
          <w:sz w:val="32"/>
          <w:szCs w:val="32"/>
          <w:highlight w:val="none"/>
          <w14:textFill>
            <w14:solidFill>
              <w14:schemeClr w14:val="tx1"/>
            </w14:solidFill>
          </w14:textFill>
        </w:rPr>
        <w:t>《部门整体支出绩效目标自评表》</w:t>
      </w:r>
    </w:p>
    <w:p>
      <w:pPr>
        <w:spacing w:line="570" w:lineRule="exact"/>
        <w:ind w:firstLine="640"/>
        <w:rPr>
          <w:rFonts w:ascii="仿宋_GB2312" w:eastAsia="仿宋_GB2312"/>
          <w:color w:val="000000" w:themeColor="text1"/>
          <w:sz w:val="32"/>
          <w:szCs w:val="32"/>
          <w:highlight w:val="none"/>
          <w14:textFill>
            <w14:solidFill>
              <w14:schemeClr w14:val="tx1"/>
            </w14:solidFill>
          </w14:textFill>
        </w:rPr>
      </w:pPr>
    </w:p>
    <w:sectPr>
      <w:headerReference r:id="rId7" w:type="first"/>
      <w:footerReference r:id="rId10" w:type="first"/>
      <w:headerReference r:id="rId5" w:type="default"/>
      <w:footerReference r:id="rId8" w:type="default"/>
      <w:headerReference r:id="rId6" w:type="even"/>
      <w:footerReference r:id="rId9" w:type="even"/>
      <w:pgSz w:w="11906" w:h="16838"/>
      <w:pgMar w:top="1985" w:right="1531" w:bottom="1701" w:left="1531" w:header="851" w:footer="992" w:gutter="0"/>
      <w:cols w:space="425" w:num="1"/>
      <w:titlePg/>
      <w:docGrid w:type="lines" w:linePitch="381"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方正小标宋_GBK">
    <w:panose1 w:val="02000000000000000000"/>
    <w:charset w:val="86"/>
    <w:family w:val="script"/>
    <w:pitch w:val="default"/>
    <w:sig w:usb0="A00002BF" w:usb1="38CF7CFA" w:usb2="00082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Malgun Gothic Semilight">
    <w:altName w:val="宋体"/>
    <w:panose1 w:val="020B0502040204020203"/>
    <w:charset w:val="86"/>
    <w:family w:val="swiss"/>
    <w:pitch w:val="default"/>
    <w:sig w:usb0="00000000" w:usb1="00000000" w:usb2="00000012" w:usb3="00000000" w:csb0="203E01BD" w:csb1="D7FF0000"/>
  </w:font>
  <w:font w:name="楷体_GB2312">
    <w:altName w:val="楷体"/>
    <w:panose1 w:val="02010609030101010101"/>
    <w:charset w:val="86"/>
    <w:family w:val="modern"/>
    <w:pitch w:val="default"/>
    <w:sig w:usb0="00000000" w:usb1="00000000" w:usb2="00000000" w:usb3="00000000" w:csb0="00040000" w:csb1="00000000"/>
  </w:font>
  <w:font w:name="方正仿宋_GBK">
    <w:panose1 w:val="02000000000000000000"/>
    <w:charset w:val="86"/>
    <w:family w:val="auto"/>
    <w:pitch w:val="default"/>
    <w:sig w:usb0="A00002BF" w:usb1="38CF7CFA" w:usb2="00082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194959"/>
      <w:showingPlcHdr/>
    </w:sdtPr>
    <w:sdtContent>
      <w:p>
        <w:pPr>
          <w:pStyle w:val="10"/>
          <w:ind w:firstLine="360"/>
          <w:jc w:val="right"/>
        </w:pPr>
        <w:r>
          <w:t xml:space="preserve">     </w:t>
        </w:r>
      </w:p>
    </w:sdtContent>
  </w:sdt>
  <w:p>
    <w:pPr>
      <w:pStyle w:val="1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left="560"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AB8284"/>
    <w:multiLevelType w:val="singleLevel"/>
    <w:tmpl w:val="96AB8284"/>
    <w:lvl w:ilvl="0" w:tentative="0">
      <w:start w:val="1"/>
      <w:numFmt w:val="decimal"/>
      <w:suff w:val="nothing"/>
      <w:lvlText w:val="（%1）"/>
      <w:lvlJc w:val="left"/>
    </w:lvl>
  </w:abstractNum>
  <w:abstractNum w:abstractNumId="1">
    <w:nsid w:val="EFFE516D"/>
    <w:multiLevelType w:val="singleLevel"/>
    <w:tmpl w:val="EFFE516D"/>
    <w:lvl w:ilvl="0" w:tentative="0">
      <w:start w:val="2"/>
      <w:numFmt w:val="chineseCounting"/>
      <w:suff w:val="nothing"/>
      <w:lvlText w:val="（%1）"/>
      <w:lvlJc w:val="left"/>
      <w:rPr>
        <w:rFonts w:hint="eastAsia"/>
      </w:rPr>
    </w:lvl>
  </w:abstractNum>
  <w:abstractNum w:abstractNumId="2">
    <w:nsid w:val="2DF647DA"/>
    <w:multiLevelType w:val="singleLevel"/>
    <w:tmpl w:val="2DF647DA"/>
    <w:lvl w:ilvl="0" w:tentative="0">
      <w:start w:val="1"/>
      <w:numFmt w:val="chineseCounting"/>
      <w:suff w:val="nothing"/>
      <w:lvlText w:val="（%1）"/>
      <w:lvlJc w:val="left"/>
      <w:pPr>
        <w:ind w:left="0" w:firstLine="420"/>
      </w:pPr>
      <w:rPr>
        <w:rFonts w:hint="eastAsia"/>
      </w:rPr>
    </w:lvl>
  </w:abstractNum>
  <w:abstractNum w:abstractNumId="3">
    <w:nsid w:val="3F3F91C3"/>
    <w:multiLevelType w:val="singleLevel"/>
    <w:tmpl w:val="3F3F91C3"/>
    <w:lvl w:ilvl="0" w:tentative="0">
      <w:start w:val="4"/>
      <w:numFmt w:val="chineseCounting"/>
      <w:suff w:val="nothing"/>
      <w:lvlText w:val="%1、"/>
      <w:lvlJc w:val="left"/>
      <w:rPr>
        <w:rFonts w:hint="eastAsia"/>
      </w:rPr>
    </w:lvl>
  </w:abstractNum>
  <w:abstractNum w:abstractNumId="4">
    <w:nsid w:val="622ADB77"/>
    <w:multiLevelType w:val="singleLevel"/>
    <w:tmpl w:val="622ADB77"/>
    <w:lvl w:ilvl="0" w:tentative="0">
      <w:start w:val="1"/>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HorizontalSpacing w:val="140"/>
  <w:drawingGridVerticalSpacing w:val="381"/>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FiMGQ3Yjg5NmM2MWVjZmJiZWQzMzUwMGE1ZTAxZDYifQ=="/>
  </w:docVars>
  <w:rsids>
    <w:rsidRoot w:val="005736CA"/>
    <w:rsid w:val="000127F0"/>
    <w:rsid w:val="00012F5F"/>
    <w:rsid w:val="00117D29"/>
    <w:rsid w:val="00164618"/>
    <w:rsid w:val="001F423C"/>
    <w:rsid w:val="00201A4A"/>
    <w:rsid w:val="002153DD"/>
    <w:rsid w:val="002640E4"/>
    <w:rsid w:val="00284F01"/>
    <w:rsid w:val="002C034A"/>
    <w:rsid w:val="00346A15"/>
    <w:rsid w:val="003B184C"/>
    <w:rsid w:val="003F473D"/>
    <w:rsid w:val="00455E2F"/>
    <w:rsid w:val="004D4927"/>
    <w:rsid w:val="00523705"/>
    <w:rsid w:val="005736CA"/>
    <w:rsid w:val="005D3F17"/>
    <w:rsid w:val="005E5D6E"/>
    <w:rsid w:val="005F7A93"/>
    <w:rsid w:val="00617C63"/>
    <w:rsid w:val="006421F8"/>
    <w:rsid w:val="00722410"/>
    <w:rsid w:val="0077571A"/>
    <w:rsid w:val="007B6305"/>
    <w:rsid w:val="00831326"/>
    <w:rsid w:val="008A1C5E"/>
    <w:rsid w:val="008C7713"/>
    <w:rsid w:val="008D5E7B"/>
    <w:rsid w:val="00931A42"/>
    <w:rsid w:val="009443DA"/>
    <w:rsid w:val="00961F8B"/>
    <w:rsid w:val="009C6EE2"/>
    <w:rsid w:val="009D6347"/>
    <w:rsid w:val="009E68A2"/>
    <w:rsid w:val="00A06AAB"/>
    <w:rsid w:val="00A7110C"/>
    <w:rsid w:val="00A720BD"/>
    <w:rsid w:val="00A87301"/>
    <w:rsid w:val="00A95478"/>
    <w:rsid w:val="00AE0359"/>
    <w:rsid w:val="00B00384"/>
    <w:rsid w:val="00BC7E1D"/>
    <w:rsid w:val="00C11C70"/>
    <w:rsid w:val="00C20D12"/>
    <w:rsid w:val="00C459C8"/>
    <w:rsid w:val="00C5695F"/>
    <w:rsid w:val="00CA0283"/>
    <w:rsid w:val="00CD147B"/>
    <w:rsid w:val="00D2747D"/>
    <w:rsid w:val="00D34758"/>
    <w:rsid w:val="00D81057"/>
    <w:rsid w:val="00D816FD"/>
    <w:rsid w:val="00D8792A"/>
    <w:rsid w:val="00DB3723"/>
    <w:rsid w:val="00DC7874"/>
    <w:rsid w:val="00E122EB"/>
    <w:rsid w:val="00E65EF1"/>
    <w:rsid w:val="00E76F6F"/>
    <w:rsid w:val="00EA0F2D"/>
    <w:rsid w:val="00FD4A54"/>
    <w:rsid w:val="012D3D63"/>
    <w:rsid w:val="01330A6C"/>
    <w:rsid w:val="01487A18"/>
    <w:rsid w:val="01720865"/>
    <w:rsid w:val="0189003F"/>
    <w:rsid w:val="01C42D66"/>
    <w:rsid w:val="02C15BF6"/>
    <w:rsid w:val="03673532"/>
    <w:rsid w:val="0379691F"/>
    <w:rsid w:val="03BE7262"/>
    <w:rsid w:val="04313FCA"/>
    <w:rsid w:val="046072C6"/>
    <w:rsid w:val="048C34B8"/>
    <w:rsid w:val="04993586"/>
    <w:rsid w:val="049D20FD"/>
    <w:rsid w:val="04C42719"/>
    <w:rsid w:val="04CD7ACB"/>
    <w:rsid w:val="04DF6C0B"/>
    <w:rsid w:val="050D0377"/>
    <w:rsid w:val="05560765"/>
    <w:rsid w:val="058D51FF"/>
    <w:rsid w:val="06222B2B"/>
    <w:rsid w:val="06401D70"/>
    <w:rsid w:val="06586D46"/>
    <w:rsid w:val="065A4860"/>
    <w:rsid w:val="06662B98"/>
    <w:rsid w:val="067565EE"/>
    <w:rsid w:val="067716E0"/>
    <w:rsid w:val="06C060E1"/>
    <w:rsid w:val="06DE0B3E"/>
    <w:rsid w:val="06F301EC"/>
    <w:rsid w:val="06F61BCB"/>
    <w:rsid w:val="07012CA8"/>
    <w:rsid w:val="07014925"/>
    <w:rsid w:val="0732C09B"/>
    <w:rsid w:val="073C28DF"/>
    <w:rsid w:val="073D47DD"/>
    <w:rsid w:val="07CA63EE"/>
    <w:rsid w:val="07D07530"/>
    <w:rsid w:val="08170519"/>
    <w:rsid w:val="081D7AA1"/>
    <w:rsid w:val="08436556"/>
    <w:rsid w:val="0856616F"/>
    <w:rsid w:val="08622524"/>
    <w:rsid w:val="086A7EAD"/>
    <w:rsid w:val="08881A41"/>
    <w:rsid w:val="08E604A1"/>
    <w:rsid w:val="08EF03CC"/>
    <w:rsid w:val="092D6339"/>
    <w:rsid w:val="095B1900"/>
    <w:rsid w:val="097A0CA3"/>
    <w:rsid w:val="09AB0DFA"/>
    <w:rsid w:val="09BB563C"/>
    <w:rsid w:val="09DA2AA5"/>
    <w:rsid w:val="0A570F00"/>
    <w:rsid w:val="0AD23979"/>
    <w:rsid w:val="0AE14729"/>
    <w:rsid w:val="0B4635B9"/>
    <w:rsid w:val="0B6C582B"/>
    <w:rsid w:val="0B735A1E"/>
    <w:rsid w:val="0B927CE4"/>
    <w:rsid w:val="0BB6664C"/>
    <w:rsid w:val="0BCC05A7"/>
    <w:rsid w:val="0C1D3D6A"/>
    <w:rsid w:val="0C8959A0"/>
    <w:rsid w:val="0C9B591B"/>
    <w:rsid w:val="0CC024A2"/>
    <w:rsid w:val="0CDD02FC"/>
    <w:rsid w:val="0CE67E95"/>
    <w:rsid w:val="0D2C01B6"/>
    <w:rsid w:val="0D5973A7"/>
    <w:rsid w:val="0D703DA4"/>
    <w:rsid w:val="0D706869"/>
    <w:rsid w:val="0D7C06D5"/>
    <w:rsid w:val="0D7C2CF2"/>
    <w:rsid w:val="0DD643ED"/>
    <w:rsid w:val="0DF75868"/>
    <w:rsid w:val="0E1400AD"/>
    <w:rsid w:val="0E343D9E"/>
    <w:rsid w:val="0E9E33B0"/>
    <w:rsid w:val="0EF905AA"/>
    <w:rsid w:val="0F140AC0"/>
    <w:rsid w:val="0F14215B"/>
    <w:rsid w:val="0F3C74C6"/>
    <w:rsid w:val="0FE06440"/>
    <w:rsid w:val="1049193F"/>
    <w:rsid w:val="10566744"/>
    <w:rsid w:val="10625CF9"/>
    <w:rsid w:val="10950DBA"/>
    <w:rsid w:val="10B52A92"/>
    <w:rsid w:val="10D40475"/>
    <w:rsid w:val="113051CE"/>
    <w:rsid w:val="114E5553"/>
    <w:rsid w:val="1193547A"/>
    <w:rsid w:val="1199679A"/>
    <w:rsid w:val="11B513B1"/>
    <w:rsid w:val="11C51460"/>
    <w:rsid w:val="12160F32"/>
    <w:rsid w:val="129C5FBF"/>
    <w:rsid w:val="132A631E"/>
    <w:rsid w:val="13332723"/>
    <w:rsid w:val="13336BAF"/>
    <w:rsid w:val="134D7FF4"/>
    <w:rsid w:val="13A27094"/>
    <w:rsid w:val="13B42D72"/>
    <w:rsid w:val="13D06674"/>
    <w:rsid w:val="13D44D7F"/>
    <w:rsid w:val="14120FE1"/>
    <w:rsid w:val="142C48EB"/>
    <w:rsid w:val="143E5526"/>
    <w:rsid w:val="14703A03"/>
    <w:rsid w:val="1493153C"/>
    <w:rsid w:val="14B33F8F"/>
    <w:rsid w:val="14F81E1D"/>
    <w:rsid w:val="15343BE6"/>
    <w:rsid w:val="15357338"/>
    <w:rsid w:val="153612FD"/>
    <w:rsid w:val="154136C6"/>
    <w:rsid w:val="15530DDD"/>
    <w:rsid w:val="156F1B1C"/>
    <w:rsid w:val="16050D98"/>
    <w:rsid w:val="164D645C"/>
    <w:rsid w:val="167B52F3"/>
    <w:rsid w:val="16811A70"/>
    <w:rsid w:val="16D97F04"/>
    <w:rsid w:val="16DC79A8"/>
    <w:rsid w:val="16F4505A"/>
    <w:rsid w:val="17136C0E"/>
    <w:rsid w:val="17383D5F"/>
    <w:rsid w:val="177D3D5F"/>
    <w:rsid w:val="17C573FD"/>
    <w:rsid w:val="17D32D00"/>
    <w:rsid w:val="18142FD5"/>
    <w:rsid w:val="18647115"/>
    <w:rsid w:val="187B711C"/>
    <w:rsid w:val="1888431B"/>
    <w:rsid w:val="18B44DAA"/>
    <w:rsid w:val="18C44CD5"/>
    <w:rsid w:val="191D76ED"/>
    <w:rsid w:val="193D3C42"/>
    <w:rsid w:val="195864BB"/>
    <w:rsid w:val="19B05D52"/>
    <w:rsid w:val="19FC0A98"/>
    <w:rsid w:val="1A0D43A0"/>
    <w:rsid w:val="1A50150C"/>
    <w:rsid w:val="1AE12836"/>
    <w:rsid w:val="1AE925F4"/>
    <w:rsid w:val="1B234950"/>
    <w:rsid w:val="1B2706B9"/>
    <w:rsid w:val="1B421E7E"/>
    <w:rsid w:val="1B64461F"/>
    <w:rsid w:val="1B6B7B31"/>
    <w:rsid w:val="1B9C3AE1"/>
    <w:rsid w:val="1C0E12CD"/>
    <w:rsid w:val="1C3C0819"/>
    <w:rsid w:val="1C5A6A79"/>
    <w:rsid w:val="1C603202"/>
    <w:rsid w:val="1C733C2F"/>
    <w:rsid w:val="1C9A0200"/>
    <w:rsid w:val="1CCE5055"/>
    <w:rsid w:val="1CD529D6"/>
    <w:rsid w:val="1D596EA6"/>
    <w:rsid w:val="1DEB6607"/>
    <w:rsid w:val="1DED007E"/>
    <w:rsid w:val="1DFB6F14"/>
    <w:rsid w:val="1E47773B"/>
    <w:rsid w:val="1E4B6E86"/>
    <w:rsid w:val="1EBC4B1C"/>
    <w:rsid w:val="1F0539AE"/>
    <w:rsid w:val="1F7D50C8"/>
    <w:rsid w:val="1F893367"/>
    <w:rsid w:val="1FCB3375"/>
    <w:rsid w:val="1FD2732F"/>
    <w:rsid w:val="1FE173B4"/>
    <w:rsid w:val="1FE72E58"/>
    <w:rsid w:val="200667A3"/>
    <w:rsid w:val="20173A7C"/>
    <w:rsid w:val="203B1607"/>
    <w:rsid w:val="20783813"/>
    <w:rsid w:val="20D564EE"/>
    <w:rsid w:val="20F25F2A"/>
    <w:rsid w:val="20F27184"/>
    <w:rsid w:val="212A2325"/>
    <w:rsid w:val="212F5EEF"/>
    <w:rsid w:val="213A4AC2"/>
    <w:rsid w:val="218738BE"/>
    <w:rsid w:val="21B21339"/>
    <w:rsid w:val="21BF20AD"/>
    <w:rsid w:val="21C43928"/>
    <w:rsid w:val="21C9682B"/>
    <w:rsid w:val="21F330F9"/>
    <w:rsid w:val="22235E02"/>
    <w:rsid w:val="228C2437"/>
    <w:rsid w:val="22AA70CA"/>
    <w:rsid w:val="22EFF4E2"/>
    <w:rsid w:val="23585C4E"/>
    <w:rsid w:val="236A7EFE"/>
    <w:rsid w:val="23765811"/>
    <w:rsid w:val="23805685"/>
    <w:rsid w:val="23880F1A"/>
    <w:rsid w:val="23A43F46"/>
    <w:rsid w:val="23BA6588"/>
    <w:rsid w:val="23DC635E"/>
    <w:rsid w:val="23DF7B59"/>
    <w:rsid w:val="248879F4"/>
    <w:rsid w:val="24A97FDF"/>
    <w:rsid w:val="24BC01CD"/>
    <w:rsid w:val="24C25CD7"/>
    <w:rsid w:val="24D73DEE"/>
    <w:rsid w:val="24D96D65"/>
    <w:rsid w:val="24E04C2E"/>
    <w:rsid w:val="25452366"/>
    <w:rsid w:val="256E5D87"/>
    <w:rsid w:val="258917A9"/>
    <w:rsid w:val="25A82154"/>
    <w:rsid w:val="25FC1269"/>
    <w:rsid w:val="2608337D"/>
    <w:rsid w:val="260C06F0"/>
    <w:rsid w:val="2620433E"/>
    <w:rsid w:val="269D5137"/>
    <w:rsid w:val="26BD3A0A"/>
    <w:rsid w:val="26BE70D6"/>
    <w:rsid w:val="26C301BC"/>
    <w:rsid w:val="26D424C1"/>
    <w:rsid w:val="26E81C8F"/>
    <w:rsid w:val="26F02D0C"/>
    <w:rsid w:val="26FD226B"/>
    <w:rsid w:val="27006B49"/>
    <w:rsid w:val="27367DFA"/>
    <w:rsid w:val="273C2CA3"/>
    <w:rsid w:val="273FB1AE"/>
    <w:rsid w:val="277371F3"/>
    <w:rsid w:val="278E79B1"/>
    <w:rsid w:val="27C51152"/>
    <w:rsid w:val="280447C3"/>
    <w:rsid w:val="284171EC"/>
    <w:rsid w:val="286B4689"/>
    <w:rsid w:val="289F2164"/>
    <w:rsid w:val="28B60026"/>
    <w:rsid w:val="28CA2586"/>
    <w:rsid w:val="29230DF7"/>
    <w:rsid w:val="29350CD3"/>
    <w:rsid w:val="29784CA5"/>
    <w:rsid w:val="29A448CA"/>
    <w:rsid w:val="29B80C93"/>
    <w:rsid w:val="29BB20D2"/>
    <w:rsid w:val="29D44C7C"/>
    <w:rsid w:val="29F33C34"/>
    <w:rsid w:val="2A380298"/>
    <w:rsid w:val="2A7B46E1"/>
    <w:rsid w:val="2A886FA9"/>
    <w:rsid w:val="2AC64A60"/>
    <w:rsid w:val="2C085CD5"/>
    <w:rsid w:val="2C5033C5"/>
    <w:rsid w:val="2C5C6A3E"/>
    <w:rsid w:val="2C757BAF"/>
    <w:rsid w:val="2C8606C5"/>
    <w:rsid w:val="2C8C2E69"/>
    <w:rsid w:val="2C974E3D"/>
    <w:rsid w:val="2D07338F"/>
    <w:rsid w:val="2DB93477"/>
    <w:rsid w:val="2DF65048"/>
    <w:rsid w:val="2E165B2D"/>
    <w:rsid w:val="2E2B41AA"/>
    <w:rsid w:val="2E894F90"/>
    <w:rsid w:val="2E9B6AD8"/>
    <w:rsid w:val="2E9C69DA"/>
    <w:rsid w:val="2EE84ED3"/>
    <w:rsid w:val="2F047E61"/>
    <w:rsid w:val="2F062134"/>
    <w:rsid w:val="2F21289E"/>
    <w:rsid w:val="2F8507EF"/>
    <w:rsid w:val="2F912F13"/>
    <w:rsid w:val="30315A18"/>
    <w:rsid w:val="308C4C8C"/>
    <w:rsid w:val="30A14448"/>
    <w:rsid w:val="31121DE6"/>
    <w:rsid w:val="31793EC1"/>
    <w:rsid w:val="31F242FB"/>
    <w:rsid w:val="31F82192"/>
    <w:rsid w:val="32025E0E"/>
    <w:rsid w:val="32031EA3"/>
    <w:rsid w:val="321C166B"/>
    <w:rsid w:val="32805979"/>
    <w:rsid w:val="32E66065"/>
    <w:rsid w:val="331160AA"/>
    <w:rsid w:val="33436432"/>
    <w:rsid w:val="335D23DB"/>
    <w:rsid w:val="33952FEB"/>
    <w:rsid w:val="33A34B5F"/>
    <w:rsid w:val="33A764C0"/>
    <w:rsid w:val="33AE0918"/>
    <w:rsid w:val="34054358"/>
    <w:rsid w:val="3417608E"/>
    <w:rsid w:val="342E7F12"/>
    <w:rsid w:val="343E7569"/>
    <w:rsid w:val="34496D65"/>
    <w:rsid w:val="345459E1"/>
    <w:rsid w:val="346976B5"/>
    <w:rsid w:val="346B7F37"/>
    <w:rsid w:val="34A94CBA"/>
    <w:rsid w:val="34B92F28"/>
    <w:rsid w:val="35031EB5"/>
    <w:rsid w:val="35D2002F"/>
    <w:rsid w:val="35DE49C0"/>
    <w:rsid w:val="35FA7EA7"/>
    <w:rsid w:val="361C62FD"/>
    <w:rsid w:val="363B291C"/>
    <w:rsid w:val="363E1F63"/>
    <w:rsid w:val="363FC9C7"/>
    <w:rsid w:val="36A94EBF"/>
    <w:rsid w:val="37206D7C"/>
    <w:rsid w:val="375B421F"/>
    <w:rsid w:val="378B4EC7"/>
    <w:rsid w:val="37905AF3"/>
    <w:rsid w:val="37A34800"/>
    <w:rsid w:val="37E02280"/>
    <w:rsid w:val="38026202"/>
    <w:rsid w:val="383B1C65"/>
    <w:rsid w:val="38764896"/>
    <w:rsid w:val="388D632D"/>
    <w:rsid w:val="38962C73"/>
    <w:rsid w:val="38C05FA5"/>
    <w:rsid w:val="38CD3EED"/>
    <w:rsid w:val="38DF1F43"/>
    <w:rsid w:val="390339EB"/>
    <w:rsid w:val="39D66640"/>
    <w:rsid w:val="3A3453FF"/>
    <w:rsid w:val="3A5C0A17"/>
    <w:rsid w:val="3A8248E0"/>
    <w:rsid w:val="3ABF2E00"/>
    <w:rsid w:val="3AF76DD0"/>
    <w:rsid w:val="3AFB14C3"/>
    <w:rsid w:val="3B1D07BC"/>
    <w:rsid w:val="3B447872"/>
    <w:rsid w:val="3B474B41"/>
    <w:rsid w:val="3B8D4322"/>
    <w:rsid w:val="3B9508B7"/>
    <w:rsid w:val="3BCE13F3"/>
    <w:rsid w:val="3BD2350C"/>
    <w:rsid w:val="3C071D01"/>
    <w:rsid w:val="3C463454"/>
    <w:rsid w:val="3CDF1FAA"/>
    <w:rsid w:val="3CFC0EF8"/>
    <w:rsid w:val="3D1026F3"/>
    <w:rsid w:val="3DB561A7"/>
    <w:rsid w:val="3DBA0327"/>
    <w:rsid w:val="3DF791BD"/>
    <w:rsid w:val="3E5049D6"/>
    <w:rsid w:val="3E6F122B"/>
    <w:rsid w:val="3E7865FD"/>
    <w:rsid w:val="3E7F0D7D"/>
    <w:rsid w:val="3E880E32"/>
    <w:rsid w:val="3EC65777"/>
    <w:rsid w:val="3ECE25DA"/>
    <w:rsid w:val="3F24659E"/>
    <w:rsid w:val="3F2E2C76"/>
    <w:rsid w:val="3F3B5C85"/>
    <w:rsid w:val="3F3E0088"/>
    <w:rsid w:val="3F6E51CB"/>
    <w:rsid w:val="3FEF5FA0"/>
    <w:rsid w:val="3FFBD47C"/>
    <w:rsid w:val="40006CAB"/>
    <w:rsid w:val="40085D42"/>
    <w:rsid w:val="40127C48"/>
    <w:rsid w:val="402E562B"/>
    <w:rsid w:val="4046343E"/>
    <w:rsid w:val="40463EAA"/>
    <w:rsid w:val="405007A0"/>
    <w:rsid w:val="4061544C"/>
    <w:rsid w:val="40710710"/>
    <w:rsid w:val="40F61FC7"/>
    <w:rsid w:val="410A06F9"/>
    <w:rsid w:val="4125037B"/>
    <w:rsid w:val="413357D7"/>
    <w:rsid w:val="41447D45"/>
    <w:rsid w:val="41977304"/>
    <w:rsid w:val="41CD393D"/>
    <w:rsid w:val="41F949FB"/>
    <w:rsid w:val="421630C6"/>
    <w:rsid w:val="422B5E31"/>
    <w:rsid w:val="4252595A"/>
    <w:rsid w:val="42AB5B1F"/>
    <w:rsid w:val="43826A74"/>
    <w:rsid w:val="4389139C"/>
    <w:rsid w:val="43B22635"/>
    <w:rsid w:val="43DC59FD"/>
    <w:rsid w:val="44016A8B"/>
    <w:rsid w:val="441B763D"/>
    <w:rsid w:val="443F0A8A"/>
    <w:rsid w:val="44483F56"/>
    <w:rsid w:val="444C0E2A"/>
    <w:rsid w:val="44703E7E"/>
    <w:rsid w:val="44867A3B"/>
    <w:rsid w:val="44FD5F6B"/>
    <w:rsid w:val="450C3B52"/>
    <w:rsid w:val="450F1ADE"/>
    <w:rsid w:val="45103FCB"/>
    <w:rsid w:val="4512666F"/>
    <w:rsid w:val="45675B9E"/>
    <w:rsid w:val="45852FD0"/>
    <w:rsid w:val="458E7F08"/>
    <w:rsid w:val="45B242B5"/>
    <w:rsid w:val="45E33D03"/>
    <w:rsid w:val="46751144"/>
    <w:rsid w:val="46D17A2C"/>
    <w:rsid w:val="470109B9"/>
    <w:rsid w:val="47067546"/>
    <w:rsid w:val="474801E9"/>
    <w:rsid w:val="477232C8"/>
    <w:rsid w:val="478C46CC"/>
    <w:rsid w:val="47AF67A7"/>
    <w:rsid w:val="47B339B4"/>
    <w:rsid w:val="47CB1091"/>
    <w:rsid w:val="48035F02"/>
    <w:rsid w:val="4860434A"/>
    <w:rsid w:val="48D908C8"/>
    <w:rsid w:val="490010A1"/>
    <w:rsid w:val="493537CF"/>
    <w:rsid w:val="49460D45"/>
    <w:rsid w:val="4A74195A"/>
    <w:rsid w:val="4A7A3D76"/>
    <w:rsid w:val="4A8B6AB4"/>
    <w:rsid w:val="4A9F3033"/>
    <w:rsid w:val="4AAE190E"/>
    <w:rsid w:val="4AE70AB8"/>
    <w:rsid w:val="4B7E595B"/>
    <w:rsid w:val="4BB07602"/>
    <w:rsid w:val="4BF32BD8"/>
    <w:rsid w:val="4C421049"/>
    <w:rsid w:val="4C5411D7"/>
    <w:rsid w:val="4C546F81"/>
    <w:rsid w:val="4C564361"/>
    <w:rsid w:val="4C5904F7"/>
    <w:rsid w:val="4C99363E"/>
    <w:rsid w:val="4C9C4F4D"/>
    <w:rsid w:val="4CB96723"/>
    <w:rsid w:val="4CE4471C"/>
    <w:rsid w:val="4D8C30FA"/>
    <w:rsid w:val="4D960495"/>
    <w:rsid w:val="4E1A2AF8"/>
    <w:rsid w:val="4E3E44C6"/>
    <w:rsid w:val="4E9D6C5F"/>
    <w:rsid w:val="4ED065C7"/>
    <w:rsid w:val="4ED60D0E"/>
    <w:rsid w:val="4F5E0911"/>
    <w:rsid w:val="4F6C7D95"/>
    <w:rsid w:val="4F7B7863"/>
    <w:rsid w:val="4FBC77EB"/>
    <w:rsid w:val="4FBD4AFA"/>
    <w:rsid w:val="50206576"/>
    <w:rsid w:val="50303A7C"/>
    <w:rsid w:val="50453781"/>
    <w:rsid w:val="50775F09"/>
    <w:rsid w:val="50A26FF3"/>
    <w:rsid w:val="50FD84BF"/>
    <w:rsid w:val="51525315"/>
    <w:rsid w:val="515C17D5"/>
    <w:rsid w:val="519223A8"/>
    <w:rsid w:val="51B45CF8"/>
    <w:rsid w:val="51CB5559"/>
    <w:rsid w:val="520F3713"/>
    <w:rsid w:val="52CF7054"/>
    <w:rsid w:val="52E52121"/>
    <w:rsid w:val="52EA6EF6"/>
    <w:rsid w:val="52FD6971"/>
    <w:rsid w:val="53223E56"/>
    <w:rsid w:val="53275AB8"/>
    <w:rsid w:val="537D5DC6"/>
    <w:rsid w:val="5388089F"/>
    <w:rsid w:val="53B05A8D"/>
    <w:rsid w:val="53C61A0F"/>
    <w:rsid w:val="53D745FA"/>
    <w:rsid w:val="53E40714"/>
    <w:rsid w:val="53F702D1"/>
    <w:rsid w:val="53F771CD"/>
    <w:rsid w:val="53FD29C3"/>
    <w:rsid w:val="541F5ED8"/>
    <w:rsid w:val="54467244"/>
    <w:rsid w:val="54511C79"/>
    <w:rsid w:val="54520573"/>
    <w:rsid w:val="547D34B8"/>
    <w:rsid w:val="548D7C01"/>
    <w:rsid w:val="54942775"/>
    <w:rsid w:val="549C23F0"/>
    <w:rsid w:val="54B8713B"/>
    <w:rsid w:val="54D77B5C"/>
    <w:rsid w:val="55132799"/>
    <w:rsid w:val="55A768F4"/>
    <w:rsid w:val="55B62452"/>
    <w:rsid w:val="55FE78A0"/>
    <w:rsid w:val="56253786"/>
    <w:rsid w:val="562D3283"/>
    <w:rsid w:val="566C0CF7"/>
    <w:rsid w:val="569156EC"/>
    <w:rsid w:val="56CE2C6C"/>
    <w:rsid w:val="56E95104"/>
    <w:rsid w:val="571924B2"/>
    <w:rsid w:val="572109E0"/>
    <w:rsid w:val="5747400E"/>
    <w:rsid w:val="575751FD"/>
    <w:rsid w:val="578A3F51"/>
    <w:rsid w:val="57BFFF73"/>
    <w:rsid w:val="57CC6BA1"/>
    <w:rsid w:val="57CE3E29"/>
    <w:rsid w:val="581B6FA6"/>
    <w:rsid w:val="58832DC3"/>
    <w:rsid w:val="58F37117"/>
    <w:rsid w:val="594D3747"/>
    <w:rsid w:val="596F52DD"/>
    <w:rsid w:val="59783883"/>
    <w:rsid w:val="59BE14BB"/>
    <w:rsid w:val="59E91E58"/>
    <w:rsid w:val="5A0207F8"/>
    <w:rsid w:val="5A0F7C73"/>
    <w:rsid w:val="5A100CE1"/>
    <w:rsid w:val="5A1256F7"/>
    <w:rsid w:val="5A132397"/>
    <w:rsid w:val="5A2E42CD"/>
    <w:rsid w:val="5A424591"/>
    <w:rsid w:val="5A7F37F9"/>
    <w:rsid w:val="5A837878"/>
    <w:rsid w:val="5A9E7D61"/>
    <w:rsid w:val="5AB5421F"/>
    <w:rsid w:val="5AFB5B71"/>
    <w:rsid w:val="5B0C31BE"/>
    <w:rsid w:val="5B767297"/>
    <w:rsid w:val="5B887615"/>
    <w:rsid w:val="5BBC41DB"/>
    <w:rsid w:val="5BFF2AD9"/>
    <w:rsid w:val="5C016066"/>
    <w:rsid w:val="5C044AD5"/>
    <w:rsid w:val="5C1138CE"/>
    <w:rsid w:val="5C1459ED"/>
    <w:rsid w:val="5C41460B"/>
    <w:rsid w:val="5C57182F"/>
    <w:rsid w:val="5C73505B"/>
    <w:rsid w:val="5C890F37"/>
    <w:rsid w:val="5CBE1F4B"/>
    <w:rsid w:val="5CE65356"/>
    <w:rsid w:val="5CF72BB2"/>
    <w:rsid w:val="5D27565F"/>
    <w:rsid w:val="5D6A538C"/>
    <w:rsid w:val="5D8627AD"/>
    <w:rsid w:val="5DAA0B93"/>
    <w:rsid w:val="5DCE0E18"/>
    <w:rsid w:val="5E2A4BFC"/>
    <w:rsid w:val="5E421FE3"/>
    <w:rsid w:val="5EAC236D"/>
    <w:rsid w:val="5EDB0D8B"/>
    <w:rsid w:val="5F3732A8"/>
    <w:rsid w:val="5F45D8FF"/>
    <w:rsid w:val="5F6B1E1C"/>
    <w:rsid w:val="5F7B9748"/>
    <w:rsid w:val="5F7F5CDE"/>
    <w:rsid w:val="5F856EF9"/>
    <w:rsid w:val="5FCC33D8"/>
    <w:rsid w:val="5FFFCD3B"/>
    <w:rsid w:val="60033350"/>
    <w:rsid w:val="601249DE"/>
    <w:rsid w:val="602266C7"/>
    <w:rsid w:val="603B7C36"/>
    <w:rsid w:val="604527D6"/>
    <w:rsid w:val="60534AA3"/>
    <w:rsid w:val="60680187"/>
    <w:rsid w:val="60832CD9"/>
    <w:rsid w:val="60CB1B4D"/>
    <w:rsid w:val="60DC42D6"/>
    <w:rsid w:val="60DE5CF4"/>
    <w:rsid w:val="61217D14"/>
    <w:rsid w:val="613172F2"/>
    <w:rsid w:val="6142313B"/>
    <w:rsid w:val="614D3BC8"/>
    <w:rsid w:val="618F1CE4"/>
    <w:rsid w:val="61B9511D"/>
    <w:rsid w:val="61CE240F"/>
    <w:rsid w:val="61D23BCD"/>
    <w:rsid w:val="62302D5E"/>
    <w:rsid w:val="62A43EEF"/>
    <w:rsid w:val="63277530"/>
    <w:rsid w:val="6352384A"/>
    <w:rsid w:val="63EEBF49"/>
    <w:rsid w:val="63F5A38F"/>
    <w:rsid w:val="64340981"/>
    <w:rsid w:val="644B1C20"/>
    <w:rsid w:val="6471055F"/>
    <w:rsid w:val="64AE7D1C"/>
    <w:rsid w:val="64B97E4E"/>
    <w:rsid w:val="64C303D9"/>
    <w:rsid w:val="64E5251C"/>
    <w:rsid w:val="652B7127"/>
    <w:rsid w:val="656B579F"/>
    <w:rsid w:val="656E592B"/>
    <w:rsid w:val="65A165E9"/>
    <w:rsid w:val="65C14A06"/>
    <w:rsid w:val="65C15488"/>
    <w:rsid w:val="65FF5BB2"/>
    <w:rsid w:val="660D76B4"/>
    <w:rsid w:val="667136F9"/>
    <w:rsid w:val="66841ED9"/>
    <w:rsid w:val="66B24A2C"/>
    <w:rsid w:val="66D63CF1"/>
    <w:rsid w:val="67024FEA"/>
    <w:rsid w:val="671073D1"/>
    <w:rsid w:val="678E06CE"/>
    <w:rsid w:val="679A602D"/>
    <w:rsid w:val="67E028BC"/>
    <w:rsid w:val="68537B47"/>
    <w:rsid w:val="68620DC9"/>
    <w:rsid w:val="68A9552D"/>
    <w:rsid w:val="68C330AE"/>
    <w:rsid w:val="68D52CCF"/>
    <w:rsid w:val="68E45DE3"/>
    <w:rsid w:val="691D1344"/>
    <w:rsid w:val="6934149F"/>
    <w:rsid w:val="6958671E"/>
    <w:rsid w:val="6A281A45"/>
    <w:rsid w:val="6A3B618C"/>
    <w:rsid w:val="6AA103CB"/>
    <w:rsid w:val="6AA75408"/>
    <w:rsid w:val="6AE30A31"/>
    <w:rsid w:val="6B182CCA"/>
    <w:rsid w:val="6B2560EF"/>
    <w:rsid w:val="6B3FDA0C"/>
    <w:rsid w:val="6B4D19C5"/>
    <w:rsid w:val="6B5F2BF8"/>
    <w:rsid w:val="6B737395"/>
    <w:rsid w:val="6BD55D0B"/>
    <w:rsid w:val="6BD83CC4"/>
    <w:rsid w:val="6BDC47ED"/>
    <w:rsid w:val="6BF1112B"/>
    <w:rsid w:val="6BF76F4D"/>
    <w:rsid w:val="6C0A4626"/>
    <w:rsid w:val="6C1B3303"/>
    <w:rsid w:val="6C1B55BA"/>
    <w:rsid w:val="6C3E28BF"/>
    <w:rsid w:val="6C3F33CD"/>
    <w:rsid w:val="6C7A7040"/>
    <w:rsid w:val="6C8132A9"/>
    <w:rsid w:val="6C9E6020"/>
    <w:rsid w:val="6CAA4D6A"/>
    <w:rsid w:val="6CC20BB5"/>
    <w:rsid w:val="6CC50A30"/>
    <w:rsid w:val="6CC70826"/>
    <w:rsid w:val="6CD77821"/>
    <w:rsid w:val="6D0A6DBB"/>
    <w:rsid w:val="6D40311C"/>
    <w:rsid w:val="6D5E818C"/>
    <w:rsid w:val="6DB167DD"/>
    <w:rsid w:val="6DB43590"/>
    <w:rsid w:val="6DB84EBA"/>
    <w:rsid w:val="6E2D7393"/>
    <w:rsid w:val="6E6E6F1D"/>
    <w:rsid w:val="6E985F27"/>
    <w:rsid w:val="6EA63453"/>
    <w:rsid w:val="6F1C4DB2"/>
    <w:rsid w:val="6F293DA9"/>
    <w:rsid w:val="6F6A53B1"/>
    <w:rsid w:val="6FC83C68"/>
    <w:rsid w:val="6FCE226C"/>
    <w:rsid w:val="6FF67EDB"/>
    <w:rsid w:val="706747BD"/>
    <w:rsid w:val="707165D4"/>
    <w:rsid w:val="70A93F9B"/>
    <w:rsid w:val="70BF78D7"/>
    <w:rsid w:val="70E95E6A"/>
    <w:rsid w:val="712F11E7"/>
    <w:rsid w:val="71790E9D"/>
    <w:rsid w:val="717A6C89"/>
    <w:rsid w:val="71AC1A5C"/>
    <w:rsid w:val="71CD17F6"/>
    <w:rsid w:val="71D4229F"/>
    <w:rsid w:val="71FFE643"/>
    <w:rsid w:val="72117E7E"/>
    <w:rsid w:val="723B41CF"/>
    <w:rsid w:val="728971FB"/>
    <w:rsid w:val="72D06024"/>
    <w:rsid w:val="733878DA"/>
    <w:rsid w:val="734779C2"/>
    <w:rsid w:val="7372294D"/>
    <w:rsid w:val="737A5827"/>
    <w:rsid w:val="73BF73C1"/>
    <w:rsid w:val="73C23920"/>
    <w:rsid w:val="73DE8082"/>
    <w:rsid w:val="73F201AA"/>
    <w:rsid w:val="73F56F27"/>
    <w:rsid w:val="745E33A9"/>
    <w:rsid w:val="74802249"/>
    <w:rsid w:val="74EB4810"/>
    <w:rsid w:val="75155729"/>
    <w:rsid w:val="75266207"/>
    <w:rsid w:val="75763149"/>
    <w:rsid w:val="75E75998"/>
    <w:rsid w:val="75F5233E"/>
    <w:rsid w:val="765D19FC"/>
    <w:rsid w:val="76665502"/>
    <w:rsid w:val="769B14BB"/>
    <w:rsid w:val="76AA596C"/>
    <w:rsid w:val="76CF0956"/>
    <w:rsid w:val="76DF2EC8"/>
    <w:rsid w:val="76EB0D54"/>
    <w:rsid w:val="76ED3EC4"/>
    <w:rsid w:val="76FF89A3"/>
    <w:rsid w:val="77045F8B"/>
    <w:rsid w:val="771C6744"/>
    <w:rsid w:val="7771110B"/>
    <w:rsid w:val="77782D28"/>
    <w:rsid w:val="77AC905F"/>
    <w:rsid w:val="77C20123"/>
    <w:rsid w:val="77F538F8"/>
    <w:rsid w:val="77FEAC2B"/>
    <w:rsid w:val="788A3DEB"/>
    <w:rsid w:val="78D6469A"/>
    <w:rsid w:val="78D82626"/>
    <w:rsid w:val="79111AC7"/>
    <w:rsid w:val="794E098B"/>
    <w:rsid w:val="79550880"/>
    <w:rsid w:val="799E36F7"/>
    <w:rsid w:val="79CD59E4"/>
    <w:rsid w:val="79DB2804"/>
    <w:rsid w:val="79F3334C"/>
    <w:rsid w:val="79FEB46D"/>
    <w:rsid w:val="79FF0C96"/>
    <w:rsid w:val="79FFAC04"/>
    <w:rsid w:val="7A150EF7"/>
    <w:rsid w:val="7A2E1812"/>
    <w:rsid w:val="7A7029D6"/>
    <w:rsid w:val="7A751437"/>
    <w:rsid w:val="7AB2209C"/>
    <w:rsid w:val="7ACB6E73"/>
    <w:rsid w:val="7B033D7C"/>
    <w:rsid w:val="7B233171"/>
    <w:rsid w:val="7B3943CF"/>
    <w:rsid w:val="7B3F5DC1"/>
    <w:rsid w:val="7B634CE1"/>
    <w:rsid w:val="7B7FD7CA"/>
    <w:rsid w:val="7B9C2512"/>
    <w:rsid w:val="7BBEA9F5"/>
    <w:rsid w:val="7BFB110F"/>
    <w:rsid w:val="7C09409A"/>
    <w:rsid w:val="7C287D7E"/>
    <w:rsid w:val="7C3825FA"/>
    <w:rsid w:val="7C768B93"/>
    <w:rsid w:val="7CDD6E09"/>
    <w:rsid w:val="7D4B33BB"/>
    <w:rsid w:val="7D7C4CEA"/>
    <w:rsid w:val="7D866779"/>
    <w:rsid w:val="7D9F3F02"/>
    <w:rsid w:val="7DD74F11"/>
    <w:rsid w:val="7DFD3DE8"/>
    <w:rsid w:val="7E1A72D0"/>
    <w:rsid w:val="7E23956E"/>
    <w:rsid w:val="7E5F0EE8"/>
    <w:rsid w:val="7E7506DB"/>
    <w:rsid w:val="7E851F96"/>
    <w:rsid w:val="7EAB0E13"/>
    <w:rsid w:val="7EB2667C"/>
    <w:rsid w:val="7EBF5C5B"/>
    <w:rsid w:val="7EC854AC"/>
    <w:rsid w:val="7EF90802"/>
    <w:rsid w:val="7F191C23"/>
    <w:rsid w:val="7F240F41"/>
    <w:rsid w:val="7F2EB06B"/>
    <w:rsid w:val="7F961180"/>
    <w:rsid w:val="7F9D7CD8"/>
    <w:rsid w:val="7FBDECD8"/>
    <w:rsid w:val="7FD25BD3"/>
    <w:rsid w:val="7FDC49AB"/>
    <w:rsid w:val="7FF6E8B9"/>
    <w:rsid w:val="872DD8D1"/>
    <w:rsid w:val="8CFD7D71"/>
    <w:rsid w:val="98F6A217"/>
    <w:rsid w:val="9EF3C6D4"/>
    <w:rsid w:val="A6F608B5"/>
    <w:rsid w:val="A6FE92E3"/>
    <w:rsid w:val="AEFB3D80"/>
    <w:rsid w:val="AEFFC91D"/>
    <w:rsid w:val="AF7716E7"/>
    <w:rsid w:val="AFFDAD97"/>
    <w:rsid w:val="AFFF6202"/>
    <w:rsid w:val="BB7FE703"/>
    <w:rsid w:val="BDFF6CD3"/>
    <w:rsid w:val="BEFFE20C"/>
    <w:rsid w:val="BF5D7AAC"/>
    <w:rsid w:val="BFF9D9B7"/>
    <w:rsid w:val="C395EF0F"/>
    <w:rsid w:val="CFED3D00"/>
    <w:rsid w:val="DBBFC787"/>
    <w:rsid w:val="DBFDD1F6"/>
    <w:rsid w:val="DDEB6BB6"/>
    <w:rsid w:val="DFA32394"/>
    <w:rsid w:val="DFB75916"/>
    <w:rsid w:val="DFFD7882"/>
    <w:rsid w:val="ED37835A"/>
    <w:rsid w:val="EDEDE410"/>
    <w:rsid w:val="EDFF5F25"/>
    <w:rsid w:val="F1FB1DCE"/>
    <w:rsid w:val="F3FA1888"/>
    <w:rsid w:val="F5FBA58C"/>
    <w:rsid w:val="F68F753C"/>
    <w:rsid w:val="F737B226"/>
    <w:rsid w:val="F7FEB979"/>
    <w:rsid w:val="F8DD8E88"/>
    <w:rsid w:val="F9EF4DC4"/>
    <w:rsid w:val="FB7FD758"/>
    <w:rsid w:val="FBDE9D71"/>
    <w:rsid w:val="FC6F82DE"/>
    <w:rsid w:val="FC7D2E07"/>
    <w:rsid w:val="FDEFFE62"/>
    <w:rsid w:val="FE3F4E0A"/>
    <w:rsid w:val="FEFCCCB5"/>
    <w:rsid w:val="FEFF8AF8"/>
    <w:rsid w:val="FF8E68D3"/>
    <w:rsid w:val="FFBC7452"/>
    <w:rsid w:val="FFBD87E0"/>
    <w:rsid w:val="FFF7D2F7"/>
    <w:rsid w:val="FFF9762E"/>
    <w:rsid w:val="FFF9BA66"/>
    <w:rsid w:val="FFFB395B"/>
    <w:rsid w:val="FFFDC6A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nhideWhenUsed="0" w:uiPriority="0" w:semiHidden="0" w:name="endnote text"/>
    <w:lsdException w:uiPriority="0" w:name="table of authorities"/>
    <w:lsdException w:uiPriority="0" w:name="macro"/>
    <w:lsdException w:unhideWhenUsed="0" w:uiPriority="0" w:semiHidden="0" w:name="toa heading"/>
    <w:lsdException w:unhideWhenUsed="0" w:uiPriority="0" w:semiHidden="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qFormat="1" w:unhideWhenUsed="0" w:uiPriority="0" w:name="Body Text First Indent"/>
    <w:lsdException w:qFormat="1" w:unhideWhenUsed="0" w:uiPriority="0" w:semiHidden="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200" w:firstLineChars="200"/>
      <w:jc w:val="both"/>
    </w:pPr>
    <w:rPr>
      <w:rFonts w:ascii="仿宋" w:hAnsi="仿宋" w:eastAsia="仿宋" w:cs="Times New Roman"/>
      <w:kern w:val="2"/>
      <w:sz w:val="28"/>
      <w:szCs w:val="24"/>
      <w:lang w:val="en-US" w:eastAsia="zh-CN" w:bidi="ar-SA"/>
    </w:rPr>
  </w:style>
  <w:style w:type="paragraph" w:styleId="3">
    <w:name w:val="heading 1"/>
    <w:basedOn w:val="1"/>
    <w:next w:val="1"/>
    <w:qFormat/>
    <w:uiPriority w:val="0"/>
    <w:pPr>
      <w:keepNext/>
      <w:keepLines/>
      <w:jc w:val="left"/>
      <w:outlineLvl w:val="0"/>
    </w:pPr>
    <w:rPr>
      <w:rFonts w:ascii="宋体" w:hAnsi="宋体" w:eastAsia="黑体"/>
      <w:b/>
      <w:bCs/>
      <w:kern w:val="44"/>
      <w:szCs w:val="44"/>
    </w:rPr>
  </w:style>
  <w:style w:type="paragraph" w:styleId="4">
    <w:name w:val="heading 2"/>
    <w:basedOn w:val="1"/>
    <w:next w:val="1"/>
    <w:unhideWhenUsed/>
    <w:qFormat/>
    <w:uiPriority w:val="0"/>
    <w:pPr>
      <w:keepNext/>
      <w:keepLines/>
      <w:outlineLvl w:val="1"/>
    </w:pPr>
    <w:rPr>
      <w:rFonts w:ascii="Arial" w:hAnsi="Arial" w:eastAsia="楷体"/>
      <w:b/>
      <w:sz w:val="32"/>
    </w:rPr>
  </w:style>
  <w:style w:type="paragraph" w:styleId="2">
    <w:name w:val="heading 3"/>
    <w:basedOn w:val="1"/>
    <w:next w:val="1"/>
    <w:qFormat/>
    <w:uiPriority w:val="0"/>
    <w:pPr>
      <w:keepNext/>
      <w:keepLines/>
      <w:outlineLvl w:val="2"/>
    </w:pPr>
    <w:rPr>
      <w:rFonts w:ascii="仿宋_GB2312" w:hAnsi="仿宋_GB2312" w:eastAsia="仿宋_GB2312"/>
      <w:b/>
      <w:bCs/>
      <w:szCs w:val="32"/>
    </w:rPr>
  </w:style>
  <w:style w:type="character" w:default="1" w:styleId="15">
    <w:name w:val="Default Paragraph Font"/>
    <w:unhideWhenUsed/>
    <w:qFormat/>
    <w:uiPriority w:val="1"/>
  </w:style>
  <w:style w:type="table" w:default="1" w:styleId="14">
    <w:name w:val="Normal Table"/>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Body Text"/>
    <w:basedOn w:val="1"/>
    <w:qFormat/>
    <w:uiPriority w:val="99"/>
    <w:pPr>
      <w:spacing w:after="120"/>
    </w:pPr>
    <w:rPr>
      <w:rFonts w:ascii="Times New Roman" w:hAnsi="Times New Roman" w:eastAsia="宋体"/>
    </w:rPr>
  </w:style>
  <w:style w:type="paragraph" w:styleId="7">
    <w:name w:val="Body Text Indent"/>
    <w:basedOn w:val="1"/>
    <w:next w:val="8"/>
    <w:qFormat/>
    <w:uiPriority w:val="0"/>
    <w:pPr>
      <w:ind w:firstLine="200" w:firstLineChars="200"/>
    </w:pPr>
    <w:rPr>
      <w:rFonts w:ascii="Times New Roman" w:hAnsi="Times New Roman" w:eastAsia="仿宋_GB2312" w:cs="Times New Roman"/>
      <w:sz w:val="32"/>
    </w:rPr>
  </w:style>
  <w:style w:type="paragraph" w:styleId="8">
    <w:name w:val="Normal (Web)"/>
    <w:basedOn w:val="1"/>
    <w:qFormat/>
    <w:uiPriority w:val="99"/>
    <w:pPr>
      <w:spacing w:before="100" w:beforeAutospacing="1" w:after="100" w:afterAutospacing="1"/>
      <w:jc w:val="left"/>
    </w:pPr>
    <w:rPr>
      <w:sz w:val="24"/>
    </w:rPr>
  </w:style>
  <w:style w:type="paragraph" w:styleId="9">
    <w:name w:val="Balloon Text"/>
    <w:basedOn w:val="1"/>
    <w:link w:val="26"/>
    <w:qFormat/>
    <w:uiPriority w:val="0"/>
    <w:pPr>
      <w:spacing w:line="240" w:lineRule="auto"/>
    </w:pPr>
    <w:rPr>
      <w:sz w:val="18"/>
      <w:szCs w:val="18"/>
    </w:rPr>
  </w:style>
  <w:style w:type="paragraph" w:styleId="10">
    <w:name w:val="footer"/>
    <w:basedOn w:val="1"/>
    <w:link w:val="24"/>
    <w:qFormat/>
    <w:uiPriority w:val="99"/>
    <w:pPr>
      <w:tabs>
        <w:tab w:val="center" w:pos="4153"/>
        <w:tab w:val="right" w:pos="8306"/>
      </w:tabs>
      <w:snapToGrid w:val="0"/>
      <w:jc w:val="left"/>
    </w:pPr>
    <w:rPr>
      <w:rFonts w:ascii="Times New Roman" w:hAnsi="Times New Roman"/>
      <w:sz w:val="18"/>
    </w:rPr>
  </w:style>
  <w:style w:type="paragraph" w:styleId="11">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Body Text First Indent"/>
    <w:basedOn w:val="6"/>
    <w:semiHidden/>
    <w:qFormat/>
    <w:uiPriority w:val="0"/>
    <w:pPr>
      <w:ind w:firstLine="420" w:firstLineChars="100"/>
    </w:pPr>
  </w:style>
  <w:style w:type="paragraph" w:styleId="13">
    <w:name w:val="Body Text First Indent 2"/>
    <w:basedOn w:val="7"/>
    <w:qFormat/>
    <w:uiPriority w:val="0"/>
    <w:rPr>
      <w:rFonts w:ascii="Times New Roman" w:hAnsi="Times New Roman" w:eastAsia="宋体" w:cs="Times New Roman"/>
    </w:rPr>
  </w:style>
  <w:style w:type="character" w:styleId="16">
    <w:name w:val="Strong"/>
    <w:basedOn w:val="15"/>
    <w:qFormat/>
    <w:uiPriority w:val="0"/>
    <w:rPr>
      <w:b/>
      <w:bCs/>
    </w:rPr>
  </w:style>
  <w:style w:type="paragraph" w:customStyle="1" w:styleId="17">
    <w:name w:val="正文A"/>
    <w:basedOn w:val="1"/>
    <w:qFormat/>
    <w:uiPriority w:val="4"/>
    <w:pPr>
      <w:widowControl/>
      <w:spacing w:line="580" w:lineRule="exact"/>
      <w:ind w:firstLine="640"/>
      <w:jc w:val="left"/>
    </w:pPr>
    <w:rPr>
      <w:rFonts w:ascii="仿宋_GB2312" w:hAnsi="仿宋_GB2312" w:eastAsia="仿宋_GB2312" w:cs="宋体"/>
      <w:sz w:val="32"/>
      <w:szCs w:val="32"/>
    </w:rPr>
  </w:style>
  <w:style w:type="paragraph" w:customStyle="1" w:styleId="18">
    <w:name w:val="列表段落1"/>
    <w:basedOn w:val="1"/>
    <w:unhideWhenUsed/>
    <w:qFormat/>
    <w:uiPriority w:val="99"/>
    <w:pPr>
      <w:ind w:firstLine="420"/>
    </w:pPr>
  </w:style>
  <w:style w:type="paragraph" w:customStyle="1" w:styleId="19">
    <w:name w:val="样式1"/>
    <w:basedOn w:val="1"/>
    <w:link w:val="21"/>
    <w:qFormat/>
    <w:uiPriority w:val="0"/>
    <w:pPr>
      <w:ind w:firstLine="560"/>
    </w:pPr>
  </w:style>
  <w:style w:type="paragraph" w:customStyle="1" w:styleId="20">
    <w:name w:val="样式2"/>
    <w:basedOn w:val="11"/>
    <w:link w:val="23"/>
    <w:qFormat/>
    <w:uiPriority w:val="0"/>
    <w:pPr>
      <w:pBdr>
        <w:bottom w:val="none" w:color="auto" w:sz="0" w:space="0"/>
      </w:pBdr>
      <w:ind w:firstLine="360"/>
    </w:pPr>
  </w:style>
  <w:style w:type="character" w:customStyle="1" w:styleId="21">
    <w:name w:val="样式1 Char"/>
    <w:basedOn w:val="15"/>
    <w:link w:val="19"/>
    <w:qFormat/>
    <w:uiPriority w:val="0"/>
    <w:rPr>
      <w:rFonts w:ascii="仿宋" w:hAnsi="仿宋" w:eastAsia="仿宋"/>
      <w:kern w:val="2"/>
      <w:sz w:val="28"/>
      <w:szCs w:val="24"/>
    </w:rPr>
  </w:style>
  <w:style w:type="character" w:customStyle="1" w:styleId="22">
    <w:name w:val="页眉 字符"/>
    <w:basedOn w:val="15"/>
    <w:link w:val="11"/>
    <w:qFormat/>
    <w:uiPriority w:val="99"/>
    <w:rPr>
      <w:rFonts w:ascii="仿宋" w:hAnsi="仿宋" w:eastAsia="仿宋"/>
      <w:kern w:val="2"/>
      <w:sz w:val="18"/>
      <w:szCs w:val="18"/>
    </w:rPr>
  </w:style>
  <w:style w:type="character" w:customStyle="1" w:styleId="23">
    <w:name w:val="样式2 Char"/>
    <w:basedOn w:val="22"/>
    <w:link w:val="20"/>
    <w:qFormat/>
    <w:uiPriority w:val="0"/>
    <w:rPr>
      <w:rFonts w:ascii="仿宋" w:hAnsi="仿宋" w:eastAsia="仿宋"/>
      <w:kern w:val="2"/>
      <w:sz w:val="18"/>
      <w:szCs w:val="18"/>
    </w:rPr>
  </w:style>
  <w:style w:type="character" w:customStyle="1" w:styleId="24">
    <w:name w:val="页脚 字符"/>
    <w:basedOn w:val="15"/>
    <w:link w:val="10"/>
    <w:qFormat/>
    <w:uiPriority w:val="99"/>
    <w:rPr>
      <w:rFonts w:eastAsia="仿宋"/>
      <w:kern w:val="2"/>
      <w:sz w:val="18"/>
      <w:szCs w:val="24"/>
    </w:rPr>
  </w:style>
  <w:style w:type="paragraph" w:customStyle="1" w:styleId="25">
    <w:name w:val="闻政-正文段落文字"/>
    <w:basedOn w:val="1"/>
    <w:link w:val="27"/>
    <w:qFormat/>
    <w:uiPriority w:val="3"/>
    <w:pPr>
      <w:spacing w:line="500" w:lineRule="exact"/>
    </w:pPr>
    <w:rPr>
      <w:kern w:val="0"/>
      <w:szCs w:val="28"/>
    </w:rPr>
  </w:style>
  <w:style w:type="character" w:customStyle="1" w:styleId="26">
    <w:name w:val="批注框文本 字符"/>
    <w:basedOn w:val="15"/>
    <w:link w:val="9"/>
    <w:qFormat/>
    <w:uiPriority w:val="0"/>
    <w:rPr>
      <w:rFonts w:ascii="仿宋" w:hAnsi="仿宋" w:eastAsia="仿宋"/>
      <w:kern w:val="2"/>
      <w:sz w:val="18"/>
      <w:szCs w:val="18"/>
    </w:rPr>
  </w:style>
  <w:style w:type="character" w:customStyle="1" w:styleId="27">
    <w:name w:val="闻政-正文段落文字 Char"/>
    <w:link w:val="25"/>
    <w:qFormat/>
    <w:uiPriority w:val="3"/>
    <w:rPr>
      <w:rFonts w:ascii="仿宋" w:hAnsi="仿宋" w:eastAsia="仿宋"/>
      <w:sz w:val="28"/>
      <w:szCs w:val="28"/>
    </w:rPr>
  </w:style>
  <w:style w:type="paragraph" w:customStyle="1" w:styleId="28">
    <w:name w:val="List Paragraph"/>
    <w:basedOn w:val="1"/>
    <w:unhideWhenUsed/>
    <w:qFormat/>
    <w:uiPriority w:val="99"/>
    <w:pPr>
      <w:spacing w:line="240" w:lineRule="auto"/>
      <w:ind w:firstLine="420"/>
    </w:pPr>
    <w:rPr>
      <w:rFonts w:ascii="Calibri" w:hAnsi="Calibri" w:eastAsia="宋体" w:cs="Arial"/>
      <w:sz w:val="21"/>
    </w:rPr>
  </w:style>
  <w:style w:type="character" w:customStyle="1" w:styleId="29">
    <w:name w:val="NormalCharacter"/>
    <w:semiHidden/>
    <w:qFormat/>
    <w:uiPriority w:val="0"/>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24</Pages>
  <Words>10700</Words>
  <Characters>11481</Characters>
  <Lines>67</Lines>
  <Paragraphs>19</Paragraphs>
  <TotalTime>20</TotalTime>
  <ScaleCrop>false</ScaleCrop>
  <LinksUpToDate>false</LinksUpToDate>
  <CharactersWithSpaces>11501</CharactersWithSpaces>
  <Application>WPS Office_11.8.2.12118_F1E327BC-269C-435d-A152-05C5408002CA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2014-11-04T20:08:00Z</dcterms:created>
  <dc:creator>Administrator</dc:creator>
  <cp:lastModifiedBy>Administrator</cp:lastModifiedBy>
  <dcterms:modified xsi:type="dcterms:W3CDTF">2025-02-24T04:37:40Z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2052-11.8.2.12118</vt:lpwstr>
  </property>
  <property fmtid="{D5CDD505-2E9C-101B-9397-08002B2CF9AE}" pid="3" name="ICV">
    <vt:lpwstr>6F8204887D6308FE9CA7B7650F36CEED_42</vt:lpwstr>
  </property>
</Properties>
</file>