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沙湾市文化体育广播电视和旅游局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编制文化和旅游阵地设施重点项目中长期规划并组织实施；指导重点及基层文化和旅游设施建设。</w:t>
      </w:r>
      <w:r>
        <w:rPr>
          <w:rFonts w:hint="eastAsia" w:ascii="仿宋_GB2312" w:eastAsia="仿宋_GB2312"/>
          <w:sz w:val="32"/>
          <w:szCs w:val="32"/>
          <w:highlight w:val="none"/>
          <w:lang w:eastAsia="zh-CN"/>
        </w:rPr>
        <w:t>负责拟定</w:t>
      </w:r>
      <w:r>
        <w:rPr>
          <w:rFonts w:hint="eastAsia" w:ascii="仿宋_GB2312" w:eastAsia="仿宋_GB2312"/>
          <w:sz w:val="32"/>
          <w:szCs w:val="32"/>
          <w:highlight w:val="none"/>
        </w:rPr>
        <w:t>文化和旅游科技创新、产业政策和发展规划并组织实施，组织开展文化和旅游科研工作及成果推广，组织协调文化和旅游行业信息化、标准化工作；指导、促进文化和旅游产业相关门类及新型业态发展；推动产业投融资体系建设；引导文化和旅游产业的社会投资和外资利用工作；促进文化和旅游与相关产业融合发展，推进乡村振兴和扶贫工作，指导文化和旅游产品创新及开发体系建设；指导全地区文化产业园区、基地建设发展。</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负责拟定广播电视</w:t>
      </w:r>
      <w:r>
        <w:rPr>
          <w:rFonts w:hint="eastAsia" w:ascii="仿宋_GB2312" w:eastAsia="仿宋_GB2312"/>
          <w:sz w:val="32"/>
          <w:szCs w:val="32"/>
          <w:highlight w:val="none"/>
        </w:rPr>
        <w:t>事业发展规划并组织实施；</w:t>
      </w:r>
      <w:r>
        <w:rPr>
          <w:rFonts w:hint="eastAsia" w:ascii="仿宋_GB2312" w:eastAsia="仿宋_GB2312"/>
          <w:sz w:val="32"/>
          <w:szCs w:val="32"/>
          <w:highlight w:val="none"/>
          <w:lang w:eastAsia="zh-CN"/>
        </w:rPr>
        <w:t>负责拟定广播电视</w:t>
      </w:r>
      <w:r>
        <w:rPr>
          <w:rFonts w:hint="eastAsia" w:ascii="仿宋_GB2312" w:eastAsia="仿宋_GB2312"/>
          <w:sz w:val="32"/>
          <w:szCs w:val="32"/>
          <w:highlight w:val="none"/>
        </w:rPr>
        <w:t>传输覆盖网和监测监管网的规划，推进广播电视有线、无线、卫星等传输覆盖体系建设；负责广播电视公共服务标准化、均等化工作的推进；负责广播电视“村村通”“户户通”的推进；</w:t>
      </w:r>
      <w:r>
        <w:rPr>
          <w:rFonts w:hint="eastAsia" w:ascii="仿宋_GB2312" w:eastAsia="仿宋_GB2312"/>
          <w:sz w:val="32"/>
          <w:szCs w:val="32"/>
          <w:highlight w:val="none"/>
          <w:lang w:eastAsia="zh-CN"/>
        </w:rPr>
        <w:t>负责拟定广播电视</w:t>
      </w:r>
      <w:r>
        <w:rPr>
          <w:rFonts w:hint="eastAsia" w:ascii="仿宋_GB2312" w:eastAsia="仿宋_GB2312"/>
          <w:sz w:val="32"/>
          <w:szCs w:val="32"/>
          <w:highlight w:val="none"/>
        </w:rPr>
        <w:t>节目评价政策并组织实施，指导、监管广播电视广告播放；负责广播电视行业消费维权。</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负责拟定</w:t>
      </w:r>
      <w:r>
        <w:rPr>
          <w:rFonts w:hint="eastAsia" w:ascii="仿宋_GB2312" w:eastAsia="仿宋_GB2312"/>
          <w:sz w:val="32"/>
          <w:szCs w:val="32"/>
          <w:highlight w:val="none"/>
        </w:rPr>
        <w:t>全县体育事业发展规划；推行全民健身实施计划，推动建立和完善全民健身服务体系，积极申报体育项目，推进全民健身场地设施的建设；负责全县大型体育场馆免费开放工作；负责国民体质监测和社会体育指导员工作队伍建设工作，推动体育标准化管理建设；负责指导组织开展全县群众性体育活动和赛事；负责体育统计工作。</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负责拟定</w:t>
      </w:r>
      <w:r>
        <w:rPr>
          <w:rFonts w:hint="eastAsia" w:ascii="仿宋_GB2312" w:eastAsia="仿宋_GB2312"/>
          <w:sz w:val="32"/>
          <w:szCs w:val="32"/>
          <w:highlight w:val="none"/>
        </w:rPr>
        <w:t>全县文物保护事业发展规划并组织实施；负责文物管理综合统筹协调；负责行政区域内文物资源普查、规划、开发、利用；负责行政区域内文物、文化遗产保护和管理的监督；指导监督文物管理工作；指导民间珍贵文物抢救、征集。</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负责宣传、贯彻文化、旅游市场综合执法的政策和法律、法规、规章；负责普法工作；负责指导、监督文化和旅游市场、文物安全综合执法工作；依法对本行政区域内公民、法人或者其他组织的文化（文物）、体育、广播电视、旅游等经营活动进行监督、检查，对其违法行为进行处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sz w:val="32"/>
          <w:szCs w:val="32"/>
          <w:highlight w:val="none"/>
        </w:rPr>
        <w:t>负责组织创作坚守中华文化立场、体现社会主义核心价值观、具有导向性代表性示范性的文艺作品；负责培育发展壮大代表沙湾水准、体现沙湾特色的文艺团体；负责文艺作品审读审核及去极端化工作，推动各门类艺术、各艺术品种创新性发展；负责指导、协调全县艺术展演、展览以及重大文艺活动；策划经常性组织开展群众性文化活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沙湾市文化体育广播电视和旅游局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w:t>
      </w:r>
    </w:p>
    <w:p>
      <w:pPr>
        <w:keepNext w:val="0"/>
        <w:keepLines w:val="0"/>
        <w:pageBreakBefore w:val="0"/>
        <w:kinsoku/>
        <w:wordWrap/>
        <w:overflowPunct/>
        <w:topLinePunct w:val="0"/>
        <w:bidi w:val="0"/>
        <w:adjustRightInd/>
        <w:snapToGrid/>
        <w:spacing w:line="240" w:lineRule="auto"/>
        <w:ind w:firstLine="640" w:firstLineChars="200"/>
        <w:textAlignment w:val="auto"/>
        <w:rPr>
          <w:rFonts w:ascii="仿宋_GB2312" w:hAnsi="宋体" w:eastAsia="仿宋_GB2312" w:cs="宋体"/>
          <w:kern w:val="0"/>
          <w:sz w:val="32"/>
          <w:szCs w:val="32"/>
          <w:highlight w:val="none"/>
        </w:rPr>
      </w:pPr>
      <w:r>
        <w:rPr>
          <w:rFonts w:hint="eastAsia" w:ascii="仿宋_GB2312" w:eastAsia="仿宋_GB2312"/>
          <w:sz w:val="32"/>
          <w:szCs w:val="32"/>
          <w:highlight w:val="none"/>
        </w:rPr>
        <w:t>新疆塔城地区沙湾市文化体育广播电视和旅游局本级</w:t>
      </w:r>
      <w:r>
        <w:rPr>
          <w:rFonts w:hint="eastAsia" w:ascii="仿宋_GB2312" w:eastAsia="仿宋_GB2312"/>
          <w:sz w:val="32"/>
          <w:szCs w:val="32"/>
          <w:highlight w:val="none"/>
          <w:lang w:val="en-US" w:eastAsia="zh-CN"/>
        </w:rPr>
        <w:t>无下属预算单位，</w:t>
      </w:r>
      <w:r>
        <w:rPr>
          <w:rFonts w:hint="eastAsia" w:ascii="仿宋_GB2312" w:eastAsia="仿宋_GB2312"/>
          <w:sz w:val="32"/>
          <w:szCs w:val="32"/>
          <w:highlight w:val="none"/>
        </w:rPr>
        <w:t>下设6个处室，分别是：沙湾市文旅局办公室、沙湾市鹿角湾景区管理委员会、沙湾市旅游景区管理所、沙湾市文物所、沙湾市体育活动中心、文化旅游执法大队。</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p>
    <w:p>
      <w:pPr>
        <w:keepNext w:val="0"/>
        <w:keepLines w:val="0"/>
        <w:pageBreakBefore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4,179.34万元，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4,179.34万元，使用非财政拨款结余0.00万元，年初结转和结余0.00万元。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4,179.34万元，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4,179.34万元，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减少10,382.24万元</w:t>
      </w:r>
      <w:r>
        <w:rPr>
          <w:rFonts w:hint="eastAsia" w:ascii="仿宋_GB2312" w:eastAsia="仿宋_GB2312"/>
          <w:color w:val="auto"/>
          <w:spacing w:val="0"/>
          <w:sz w:val="32"/>
          <w:szCs w:val="32"/>
          <w:highlight w:val="none"/>
          <w:lang w:eastAsia="zh-CN"/>
        </w:rPr>
        <w:t>，下降71.30%，主要原因是：本年减少了沙湾市体育公园规划、设计、建设支出项目。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4,179.34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4,179.34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本年支出4,179.34万元，其中：基本支出749.11万元，占17.92%；项目支出3,430.24万元，占82.08%；上缴上级支出0.00万元，占0.00%；经营支出0.00万元，占0.00%；对附属单位补助支出0.00万元，占0.00%。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4,179.34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4,179.34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4,179.34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4,179.34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减少10,350.24万元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下降71.24%,</w:t>
      </w:r>
      <w:r>
        <w:rPr>
          <w:rFonts w:hint="eastAsia" w:ascii="仿宋_GB2312" w:eastAsia="仿宋_GB2312"/>
          <w:color w:val="auto"/>
          <w:spacing w:val="0"/>
          <w:sz w:val="32"/>
          <w:szCs w:val="32"/>
          <w:highlight w:val="none"/>
          <w:lang w:eastAsia="zh-CN"/>
        </w:rPr>
        <w:t>主要原因是：本年减少了沙湾市体育公园规划、设计、建设支出项目。与年初预算相比，年初预算数</w:t>
      </w:r>
      <w:r>
        <w:rPr>
          <w:rFonts w:hint="eastAsia" w:ascii="仿宋_GB2312" w:eastAsia="仿宋_GB2312"/>
          <w:color w:val="auto"/>
          <w:spacing w:val="0"/>
          <w:sz w:val="32"/>
          <w:szCs w:val="32"/>
          <w:highlight w:val="none"/>
          <w:lang w:val="zh-CN" w:eastAsia="zh-CN"/>
        </w:rPr>
        <w:t>3,681.14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4,179.34</w:t>
      </w:r>
      <w:r>
        <w:rPr>
          <w:rFonts w:hint="eastAsia" w:ascii="仿宋_GB2312" w:eastAsia="仿宋_GB2312"/>
          <w:color w:val="auto"/>
          <w:spacing w:val="0"/>
          <w:sz w:val="32"/>
          <w:szCs w:val="32"/>
          <w:highlight w:val="none"/>
          <w:lang w:eastAsia="zh-CN"/>
        </w:rPr>
        <w:t>万元，预决算差异率13.53%，主要原因是：年中追加了鹿角湾景区建设项目（修路及标识标牌等）、全民健身设施补短板工程中央基建投资（景观河走步道建设）项目。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2023年度一般公共预算财政拨款支出1,733.23万元，占本年支出合计的</w:t>
      </w:r>
      <w:r>
        <w:rPr>
          <w:rFonts w:hint="eastAsia" w:ascii="仿宋_GB2312" w:eastAsia="仿宋_GB2312"/>
          <w:color w:val="auto"/>
          <w:spacing w:val="0"/>
          <w:sz w:val="32"/>
          <w:szCs w:val="32"/>
          <w:highlight w:val="none"/>
          <w:lang w:val="zh-CN" w:eastAsia="zh-CN"/>
        </w:rPr>
        <w:t>41.47%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增加209.17万元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增长13.72%,</w:t>
      </w:r>
      <w:r>
        <w:rPr>
          <w:rFonts w:hint="eastAsia" w:ascii="仿宋_GB2312" w:eastAsia="仿宋_GB2312"/>
          <w:color w:val="auto"/>
          <w:spacing w:val="0"/>
          <w:sz w:val="32"/>
          <w:szCs w:val="32"/>
          <w:highlight w:val="none"/>
          <w:lang w:eastAsia="zh-CN"/>
        </w:rPr>
        <w:t>主要原因是：本年增加了鹿角湾景区建设项目（修路及标识标牌等）、全民健身设施补短板工程中央基建投资（景观河走步道建设）项目。与年初预算相比，年初预算数</w:t>
      </w:r>
      <w:r>
        <w:rPr>
          <w:rFonts w:hint="eastAsia" w:ascii="仿宋_GB2312" w:eastAsia="仿宋_GB2312"/>
          <w:color w:val="auto"/>
          <w:spacing w:val="0"/>
          <w:sz w:val="32"/>
          <w:szCs w:val="32"/>
          <w:highlight w:val="none"/>
          <w:lang w:val="zh-CN" w:eastAsia="zh-CN"/>
        </w:rPr>
        <w:t>3,666.77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1,733.23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-52.73%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本年预算的特定目标类项目</w:t>
      </w:r>
      <w:r>
        <w:rPr>
          <w:rStyle w:val="11"/>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鹿角湾基础设施升级改造项目、非物质文化遗产保护资金项目、沙湾市景区管理所2023年差额工资及社保公积金项目</w:t>
      </w:r>
      <w:r>
        <w:rPr>
          <w:rFonts w:hint="eastAsia" w:ascii="仿宋_GB2312" w:eastAsia="仿宋_GB2312"/>
          <w:color w:val="auto"/>
          <w:spacing w:val="0"/>
          <w:sz w:val="32"/>
          <w:szCs w:val="32"/>
          <w:highlight w:val="none"/>
          <w:lang w:val="en-US" w:eastAsia="zh-CN"/>
        </w:rPr>
        <w:t>未执行</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1,546.54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89.23%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72.73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4.20%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28.93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1.67%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43.08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2.49%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41.94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2.42%</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1.文化旅游体育与传媒支出（类）体育（款）其他体育支出（项）:支出决算数为359.95万元，比上年决算增加359.95万元，增长100%，主要原因是：</w:t>
      </w:r>
      <w:r>
        <w:rPr>
          <w:rFonts w:hint="eastAsia" w:ascii="仿宋_GB2312" w:eastAsia="仿宋_GB2312"/>
          <w:color w:val="auto"/>
          <w:spacing w:val="0"/>
          <w:sz w:val="32"/>
          <w:szCs w:val="32"/>
          <w:highlight w:val="none"/>
          <w:lang w:eastAsia="zh-CN"/>
        </w:rPr>
        <w:t>本年增加了全民健身设施补短板工程中央基建投资（景观河走步道建设）项目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2.文化旅游体育与传媒支出（类）文物（款）文物保护（项）:支出决算数为4.80万元，比上年决算增加2.40万元，增长100.00%，主要原因是：本年增加了</w:t>
      </w:r>
      <w:r>
        <w:rPr>
          <w:rFonts w:hint="eastAsia" w:ascii="仿宋_GB2312" w:hAnsi="仿宋_GB2312" w:eastAsia="仿宋_GB2312" w:cs="仿宋_GB2312"/>
          <w:color w:val="auto"/>
          <w:kern w:val="2"/>
          <w:sz w:val="32"/>
          <w:szCs w:val="32"/>
          <w:highlight w:val="none"/>
          <w:lang w:val="zh-CN" w:eastAsia="zh-CN" w:bidi="ar-SA"/>
        </w:rPr>
        <w:t>文物保护员野外看护人员经费。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3.卫生健康支出（类）行政事业单位医疗（款）行政单位医疗（项）:支出决算数为12.12万元，比上年决算减少6.83万元，下降36.04%，主要原因是：</w:t>
      </w:r>
      <w:r>
        <w:rPr>
          <w:rFonts w:hint="eastAsia" w:ascii="仿宋_GB2312" w:hAnsi="仿宋_GB2312" w:eastAsia="仿宋_GB2312" w:cs="仿宋_GB2312"/>
          <w:color w:val="auto"/>
          <w:kern w:val="2"/>
          <w:sz w:val="32"/>
          <w:szCs w:val="32"/>
          <w:highlight w:val="none"/>
          <w:lang w:val="zh-CN" w:eastAsia="zh-CN" w:bidi="ar-SA"/>
        </w:rPr>
        <w:t>本年调出</w:t>
      </w:r>
      <w:r>
        <w:rPr>
          <w:rFonts w:hint="eastAsia" w:ascii="仿宋_GB2312" w:hAnsi="仿宋_GB2312" w:eastAsia="仿宋_GB2312" w:cs="仿宋_GB2312"/>
          <w:color w:val="auto"/>
          <w:kern w:val="2"/>
          <w:sz w:val="32"/>
          <w:szCs w:val="32"/>
          <w:highlight w:val="none"/>
          <w:lang w:val="en-US" w:eastAsia="zh-CN" w:bidi="ar-SA"/>
        </w:rPr>
        <w:t>行政一人，比上年减少一人行政医保缴费预算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4.卫生健康支出（类）行政事业单位医疗（款）事业单位医疗（项）:支出决算数为12.30万元，比上年决算减少3.53万元，下降22.30%，主要原因是：</w:t>
      </w:r>
      <w:r>
        <w:rPr>
          <w:rFonts w:hint="eastAsia" w:ascii="仿宋_GB2312" w:hAnsi="仿宋_GB2312" w:eastAsia="仿宋_GB2312" w:cs="仿宋_GB2312"/>
          <w:color w:val="auto"/>
          <w:kern w:val="2"/>
          <w:sz w:val="32"/>
          <w:szCs w:val="32"/>
          <w:highlight w:val="none"/>
          <w:lang w:val="zh-CN" w:eastAsia="zh-CN" w:bidi="ar-SA"/>
        </w:rPr>
        <w:t>本年调出</w:t>
      </w:r>
      <w:r>
        <w:rPr>
          <w:rFonts w:hint="eastAsia" w:ascii="仿宋_GB2312" w:hAnsi="仿宋_GB2312" w:eastAsia="仿宋_GB2312" w:cs="仿宋_GB2312"/>
          <w:color w:val="auto"/>
          <w:kern w:val="2"/>
          <w:sz w:val="32"/>
          <w:szCs w:val="32"/>
          <w:highlight w:val="none"/>
          <w:lang w:val="en-US" w:eastAsia="zh-CN" w:bidi="ar-SA"/>
        </w:rPr>
        <w:t>事业一人，比上年减少一人事业医保缴费预算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5.卫生健康支出（类）行政事业单位医疗（款）公务员医疗补助（项）:支出决算数为4.52万元，比上年决算减少3.36万元，下降42.64%，主要原因是：</w:t>
      </w:r>
      <w:r>
        <w:rPr>
          <w:rFonts w:hint="eastAsia" w:ascii="仿宋_GB2312" w:hAnsi="仿宋_GB2312" w:eastAsia="仿宋_GB2312" w:cs="仿宋_GB2312"/>
          <w:color w:val="auto"/>
          <w:kern w:val="2"/>
          <w:sz w:val="32"/>
          <w:szCs w:val="32"/>
          <w:highlight w:val="none"/>
          <w:lang w:val="zh-CN" w:eastAsia="zh-CN" w:bidi="ar-SA"/>
        </w:rPr>
        <w:t>本年调出</w:t>
      </w:r>
      <w:r>
        <w:rPr>
          <w:rFonts w:hint="eastAsia" w:ascii="仿宋_GB2312" w:hAnsi="仿宋_GB2312" w:eastAsia="仿宋_GB2312" w:cs="仿宋_GB2312"/>
          <w:color w:val="auto"/>
          <w:kern w:val="2"/>
          <w:sz w:val="32"/>
          <w:szCs w:val="32"/>
          <w:highlight w:val="none"/>
          <w:lang w:val="en-US" w:eastAsia="zh-CN" w:bidi="ar-SA"/>
        </w:rPr>
        <w:t>行政一人，比上年减少一人行政公务员医保缴费预算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文化旅游体育与传媒支出（类）文化和旅游（款）行政运行（项）:支出决算数为286.55万元，比上年决算减少163.20万元，下降36.29%，主要原因是：2022年基本工资调标补发，基础绩效调标补发，这两项补发工资导致2022年支出远大于2023年工资福利支出，2023年决算比2022年决算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7.住房保障支出（类）住房改革支出（款）住房公积金（项）:支出决算数为43.08万元，比上年决算增加6.05万元，增长16.34%，主要原因是：</w:t>
      </w:r>
      <w:r>
        <w:rPr>
          <w:rFonts w:hint="eastAsia" w:ascii="仿宋_GB2312" w:hAnsi="仿宋_GB2312" w:eastAsia="仿宋_GB2312" w:cs="仿宋_GB2312"/>
          <w:color w:val="auto"/>
          <w:kern w:val="2"/>
          <w:sz w:val="32"/>
          <w:szCs w:val="32"/>
          <w:highlight w:val="none"/>
          <w:lang w:val="zh-CN" w:eastAsia="zh-CN" w:bidi="ar-SA"/>
        </w:rPr>
        <w:t>工资调标，事业单位有新增人员，</w:t>
      </w:r>
      <w:r>
        <w:rPr>
          <w:rFonts w:hint="eastAsia" w:ascii="仿宋_GB2312" w:hAnsi="仿宋_GB2312" w:eastAsia="仿宋_GB2312" w:cs="仿宋_GB2312"/>
          <w:color w:val="auto"/>
          <w:kern w:val="2"/>
          <w:sz w:val="32"/>
          <w:szCs w:val="32"/>
          <w:highlight w:val="none"/>
          <w:lang w:val="en-US" w:eastAsia="zh-CN" w:bidi="ar-SA"/>
        </w:rPr>
        <w:t>导致本年比上年决算增加6.05万元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8.文化旅游体育与传媒支出（类）文化和旅游（款）文化创作与保护（项）:支出决算数为3.02万元，比上年决算增加3.02万元，增长100%，主要原因是：</w:t>
      </w:r>
      <w:r>
        <w:rPr>
          <w:rFonts w:hint="eastAsia" w:ascii="仿宋_GB2312" w:hAnsi="仿宋_GB2312" w:eastAsia="仿宋_GB2312" w:cs="仿宋_GB2312"/>
          <w:color w:val="auto"/>
          <w:kern w:val="2"/>
          <w:sz w:val="32"/>
          <w:szCs w:val="32"/>
          <w:highlight w:val="none"/>
          <w:lang w:val="zh-CN" w:eastAsia="zh-CN" w:bidi="ar-SA"/>
        </w:rPr>
        <w:t>本年增加了非物质文化遗产保护资金项目。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9.文化旅游体育与传媒支出（类）文化和旅游（款）其他文化和旅游支出（项）:支出决算数为629.91万元，比上年决算减少160.16万元，下降20.27%，主要原因是：</w:t>
      </w:r>
      <w:r>
        <w:rPr>
          <w:rFonts w:hint="eastAsia" w:ascii="仿宋_GB2312" w:hAnsi="仿宋_GB2312" w:eastAsia="仿宋_GB2312" w:cs="仿宋_GB2312"/>
          <w:color w:val="auto"/>
          <w:kern w:val="2"/>
          <w:sz w:val="32"/>
          <w:szCs w:val="32"/>
          <w:highlight w:val="none"/>
          <w:lang w:val="zh-CN" w:eastAsia="zh-CN" w:bidi="ar-SA"/>
        </w:rPr>
        <w:t>本年减少了沙湾市农副产品提升增收项目、沙湾市融媒体中心大楼播控中心高清演播室专用设备购置款、智慧大厦建设项目、体育中心建设项目设计费及体育中心建设项目监理费。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10.社会保障和就业支出（类）行政事业单位养老支出（款）事业单位离退休（项）:支出决算数为1.11万元，比上年决算增加1.01万元，增长1010.00%，主要原因是：</w:t>
      </w:r>
      <w:r>
        <w:rPr>
          <w:rFonts w:hint="eastAsia" w:ascii="仿宋_GB2312" w:hAnsi="仿宋_GB2312" w:eastAsia="仿宋_GB2312" w:cs="仿宋_GB2312"/>
          <w:color w:val="auto"/>
          <w:kern w:val="2"/>
          <w:sz w:val="32"/>
          <w:szCs w:val="32"/>
          <w:highlight w:val="none"/>
          <w:lang w:val="zh-CN" w:eastAsia="zh-CN" w:bidi="ar-SA"/>
        </w:rPr>
        <w:t>本年退休工资调标、增加了事业退休人员。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11.社会保障和就业支出（类）行政事业单位养老支出（款）行政单位离退休（项）:支出决算数为10.09万元，比上年决算增加3.28万元，增长48.16%，主要原因是：</w:t>
      </w:r>
      <w:r>
        <w:rPr>
          <w:rFonts w:hint="eastAsia" w:ascii="仿宋_GB2312" w:hAnsi="仿宋_GB2312" w:eastAsia="仿宋_GB2312" w:cs="仿宋_GB2312"/>
          <w:color w:val="auto"/>
          <w:kern w:val="2"/>
          <w:sz w:val="32"/>
          <w:szCs w:val="32"/>
          <w:highlight w:val="none"/>
          <w:lang w:val="zh-CN" w:eastAsia="zh-CN" w:bidi="ar-SA"/>
        </w:rPr>
        <w:t>本年新增</w:t>
      </w:r>
      <w:r>
        <w:rPr>
          <w:rFonts w:hint="eastAsia" w:ascii="仿宋_GB2312" w:hAnsi="仿宋_GB2312" w:eastAsia="仿宋_GB2312" w:cs="仿宋_GB2312"/>
          <w:color w:val="auto"/>
          <w:kern w:val="2"/>
          <w:sz w:val="32"/>
          <w:szCs w:val="32"/>
          <w:highlight w:val="none"/>
          <w:lang w:val="en-US" w:eastAsia="zh-CN" w:bidi="ar-SA"/>
        </w:rPr>
        <w:t>退休</w:t>
      </w:r>
      <w:r>
        <w:rPr>
          <w:rFonts w:hint="eastAsia" w:ascii="仿宋_GB2312" w:hAnsi="仿宋_GB2312" w:eastAsia="仿宋_GB2312" w:cs="仿宋_GB2312"/>
          <w:color w:val="auto"/>
          <w:kern w:val="2"/>
          <w:sz w:val="32"/>
          <w:szCs w:val="32"/>
          <w:highlight w:val="none"/>
          <w:lang w:val="zh-CN" w:eastAsia="zh-CN" w:bidi="ar-SA"/>
        </w:rPr>
        <w:t>人员</w:t>
      </w:r>
      <w:r>
        <w:rPr>
          <w:rFonts w:hint="eastAsia" w:ascii="仿宋_GB2312" w:hAnsi="仿宋_GB2312" w:eastAsia="仿宋_GB2312" w:cs="仿宋_GB2312"/>
          <w:color w:val="auto"/>
          <w:kern w:val="2"/>
          <w:sz w:val="32"/>
          <w:szCs w:val="32"/>
          <w:highlight w:val="none"/>
          <w:lang w:val="en-US" w:eastAsia="zh-CN" w:bidi="ar-SA"/>
        </w:rPr>
        <w:t>一人，退休工资调标，导致退休工资支出增大</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12.社会保障和就业支出（类）行政事业单位养老支出（款）机关事业单位职业年金缴费支出（项）:支出决算数为6.19万元，比上年决算增加6.19万元，增长100%，主要原因是：</w:t>
      </w:r>
      <w:r>
        <w:rPr>
          <w:rFonts w:hint="eastAsia" w:ascii="仿宋_GB2312" w:hAnsi="仿宋_GB2312" w:eastAsia="仿宋_GB2312" w:cs="仿宋_GB2312"/>
          <w:color w:val="auto"/>
          <w:kern w:val="2"/>
          <w:sz w:val="32"/>
          <w:szCs w:val="32"/>
          <w:highlight w:val="none"/>
          <w:lang w:val="zh-CN" w:eastAsia="zh-CN" w:bidi="ar-SA"/>
        </w:rPr>
        <w:t>本年有新增退休人员，缴纳了职业年金。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13.社会保障和就业支出（类）行政事业单位养老支出（款）机关事业单位基本养老保险缴费支出（项）:支出决算数为55.34万元，比上年决算增加4.93万元，增长9.78%，主要原因是：</w:t>
      </w:r>
      <w:r>
        <w:rPr>
          <w:rFonts w:hint="eastAsia" w:ascii="仿宋_GB2312" w:hAnsi="仿宋_GB2312" w:eastAsia="仿宋_GB2312" w:cs="仿宋_GB2312"/>
          <w:color w:val="auto"/>
          <w:kern w:val="2"/>
          <w:sz w:val="32"/>
          <w:szCs w:val="32"/>
          <w:highlight w:val="none"/>
          <w:lang w:val="zh-CN" w:eastAsia="zh-CN" w:bidi="ar-SA"/>
        </w:rPr>
        <w:t>本年</w:t>
      </w:r>
      <w:r>
        <w:rPr>
          <w:rFonts w:hint="eastAsia" w:ascii="仿宋_GB2312" w:hAnsi="仿宋_GB2312" w:eastAsia="仿宋_GB2312" w:cs="仿宋_GB2312"/>
          <w:color w:val="auto"/>
          <w:kern w:val="2"/>
          <w:sz w:val="32"/>
          <w:szCs w:val="32"/>
          <w:highlight w:val="none"/>
          <w:lang w:val="en-US" w:eastAsia="zh-CN" w:bidi="ar-SA"/>
        </w:rPr>
        <w:t>新调入两人，增加了养老缴费支出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14.文化旅游体育与传媒支出（类）其他文化旅游体育与传媒支出（款）其他文化旅游体育与传媒支出（项）:支出决算数为127.29万元，比上年决算增加107.29万元，增长536.45%，主要原因是：</w:t>
      </w:r>
      <w:r>
        <w:rPr>
          <w:rFonts w:hint="eastAsia" w:ascii="仿宋_GB2312" w:hAnsi="仿宋_GB2312" w:eastAsia="仿宋_GB2312" w:cs="仿宋_GB2312"/>
          <w:color w:val="auto"/>
          <w:kern w:val="2"/>
          <w:sz w:val="32"/>
          <w:szCs w:val="32"/>
          <w:highlight w:val="none"/>
          <w:lang w:val="zh-CN" w:eastAsia="zh-CN" w:bidi="ar-SA"/>
        </w:rPr>
        <w:t>本年新增了北京华录乐影科技有限公司影剧院托管费、鹿角湾景区建设项目（修路及标识标牌等）。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15.文化旅游体育与传媒支出（类）广播电视（款）其他广播电视支出（项）:支出决算数为103.78万元，比上年决算增加26.50万元，增长34.29%，主要原因是：</w:t>
      </w:r>
      <w:r>
        <w:rPr>
          <w:rFonts w:hint="eastAsia" w:ascii="仿宋_GB2312" w:hAnsi="仿宋_GB2312" w:eastAsia="仿宋_GB2312" w:cs="仿宋_GB2312"/>
          <w:color w:val="auto"/>
          <w:kern w:val="2"/>
          <w:sz w:val="32"/>
          <w:szCs w:val="32"/>
          <w:highlight w:val="none"/>
          <w:lang w:val="zh-CN" w:eastAsia="zh-CN" w:bidi="ar-SA"/>
        </w:rPr>
        <w:t>本年新增了播控中心无线发射机房建设。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16.文化旅游体育与传媒支出（类）文物（款）博物馆（项）:支出决算数为31.24万元，比上年决算增加30.64万元，增长5106.67%，主要原因是：本年新增了</w:t>
      </w:r>
      <w:r>
        <w:rPr>
          <w:rFonts w:hint="eastAsia" w:ascii="仿宋_GB2312" w:hAnsi="仿宋_GB2312" w:eastAsia="仿宋_GB2312" w:cs="仿宋_GB2312"/>
          <w:color w:val="auto"/>
          <w:kern w:val="2"/>
          <w:sz w:val="32"/>
          <w:szCs w:val="32"/>
          <w:highlight w:val="none"/>
          <w:lang w:val="zh-CN" w:eastAsia="zh-CN" w:bidi="ar-SA"/>
        </w:rPr>
        <w:t>博物馆纪念馆逐步免费开放补助资金。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17.其他支出（类）其他支出（款）其他支出（项）:支出决算数为41.94万元，比上年决算减少5.01万元，下降10.67%，主要原因是：</w:t>
      </w:r>
      <w:r>
        <w:rPr>
          <w:rFonts w:hint="eastAsia" w:ascii="仿宋_GB2312" w:hAnsi="仿宋_GB2312" w:eastAsia="仿宋_GB2312" w:cs="仿宋_GB2312"/>
          <w:color w:val="auto"/>
          <w:kern w:val="2"/>
          <w:sz w:val="32"/>
          <w:szCs w:val="32"/>
          <w:highlight w:val="none"/>
          <w:lang w:val="zh-CN" w:eastAsia="zh-CN" w:bidi="ar-SA"/>
        </w:rPr>
        <w:t>本年减少了工作队经费。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749.11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706.77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抚恤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42.34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办公费、水费、电费、邮电费、差旅费、维修（护）费、培训费、劳务费、工会经费、公务用车运行维护费。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“三公”经费支出14.43万元，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增加3.94万元，</w:t>
      </w:r>
      <w:r>
        <w:rPr>
          <w:rFonts w:hint="eastAsia" w:ascii="仿宋_GB2312" w:eastAsia="仿宋_GB2312"/>
          <w:color w:val="auto"/>
          <w:spacing w:val="0"/>
          <w:sz w:val="32"/>
          <w:szCs w:val="32"/>
          <w:highlight w:val="none"/>
          <w:lang w:val="en-US" w:eastAsia="zh-CN"/>
        </w:rPr>
        <w:t>增长37.56%,</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本年度安全生产工作要求，公务用车出车频率高，公务用车运行维护费增加了</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；公务用车购置及运行维护费支出14.43万元，占100.00%，比上年增加3.94万元，</w:t>
      </w:r>
      <w:r>
        <w:rPr>
          <w:rFonts w:hint="eastAsia" w:ascii="仿宋_GB2312" w:eastAsia="仿宋_GB2312"/>
          <w:color w:val="auto"/>
          <w:spacing w:val="0"/>
          <w:sz w:val="32"/>
          <w:szCs w:val="32"/>
          <w:highlight w:val="none"/>
          <w:lang w:val="en-US" w:eastAsia="zh-CN"/>
        </w:rPr>
        <w:t>增长37.56%,</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本年度安全生产工作要求，公务用车出车频率高，公务用车运行维护费增加了</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公务用车购置及运行维护费14.43万元，其中：公务用车购置费0.00万元，公务用车运行维护费14.43万元。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公务用车运行维护费开支内容包括</w:t>
      </w:r>
      <w:r>
        <w:rPr>
          <w:rFonts w:hint="eastAsia" w:ascii="仿宋_GB2312" w:eastAsia="仿宋_GB2312"/>
          <w:sz w:val="32"/>
          <w:szCs w:val="32"/>
          <w:highlight w:val="none"/>
        </w:rPr>
        <w:t>车辆加油、维护、维修、保险、过路费、车辆检测</w:t>
      </w:r>
      <w:r>
        <w:rPr>
          <w:rFonts w:hint="eastAsia" w:ascii="仿宋_GB2312" w:eastAsia="仿宋_GB2312"/>
          <w:color w:val="auto"/>
          <w:sz w:val="32"/>
          <w:szCs w:val="32"/>
          <w:highlight w:val="none"/>
          <w:lang w:val="zh-CN" w:eastAsia="zh-CN"/>
        </w:rPr>
        <w:t>。公务用车购置数0辆，公务用车保有量7辆。国有资产占用情况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7辆，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预算数14.43万元，决算数14.43万元，预决算差异率0.00%，主要原因是：</w:t>
      </w:r>
      <w:r>
        <w:rPr>
          <w:rFonts w:hint="eastAsia" w:ascii="仿宋_GB2312" w:eastAsia="仿宋_GB2312"/>
          <w:sz w:val="32"/>
          <w:szCs w:val="32"/>
          <w:highlight w:val="none"/>
        </w:rPr>
        <w:t>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rPr>
        <w:t>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预算数14.43万元，决算数14.43万元，预决算差异率0.00%，主要原因是：</w:t>
      </w:r>
      <w:r>
        <w:rPr>
          <w:rFonts w:hint="eastAsia" w:ascii="仿宋_GB2312" w:eastAsia="仿宋_GB2312"/>
          <w:sz w:val="32"/>
          <w:szCs w:val="32"/>
          <w:highlight w:val="none"/>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政府性基金预算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rPr>
        <w:t>收入</w:t>
      </w:r>
      <w:r>
        <w:rPr>
          <w:rFonts w:hint="eastAsia" w:ascii="仿宋_GB2312" w:hAnsi="仿宋_GB2312" w:eastAsia="仿宋_GB2312" w:cs="仿宋_GB2312"/>
          <w:color w:val="auto"/>
          <w:sz w:val="32"/>
          <w:szCs w:val="32"/>
          <w:highlight w:val="none"/>
          <w:lang w:val="en-US" w:eastAsia="zh-CN"/>
        </w:rPr>
        <w:t>总计2,446.11</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其中：年初结转和结余0.00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本年收入2,446.11</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en-US" w:eastAsia="zh-CN"/>
        </w:rPr>
        <w:t>总计2,446.11</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本年支出2,446.11</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rPr>
        <w:t>与上年相比，减少10,559.42万元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下降81.19%</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zh-CN"/>
        </w:rPr>
        <w:t>：本年减少了沙湾市体育公园规划、设计、建设支出，沙湾市文化旅游中心建设及设计支出。与</w:t>
      </w:r>
      <w:r>
        <w:rPr>
          <w:rFonts w:hint="eastAsia" w:ascii="仿宋_GB2312" w:hAnsi="仿宋_GB2312" w:eastAsia="仿宋_GB2312" w:cs="仿宋_GB2312"/>
          <w:color w:val="auto"/>
          <w:sz w:val="32"/>
          <w:szCs w:val="32"/>
          <w:highlight w:val="none"/>
          <w:lang w:val="zh-CN" w:eastAsia="zh-CN"/>
        </w:rPr>
        <w:t>年初预算</w:t>
      </w:r>
      <w:r>
        <w:rPr>
          <w:rFonts w:hint="eastAsia" w:ascii="仿宋_GB2312" w:hAnsi="仿宋_GB2312" w:eastAsia="仿宋_GB2312" w:cs="仿宋_GB2312"/>
          <w:color w:val="auto"/>
          <w:sz w:val="32"/>
          <w:szCs w:val="32"/>
          <w:highlight w:val="none"/>
          <w:lang w:val="zh-CN"/>
        </w:rPr>
        <w:t>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14.37</w:t>
      </w:r>
      <w:r>
        <w:rPr>
          <w:rFonts w:hint="eastAsia" w:ascii="仿宋_GB2312" w:hAnsi="仿宋_GB2312" w:eastAsia="仿宋_GB2312" w:cs="仿宋_GB2312"/>
          <w:color w:val="auto"/>
          <w:sz w:val="32"/>
          <w:szCs w:val="32"/>
          <w:highlight w:val="none"/>
          <w:lang w:val="zh-CN"/>
        </w:rPr>
        <w:t>万元，决算数</w:t>
      </w:r>
      <w:r>
        <w:rPr>
          <w:rFonts w:hint="eastAsia" w:ascii="仿宋_GB2312" w:hAnsi="仿宋_GB2312" w:eastAsia="仿宋_GB2312" w:cs="仿宋_GB2312"/>
          <w:color w:val="auto"/>
          <w:sz w:val="32"/>
          <w:szCs w:val="32"/>
          <w:highlight w:val="none"/>
          <w:lang w:val="en-US" w:eastAsia="zh-CN"/>
        </w:rPr>
        <w:t>2,446.11</w:t>
      </w:r>
      <w:r>
        <w:rPr>
          <w:rFonts w:hint="eastAsia" w:ascii="仿宋_GB2312" w:hAnsi="仿宋_GB2312" w:eastAsia="仿宋_GB2312" w:cs="仿宋_GB2312"/>
          <w:color w:val="auto"/>
          <w:sz w:val="32"/>
          <w:szCs w:val="32"/>
          <w:highlight w:val="none"/>
          <w:lang w:val="zh-CN"/>
        </w:rPr>
        <w:t>万元，预决算差异率16922.34%</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本年增加</w:t>
      </w:r>
      <w:r>
        <w:rPr>
          <w:rFonts w:hint="eastAsia" w:ascii="仿宋_GB2312" w:hAnsi="仿宋_GB2312" w:eastAsia="仿宋_GB2312" w:cs="仿宋_GB2312"/>
          <w:color w:val="auto"/>
          <w:sz w:val="32"/>
          <w:szCs w:val="32"/>
          <w:highlight w:val="none"/>
          <w:lang w:val="zh-CN"/>
        </w:rPr>
        <w:t>了鹿角湾土地出让</w:t>
      </w:r>
      <w:r>
        <w:rPr>
          <w:rFonts w:hint="eastAsia" w:ascii="仿宋_GB2312" w:hAnsi="仿宋_GB2312" w:eastAsia="仿宋_GB2312" w:cs="仿宋_GB2312"/>
          <w:color w:val="auto"/>
          <w:sz w:val="32"/>
          <w:szCs w:val="32"/>
          <w:highlight w:val="none"/>
          <w:lang w:val="en-US" w:eastAsia="zh-CN"/>
        </w:rPr>
        <w:t>项目支出</w:t>
      </w:r>
      <w:r>
        <w:rPr>
          <w:rFonts w:hint="eastAsia" w:ascii="仿宋_GB2312" w:hAnsi="仿宋_GB2312" w:eastAsia="仿宋_GB2312" w:cs="仿宋_GB2312"/>
          <w:color w:val="auto"/>
          <w:sz w:val="32"/>
          <w:szCs w:val="32"/>
          <w:highlight w:val="none"/>
          <w:lang w:val="zh-CN"/>
        </w:rPr>
        <w:t>2,427.46</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zh-CN" w:eastAsia="zh-CN"/>
        </w:rPr>
        <w:t>2,446.11</w:t>
      </w:r>
      <w:r>
        <w:rPr>
          <w:rFonts w:hint="eastAsia" w:ascii="仿宋_GB2312" w:hAnsi="仿宋_GB2312" w:eastAsia="仿宋_GB2312" w:cs="仿宋_GB2312"/>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1.其他支出（类）彩票公益金安排的支出（款）用于体育事业的彩票公益金支出（项）:支出决算数为18.65</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13.12</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237.25%，主要原因是：本年增加了彩票公益金返还款。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2.城乡社区支出（类）国有土地使用权出让收入对应专项债务收入安排的支出（款）其他国有土地使用权出让收入对应专项债务收入安排的支出（项）:支出决算数为2,427.46</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2,427.46</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100%，主要原因是：</w:t>
      </w:r>
      <w:r>
        <w:rPr>
          <w:rFonts w:hint="eastAsia" w:ascii="仿宋_GB2312" w:hAnsi="仿宋_GB2312" w:eastAsia="仿宋_GB2312" w:cs="仿宋_GB2312"/>
          <w:color w:val="auto"/>
          <w:sz w:val="32"/>
          <w:szCs w:val="32"/>
          <w:highlight w:val="none"/>
          <w:lang w:val="en-US" w:eastAsia="zh-CN"/>
        </w:rPr>
        <w:t>本年增加</w:t>
      </w:r>
      <w:r>
        <w:rPr>
          <w:rFonts w:hint="eastAsia" w:ascii="仿宋_GB2312" w:hAnsi="仿宋_GB2312" w:eastAsia="仿宋_GB2312" w:cs="仿宋_GB2312"/>
          <w:color w:val="auto"/>
          <w:sz w:val="32"/>
          <w:szCs w:val="32"/>
          <w:highlight w:val="none"/>
          <w:lang w:val="zh-CN"/>
        </w:rPr>
        <w:t>了鹿角湾土地出让</w:t>
      </w:r>
      <w:r>
        <w:rPr>
          <w:rFonts w:hint="eastAsia" w:ascii="仿宋_GB2312" w:hAnsi="仿宋_GB2312" w:eastAsia="仿宋_GB2312" w:cs="仿宋_GB2312"/>
          <w:color w:val="auto"/>
          <w:sz w:val="32"/>
          <w:szCs w:val="32"/>
          <w:highlight w:val="none"/>
          <w:lang w:val="en-US" w:eastAsia="zh-CN"/>
        </w:rPr>
        <w:t>项目支出</w:t>
      </w:r>
      <w:r>
        <w:rPr>
          <w:rFonts w:hint="eastAsia" w:ascii="仿宋_GB2312" w:hAnsi="仿宋_GB2312" w:eastAsia="仿宋_GB2312" w:cs="仿宋_GB2312"/>
          <w:color w:val="auto"/>
          <w:sz w:val="32"/>
          <w:szCs w:val="32"/>
          <w:highlight w:val="none"/>
          <w:lang w:val="zh-CN"/>
        </w:rPr>
        <w:t>2,427.46</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3.其他支出（类）其他政府性基金及对应专项债务收入安排的支出（款）其他地方自行试点项目收益专项债券收入安排的支出（项）:支出决算数为0.00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减少</w:t>
      </w:r>
      <w:r>
        <w:rPr>
          <w:rFonts w:hint="eastAsia" w:ascii="仿宋_GB2312" w:hAnsi="仿宋_GB2312" w:eastAsia="仿宋_GB2312" w:cs="仿宋_GB2312"/>
          <w:color w:val="auto"/>
          <w:sz w:val="32"/>
          <w:szCs w:val="32"/>
          <w:highlight w:val="none"/>
          <w:lang w:val="zh-CN"/>
        </w:rPr>
        <w:t>13,000.00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下降</w:t>
      </w:r>
      <w:r>
        <w:rPr>
          <w:rFonts w:hint="eastAsia" w:ascii="仿宋_GB2312" w:hAnsi="仿宋_GB2312" w:eastAsia="仿宋_GB2312" w:cs="仿宋_GB2312"/>
          <w:color w:val="auto"/>
          <w:sz w:val="32"/>
          <w:szCs w:val="32"/>
          <w:highlight w:val="none"/>
          <w:lang w:val="zh-CN"/>
        </w:rPr>
        <w:t>100%，主要原因是：本年减少了沙湾市体育公园规划、设计、建设支出、沙湾市文化旅游中心建设及设计支出。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沙湾市文化体育广播电视和旅游局（行政单位和参照公务员法管理事业单位）机关运行经费支出42.34万元，</w:t>
      </w:r>
      <w:r>
        <w:rPr>
          <w:rFonts w:hint="eastAsia" w:ascii="仿宋_GB2312" w:hAnsi="仿宋_GB2312" w:eastAsia="仿宋_GB2312" w:cs="仿宋_GB2312"/>
          <w:color w:val="auto"/>
          <w:sz w:val="32"/>
          <w:szCs w:val="32"/>
          <w:highlight w:val="none"/>
          <w:lang w:val="zh-CN" w:eastAsia="zh-CN"/>
        </w:rPr>
        <w:t>比上年增加12.77万元，增长43.19%，主要原因是：</w:t>
      </w:r>
      <w:r>
        <w:rPr>
          <w:rFonts w:hint="eastAsia" w:ascii="仿宋_GB2312" w:eastAsia="仿宋_GB2312"/>
          <w:sz w:val="32"/>
          <w:szCs w:val="32"/>
          <w:highlight w:val="none"/>
        </w:rPr>
        <w:t>本年度业务量增加，办公费、差旅费等支出相应增加，导致本年度公用经费增加</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3.30万元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其中：政府采购货物支出3.30万元、政府采购工程支出0.00万元、政府采购服务支出0.00万元。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授予中小企业合同金额3.30万元，占政府采购支出总额的100.00%，其中：授予小微企业合同金额3.30万元，占政府采购支出总额的100.00%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17,378.25</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屋33,227.90平方米，价值12,403.43万元。车辆7辆，价值108.93万元，其中：副部（省）级及以上领导用车0辆、主要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用车0辆、机要通信用车0辆、应急保障用车0辆、执法执勤用车2辆、特种专业技术用车0辆、离退休干部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用车0辆、其他用车5辆，其他用车主要是：一般公务用车；单价100万元（含）以上设备（不含车辆）4</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1张</w:t>
      </w:r>
      <w:r>
        <w:rPr>
          <w:rFonts w:hint="eastAsia" w:ascii="仿宋_GB2312" w:hAnsi="仿宋_GB2312" w:eastAsia="仿宋_GB2312" w:cs="仿宋_GB2312"/>
          <w:color w:val="auto"/>
          <w:kern w:val="0"/>
          <w:sz w:val="32"/>
          <w:szCs w:val="32"/>
          <w:highlight w:val="none"/>
          <w:lang w:val="en-US" w:eastAsia="zh-CN"/>
        </w:rPr>
        <w:t>，全年</w:t>
      </w:r>
      <w:r>
        <w:rPr>
          <w:rFonts w:hint="eastAsia" w:ascii="仿宋_GB2312" w:eastAsia="仿宋_GB2312"/>
          <w:color w:val="auto"/>
          <w:sz w:val="32"/>
          <w:szCs w:val="32"/>
          <w:highlight w:val="none"/>
          <w:lang w:val="en-US" w:eastAsia="zh-CN"/>
        </w:rPr>
        <w:t>预算总额4755.82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实际执行总额4179.34</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全年预算数3992.69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全年执行数3430.23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，本单位sm项目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1381.29</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1381.29</w:t>
      </w:r>
      <w:r>
        <w:rPr>
          <w:rFonts w:hint="eastAsia" w:ascii="仿宋_GB2312" w:eastAsia="仿宋_GB2312"/>
          <w:color w:val="auto"/>
          <w:sz w:val="32"/>
          <w:szCs w:val="32"/>
          <w:highlight w:val="none"/>
          <w:lang w:eastAsia="zh-CN"/>
        </w:rPr>
        <w:t>万元，不予以公开。预算绩效管理取得的成效：</w:t>
      </w:r>
      <w:r>
        <w:rPr>
          <w:rFonts w:hint="eastAsia" w:ascii="仿宋_GB2312" w:eastAsia="仿宋_GB2312"/>
          <w:color w:val="auto"/>
          <w:sz w:val="32"/>
          <w:szCs w:val="32"/>
          <w:highlight w:val="none"/>
        </w:rPr>
        <w:t>预算绩效管理取得的成效：一是组织协调文化和旅游行业信息化、标准化工作；指导、促进文化和旅游产</w:t>
      </w:r>
      <w:r>
        <w:rPr>
          <w:rFonts w:hint="eastAsia" w:ascii="仿宋_GB2312" w:eastAsia="仿宋_GB2312"/>
          <w:sz w:val="32"/>
          <w:szCs w:val="32"/>
          <w:highlight w:val="none"/>
        </w:rPr>
        <w:t>业相关门类及新型业态发展；推动产业投融资体系建设；二是引导文化和旅游产业的社会投资和外资利用工作；促进文化和旅游与相关产业融合发展。发现的问题及原因：一是部分项目资金支付进度滞后；二是预算编制前根据年度内单位可预见的工作任务，确定了单位年度预算目标，细化了预算指标，但是在实际支付过程中，个别时候未严格按照预算指标执行。财政公用经费不足。下一步改进措施：一是进一步加强项目资金管理。严格实行项目管理程序化，实现项目申报、实施、拨付、评价全流程监督与控制，规范专项资金管理，提高专项资金的使用效益；二是科学合理编制预算，严格执行预算。进一步提高预算编制到位率，做准做全基本支出预算，做全项目支出预算，加强预算支出的审核、跟踪及预算执行情况分析，提高预算编制严谨性和可控性</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default" w:ascii="黑体" w:hAnsi="黑体" w:eastAsia="黑体"/>
          <w:color w:val="auto"/>
          <w:sz w:val="32"/>
          <w:szCs w:val="32"/>
          <w:highlight w:val="none"/>
          <w:lang w:val="en-US"/>
        </w:rPr>
      </w:pPr>
      <w:bookmarkStart w:id="30" w:name="_Toc24143"/>
      <w:bookmarkStart w:id="31" w:name="_Toc3250"/>
      <w:r>
        <w:rPr>
          <w:rFonts w:hint="eastAsia" w:ascii="仿宋_GB2312" w:hAnsi="仿宋_GB2312" w:eastAsia="仿宋_GB2312" w:cs="仿宋_GB2312"/>
          <w:color w:val="auto"/>
          <w:kern w:val="0"/>
          <w:sz w:val="32"/>
          <w:szCs w:val="32"/>
          <w:highlight w:val="none"/>
          <w:lang w:val="en-US" w:eastAsia="zh-CN"/>
        </w:rPr>
        <w:t>本单位</w:t>
      </w:r>
      <w:r>
        <w:rPr>
          <w:rFonts w:hint="eastAsia" w:ascii="仿宋_GB2312" w:eastAsia="仿宋_GB2312"/>
          <w:color w:val="auto"/>
          <w:sz w:val="32"/>
          <w:szCs w:val="32"/>
          <w:highlight w:val="none"/>
          <w:lang w:eastAsia="zh-CN"/>
        </w:rPr>
        <w:t>sm</w:t>
      </w:r>
      <w:bookmarkStart w:id="48" w:name="_GoBack"/>
      <w:bookmarkEnd w:id="48"/>
      <w:r>
        <w:rPr>
          <w:rFonts w:hint="eastAsia" w:ascii="仿宋_GB2312" w:hAnsi="仿宋_GB2312" w:eastAsia="仿宋_GB2312" w:cs="仿宋_GB2312"/>
          <w:color w:val="auto"/>
          <w:kern w:val="0"/>
          <w:sz w:val="32"/>
          <w:szCs w:val="32"/>
          <w:highlight w:val="none"/>
          <w:lang w:val="en-US" w:eastAsia="zh-CN"/>
        </w:rPr>
        <w:t>项目6个，全年预算数1381.29万元，全年执行数1381.29万元，不予以公开绩效自评表。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DNlMmEyOTEyMDlmYzBlZTk3MjM5ZDQ0MGZlOWIifQ=="/>
    <w:docVar w:name="KSO_WPS_MARK_KEY" w:val="41ee2a61-2d54-4f93-83be-afdb9a40d732"/>
  </w:docVars>
  <w:rsids>
    <w:rsidRoot w:val="00000000"/>
    <w:rsid w:val="00213C59"/>
    <w:rsid w:val="003210CE"/>
    <w:rsid w:val="003D6656"/>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B6715B"/>
    <w:rsid w:val="05E11832"/>
    <w:rsid w:val="05EF4B48"/>
    <w:rsid w:val="05F76ECA"/>
    <w:rsid w:val="06183A24"/>
    <w:rsid w:val="06792773"/>
    <w:rsid w:val="06FD75CA"/>
    <w:rsid w:val="07093795"/>
    <w:rsid w:val="07106AF9"/>
    <w:rsid w:val="07491291"/>
    <w:rsid w:val="07804730"/>
    <w:rsid w:val="079052BE"/>
    <w:rsid w:val="07B13BB2"/>
    <w:rsid w:val="07D926D3"/>
    <w:rsid w:val="08145C21"/>
    <w:rsid w:val="08422688"/>
    <w:rsid w:val="085854ED"/>
    <w:rsid w:val="0879188F"/>
    <w:rsid w:val="08A0354D"/>
    <w:rsid w:val="08CD4C49"/>
    <w:rsid w:val="09015EC6"/>
    <w:rsid w:val="09114954"/>
    <w:rsid w:val="095A5B83"/>
    <w:rsid w:val="096466E3"/>
    <w:rsid w:val="0968304D"/>
    <w:rsid w:val="09AF3D17"/>
    <w:rsid w:val="0A26648B"/>
    <w:rsid w:val="0A7809B7"/>
    <w:rsid w:val="0A7B4867"/>
    <w:rsid w:val="0A840954"/>
    <w:rsid w:val="0A9928ED"/>
    <w:rsid w:val="0B61769D"/>
    <w:rsid w:val="0B8C3ECC"/>
    <w:rsid w:val="0B9C639D"/>
    <w:rsid w:val="0BB052B2"/>
    <w:rsid w:val="0BD33FFC"/>
    <w:rsid w:val="0BE97AC1"/>
    <w:rsid w:val="0C1C4780"/>
    <w:rsid w:val="0C3613A3"/>
    <w:rsid w:val="0C5E519C"/>
    <w:rsid w:val="0C601702"/>
    <w:rsid w:val="0C7227A7"/>
    <w:rsid w:val="0CA52EE8"/>
    <w:rsid w:val="0CBD6988"/>
    <w:rsid w:val="0CD208AC"/>
    <w:rsid w:val="0D172DAA"/>
    <w:rsid w:val="0D4903E8"/>
    <w:rsid w:val="0D7A4A46"/>
    <w:rsid w:val="0E640559"/>
    <w:rsid w:val="0E76520D"/>
    <w:rsid w:val="0ECF491D"/>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20040C"/>
    <w:rsid w:val="17385A05"/>
    <w:rsid w:val="173B3901"/>
    <w:rsid w:val="176747F9"/>
    <w:rsid w:val="17954A6E"/>
    <w:rsid w:val="17BE2C86"/>
    <w:rsid w:val="180059E9"/>
    <w:rsid w:val="184510FD"/>
    <w:rsid w:val="190648B0"/>
    <w:rsid w:val="19071D6C"/>
    <w:rsid w:val="19D26CD4"/>
    <w:rsid w:val="19E60D19"/>
    <w:rsid w:val="1A3E3450"/>
    <w:rsid w:val="1AD807E5"/>
    <w:rsid w:val="1B39345B"/>
    <w:rsid w:val="1B5D6A9E"/>
    <w:rsid w:val="1BFB2A1F"/>
    <w:rsid w:val="1C015D4A"/>
    <w:rsid w:val="1C290ED5"/>
    <w:rsid w:val="1C317E4F"/>
    <w:rsid w:val="1C472464"/>
    <w:rsid w:val="1CC92889"/>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BE279E"/>
    <w:rsid w:val="22D7662C"/>
    <w:rsid w:val="230D6A92"/>
    <w:rsid w:val="23326B7F"/>
    <w:rsid w:val="2380045B"/>
    <w:rsid w:val="23BC04D2"/>
    <w:rsid w:val="23EF1892"/>
    <w:rsid w:val="2483647E"/>
    <w:rsid w:val="24A32D55"/>
    <w:rsid w:val="24BE3A11"/>
    <w:rsid w:val="24CE6D9A"/>
    <w:rsid w:val="25292727"/>
    <w:rsid w:val="252E5CA9"/>
    <w:rsid w:val="256C2A6E"/>
    <w:rsid w:val="256F7692"/>
    <w:rsid w:val="25BA2154"/>
    <w:rsid w:val="25C8773F"/>
    <w:rsid w:val="25C953A7"/>
    <w:rsid w:val="26235823"/>
    <w:rsid w:val="2646679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2D69B8"/>
    <w:rsid w:val="29BF4F8E"/>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2A221C5"/>
    <w:rsid w:val="330B7D6A"/>
    <w:rsid w:val="33835F98"/>
    <w:rsid w:val="3389023A"/>
    <w:rsid w:val="33CB74FA"/>
    <w:rsid w:val="343642F2"/>
    <w:rsid w:val="343F3010"/>
    <w:rsid w:val="345D0A00"/>
    <w:rsid w:val="346A39D1"/>
    <w:rsid w:val="34713BFD"/>
    <w:rsid w:val="34C13589"/>
    <w:rsid w:val="34C401D1"/>
    <w:rsid w:val="353369E3"/>
    <w:rsid w:val="35B21E0B"/>
    <w:rsid w:val="35E00D72"/>
    <w:rsid w:val="35E84B53"/>
    <w:rsid w:val="36965B9D"/>
    <w:rsid w:val="36C549FD"/>
    <w:rsid w:val="37892A79"/>
    <w:rsid w:val="37A755DD"/>
    <w:rsid w:val="37F33BFE"/>
    <w:rsid w:val="37F94FA0"/>
    <w:rsid w:val="380D3381"/>
    <w:rsid w:val="38115B1F"/>
    <w:rsid w:val="385E3AC3"/>
    <w:rsid w:val="387D6B9E"/>
    <w:rsid w:val="389E3206"/>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3D4B3D"/>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05C90"/>
    <w:rsid w:val="3EC52607"/>
    <w:rsid w:val="3EEC6CEF"/>
    <w:rsid w:val="3F183429"/>
    <w:rsid w:val="3FB77A1D"/>
    <w:rsid w:val="3FDC3674"/>
    <w:rsid w:val="3FED7F8A"/>
    <w:rsid w:val="40094AEF"/>
    <w:rsid w:val="4011527D"/>
    <w:rsid w:val="405470BD"/>
    <w:rsid w:val="40794A29"/>
    <w:rsid w:val="40834692"/>
    <w:rsid w:val="41431AD5"/>
    <w:rsid w:val="414B3C0F"/>
    <w:rsid w:val="41550306"/>
    <w:rsid w:val="417C1CE7"/>
    <w:rsid w:val="41900018"/>
    <w:rsid w:val="41944406"/>
    <w:rsid w:val="41CE128F"/>
    <w:rsid w:val="41DA6F12"/>
    <w:rsid w:val="42171FB1"/>
    <w:rsid w:val="42C10D7B"/>
    <w:rsid w:val="434E6957"/>
    <w:rsid w:val="435F0273"/>
    <w:rsid w:val="43BA0E31"/>
    <w:rsid w:val="43C15147"/>
    <w:rsid w:val="43E14DD2"/>
    <w:rsid w:val="43F800E9"/>
    <w:rsid w:val="443A7E4B"/>
    <w:rsid w:val="444A7D08"/>
    <w:rsid w:val="452F5B3A"/>
    <w:rsid w:val="454E7FD2"/>
    <w:rsid w:val="46061BDC"/>
    <w:rsid w:val="461404F8"/>
    <w:rsid w:val="46413018"/>
    <w:rsid w:val="464B7E04"/>
    <w:rsid w:val="4672129A"/>
    <w:rsid w:val="468041AA"/>
    <w:rsid w:val="468123C6"/>
    <w:rsid w:val="46901EEE"/>
    <w:rsid w:val="469C74D2"/>
    <w:rsid w:val="46D02A05"/>
    <w:rsid w:val="47445515"/>
    <w:rsid w:val="474B4782"/>
    <w:rsid w:val="47D90D14"/>
    <w:rsid w:val="47DE1152"/>
    <w:rsid w:val="48387FB0"/>
    <w:rsid w:val="483A6114"/>
    <w:rsid w:val="48822425"/>
    <w:rsid w:val="488727DB"/>
    <w:rsid w:val="48B82268"/>
    <w:rsid w:val="48C354B3"/>
    <w:rsid w:val="48DE7C17"/>
    <w:rsid w:val="48E61BC9"/>
    <w:rsid w:val="491A4781"/>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946928"/>
    <w:rsid w:val="4DF94F37"/>
    <w:rsid w:val="4E0A1DD5"/>
    <w:rsid w:val="4E3160E5"/>
    <w:rsid w:val="4E375A60"/>
    <w:rsid w:val="4E4D37AF"/>
    <w:rsid w:val="4E8C6496"/>
    <w:rsid w:val="4EFC0B11"/>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0F398F"/>
    <w:rsid w:val="525C687F"/>
    <w:rsid w:val="52A3740A"/>
    <w:rsid w:val="52F647F7"/>
    <w:rsid w:val="52F92565"/>
    <w:rsid w:val="53AE735E"/>
    <w:rsid w:val="53D03877"/>
    <w:rsid w:val="542F73CA"/>
    <w:rsid w:val="5430786D"/>
    <w:rsid w:val="545A1D2A"/>
    <w:rsid w:val="54AF053C"/>
    <w:rsid w:val="54C811C0"/>
    <w:rsid w:val="55406603"/>
    <w:rsid w:val="556A442D"/>
    <w:rsid w:val="55DA564E"/>
    <w:rsid w:val="55E816A3"/>
    <w:rsid w:val="5604127D"/>
    <w:rsid w:val="56044E6C"/>
    <w:rsid w:val="56166703"/>
    <w:rsid w:val="561F7F59"/>
    <w:rsid w:val="56510474"/>
    <w:rsid w:val="56861525"/>
    <w:rsid w:val="56A93273"/>
    <w:rsid w:val="56BD550C"/>
    <w:rsid w:val="56E07045"/>
    <w:rsid w:val="56FF28AF"/>
    <w:rsid w:val="57540E7D"/>
    <w:rsid w:val="577B4878"/>
    <w:rsid w:val="57926973"/>
    <w:rsid w:val="57D1482F"/>
    <w:rsid w:val="580A2721"/>
    <w:rsid w:val="58175352"/>
    <w:rsid w:val="581F2200"/>
    <w:rsid w:val="583059FA"/>
    <w:rsid w:val="584A0929"/>
    <w:rsid w:val="58CD2491"/>
    <w:rsid w:val="591B41B2"/>
    <w:rsid w:val="59254A26"/>
    <w:rsid w:val="59326325"/>
    <w:rsid w:val="595C505B"/>
    <w:rsid w:val="595E55C3"/>
    <w:rsid w:val="596E7E20"/>
    <w:rsid w:val="59E92EFE"/>
    <w:rsid w:val="5A5D23AA"/>
    <w:rsid w:val="5A60780B"/>
    <w:rsid w:val="5AB34579"/>
    <w:rsid w:val="5AB40E78"/>
    <w:rsid w:val="5AF80B40"/>
    <w:rsid w:val="5AFC6609"/>
    <w:rsid w:val="5B113480"/>
    <w:rsid w:val="5BD456CE"/>
    <w:rsid w:val="5C0D1F49"/>
    <w:rsid w:val="5C451609"/>
    <w:rsid w:val="5C9C3D74"/>
    <w:rsid w:val="5CAD6298"/>
    <w:rsid w:val="5CBB0CE2"/>
    <w:rsid w:val="5CC17177"/>
    <w:rsid w:val="5CF306BC"/>
    <w:rsid w:val="5D3F3D64"/>
    <w:rsid w:val="5D833043"/>
    <w:rsid w:val="5DD92690"/>
    <w:rsid w:val="5DDB1CFD"/>
    <w:rsid w:val="5E2C57B2"/>
    <w:rsid w:val="5E7E6D93"/>
    <w:rsid w:val="5E82459B"/>
    <w:rsid w:val="5E8D6137"/>
    <w:rsid w:val="5ED44800"/>
    <w:rsid w:val="5F350BDE"/>
    <w:rsid w:val="5F61632C"/>
    <w:rsid w:val="5FA17648"/>
    <w:rsid w:val="5FE705CB"/>
    <w:rsid w:val="6007714E"/>
    <w:rsid w:val="603D5080"/>
    <w:rsid w:val="605A4D4A"/>
    <w:rsid w:val="606842D0"/>
    <w:rsid w:val="60D0261B"/>
    <w:rsid w:val="618E3791"/>
    <w:rsid w:val="61947DCA"/>
    <w:rsid w:val="61A46A97"/>
    <w:rsid w:val="61D1382F"/>
    <w:rsid w:val="61F114A2"/>
    <w:rsid w:val="622B0ABA"/>
    <w:rsid w:val="62512BB4"/>
    <w:rsid w:val="625D7D1A"/>
    <w:rsid w:val="62660469"/>
    <w:rsid w:val="626902DE"/>
    <w:rsid w:val="62DD7D21"/>
    <w:rsid w:val="63212B0F"/>
    <w:rsid w:val="637D586B"/>
    <w:rsid w:val="63A5560B"/>
    <w:rsid w:val="63B2141C"/>
    <w:rsid w:val="63E9091F"/>
    <w:rsid w:val="64322AF9"/>
    <w:rsid w:val="64D6010D"/>
    <w:rsid w:val="64D82665"/>
    <w:rsid w:val="64E47C96"/>
    <w:rsid w:val="64EF12CA"/>
    <w:rsid w:val="651E5741"/>
    <w:rsid w:val="655D7702"/>
    <w:rsid w:val="658A4877"/>
    <w:rsid w:val="65A00902"/>
    <w:rsid w:val="65AC6EDD"/>
    <w:rsid w:val="65D97752"/>
    <w:rsid w:val="66085536"/>
    <w:rsid w:val="66105BF7"/>
    <w:rsid w:val="66150023"/>
    <w:rsid w:val="6628010D"/>
    <w:rsid w:val="66761D66"/>
    <w:rsid w:val="669B4528"/>
    <w:rsid w:val="66CC12D7"/>
    <w:rsid w:val="67134CEF"/>
    <w:rsid w:val="671F1ABD"/>
    <w:rsid w:val="67521A59"/>
    <w:rsid w:val="67B30320"/>
    <w:rsid w:val="67C304AB"/>
    <w:rsid w:val="683F0658"/>
    <w:rsid w:val="68440C5D"/>
    <w:rsid w:val="689C6793"/>
    <w:rsid w:val="68A35D74"/>
    <w:rsid w:val="68DB0208"/>
    <w:rsid w:val="68FB170C"/>
    <w:rsid w:val="691B3D98"/>
    <w:rsid w:val="693748F0"/>
    <w:rsid w:val="69846A0E"/>
    <w:rsid w:val="69AA1366"/>
    <w:rsid w:val="69AD798C"/>
    <w:rsid w:val="69D005C0"/>
    <w:rsid w:val="69D80B96"/>
    <w:rsid w:val="69F47AD7"/>
    <w:rsid w:val="6A2C39D4"/>
    <w:rsid w:val="6B68175F"/>
    <w:rsid w:val="6BFD799F"/>
    <w:rsid w:val="6C256F60"/>
    <w:rsid w:val="6C4A2E5A"/>
    <w:rsid w:val="6C8138D0"/>
    <w:rsid w:val="6CEF0725"/>
    <w:rsid w:val="6D4B2604"/>
    <w:rsid w:val="6D607C36"/>
    <w:rsid w:val="6D747F55"/>
    <w:rsid w:val="6D77358F"/>
    <w:rsid w:val="6D8030E4"/>
    <w:rsid w:val="6E0E35C4"/>
    <w:rsid w:val="6E0F7A08"/>
    <w:rsid w:val="6E2D78B4"/>
    <w:rsid w:val="6E3947F5"/>
    <w:rsid w:val="6E6733A0"/>
    <w:rsid w:val="6E6E3938"/>
    <w:rsid w:val="6E9C74ED"/>
    <w:rsid w:val="6EBB4BB3"/>
    <w:rsid w:val="6EF72976"/>
    <w:rsid w:val="6F795A80"/>
    <w:rsid w:val="6F7C1D2E"/>
    <w:rsid w:val="6F8E0407"/>
    <w:rsid w:val="6FDD069F"/>
    <w:rsid w:val="701D200D"/>
    <w:rsid w:val="702B4D16"/>
    <w:rsid w:val="703479B1"/>
    <w:rsid w:val="70455963"/>
    <w:rsid w:val="70AA6621"/>
    <w:rsid w:val="7111480F"/>
    <w:rsid w:val="71261F49"/>
    <w:rsid w:val="712E6956"/>
    <w:rsid w:val="712F289B"/>
    <w:rsid w:val="71473612"/>
    <w:rsid w:val="71504F32"/>
    <w:rsid w:val="7152309F"/>
    <w:rsid w:val="718F7F65"/>
    <w:rsid w:val="71DA6992"/>
    <w:rsid w:val="727B234E"/>
    <w:rsid w:val="728A58B0"/>
    <w:rsid w:val="72D068C7"/>
    <w:rsid w:val="72E42ED8"/>
    <w:rsid w:val="72FC34C3"/>
    <w:rsid w:val="733E2931"/>
    <w:rsid w:val="735F4CB9"/>
    <w:rsid w:val="73674C62"/>
    <w:rsid w:val="73845865"/>
    <w:rsid w:val="739B6D9E"/>
    <w:rsid w:val="73BC1D76"/>
    <w:rsid w:val="73FB6630"/>
    <w:rsid w:val="748D790E"/>
    <w:rsid w:val="749820CC"/>
    <w:rsid w:val="74CE04EC"/>
    <w:rsid w:val="74E76DCD"/>
    <w:rsid w:val="751D7C0A"/>
    <w:rsid w:val="75722D56"/>
    <w:rsid w:val="75772C83"/>
    <w:rsid w:val="75DB5477"/>
    <w:rsid w:val="75FC6AC3"/>
    <w:rsid w:val="760F4A49"/>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320B9"/>
    <w:rsid w:val="78574801"/>
    <w:rsid w:val="7873527F"/>
    <w:rsid w:val="78D85389"/>
    <w:rsid w:val="790A6425"/>
    <w:rsid w:val="790E2D96"/>
    <w:rsid w:val="791B54B2"/>
    <w:rsid w:val="793B0CCA"/>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C155B9"/>
    <w:rsid w:val="7DD81BC4"/>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7774</Words>
  <Characters>8788</Characters>
  <Lines>0</Lines>
  <Paragraphs>0</Paragraphs>
  <TotalTime>0</TotalTime>
  <ScaleCrop>false</ScaleCrop>
  <LinksUpToDate>false</LinksUpToDate>
  <CharactersWithSpaces>8799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2025-04-11T02:17:48Z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