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jc w:val="center"/>
        <w:rPr>
          <w:rFonts w:hint="eastAsia" w:ascii="方正小标宋_GBK" w:hAnsi="宋体" w:eastAsia="方正小标宋_GBK" w:cs="Times New Roman"/>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沙湾市青少年活动中心</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 xml:space="preserve"> 2023年度部门决算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公开说明</w:t>
      </w:r>
    </w:p>
    <w:p>
      <w:pPr>
        <w:keepNext w:val="0"/>
        <w:keepLines w:val="0"/>
        <w:pageBreakBefore w:val="0"/>
        <w:kinsoku/>
        <w:wordWrap/>
        <w:overflowPunct/>
        <w:topLinePunct w:val="0"/>
        <w:bidi w:val="0"/>
        <w:adjustRightInd/>
        <w:spacing w:line="240" w:lineRule="auto"/>
        <w:ind w:firstLine="880" w:firstLineChars="200"/>
        <w:jc w:val="center"/>
        <w:textAlignment w:val="auto"/>
        <w:rPr>
          <w:rFonts w:hint="eastAsia" w:ascii="方正小标宋_GBK" w:hAnsi="宋体" w:eastAsia="方正小标宋_GBK" w:cs="Times New Roman"/>
          <w:sz w:val="44"/>
          <w:szCs w:val="44"/>
          <w:highlight w:val="none"/>
        </w:rPr>
      </w:pPr>
      <w:r>
        <w:rPr>
          <w:rFonts w:hint="eastAsia" w:ascii="方正小标宋_GBK" w:hAnsi="宋体" w:eastAsia="方正小标宋_GBK" w:cs="Times New Roman"/>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bCs w:val="0"/>
          <w:color w:val="auto"/>
          <w:kern w:val="0"/>
          <w:sz w:val="36"/>
          <w:szCs w:val="36"/>
          <w:highlight w:val="none"/>
        </w:rPr>
      </w:pPr>
      <w:r>
        <w:rPr>
          <w:rFonts w:hint="eastAsia" w:ascii="仿宋_GB2312" w:hAnsi="仿宋_GB2312" w:eastAsia="仿宋_GB2312" w:cs="仿宋_GB2312"/>
          <w:b/>
          <w:bCs w:val="0"/>
          <w:color w:val="auto"/>
          <w:kern w:val="0"/>
          <w:sz w:val="36"/>
          <w:szCs w:val="36"/>
          <w:highlight w:val="none"/>
        </w:rPr>
        <w:t>目  录</w:t>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3" w:firstLineChars="20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keepNext w:val="0"/>
        <w:keepLines w:val="0"/>
        <w:pageBreakBefore w:val="0"/>
        <w:kinsoku/>
        <w:wordWrap/>
        <w:overflowPunct/>
        <w:topLinePunct w:val="0"/>
        <w:bidi w:val="0"/>
        <w:adjustRightInd/>
        <w:spacing w:line="240" w:lineRule="auto"/>
        <w:ind w:firstLine="640" w:firstLineChars="200"/>
        <w:textAlignment w:val="auto"/>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3" w:firstLineChars="20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3" w:firstLineChars="20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fldChar w:fldCharType="end"/>
      </w:r>
      <w:bookmarkStart w:id="0" w:name="_Toc32314"/>
      <w:bookmarkStart w:id="1" w:name="_Toc24028"/>
      <w:r>
        <w:rPr>
          <w:rFonts w:hint="eastAsia" w:ascii="仿宋_GB2312" w:hAnsi="仿宋_GB2312" w:eastAsia="仿宋_GB2312" w:cs="仿宋_GB2312"/>
          <w:color w:val="auto"/>
          <w:sz w:val="32"/>
          <w:szCs w:val="32"/>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2880" w:firstLineChars="900"/>
        <w:jc w:val="both"/>
        <w:textAlignment w:val="auto"/>
        <w:rPr>
          <w:rFonts w:hint="eastAsia" w:ascii="黑体" w:hAnsi="黑体" w:eastAsia="黑体"/>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 </w:t>
      </w:r>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bookmarkStart w:id="4" w:name="_Toc31238"/>
      <w:bookmarkStart w:id="5" w:name="_Toc2151"/>
      <w:r>
        <w:rPr>
          <w:rFonts w:hint="eastAsia" w:ascii="仿宋_GB2312" w:eastAsia="仿宋_GB2312"/>
          <w:color w:val="auto"/>
          <w:sz w:val="32"/>
          <w:szCs w:val="32"/>
          <w:highlight w:val="none"/>
          <w:lang w:val="en-US" w:eastAsia="zh-CN"/>
        </w:rPr>
        <w:t>认真贯彻执行党的教育方针，根据我校的特点，结合实际出发，以国家拨给的教育经费为主要资金来源，妥善科学的管理使用各项资金，更好地为我校教育教学工作服务。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沙湾市青少年活动中心</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11</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6</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5</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仿宋" w:eastAsia="仿宋_GB2312" w:cs="仿宋"/>
          <w:color w:val="auto"/>
          <w:sz w:val="32"/>
          <w:szCs w:val="32"/>
          <w:highlight w:val="none"/>
          <w:lang w:eastAsia="zh-CN"/>
        </w:rPr>
      </w:pPr>
      <w:r>
        <w:rPr>
          <w:rFonts w:hint="eastAsia" w:ascii="仿宋_GB2312" w:hAnsi="黑体" w:eastAsia="仿宋_GB2312" w:cs="宋体"/>
          <w:bCs/>
          <w:color w:val="auto"/>
          <w:kern w:val="0"/>
          <w:sz w:val="32"/>
          <w:szCs w:val="32"/>
          <w:highlight w:val="none"/>
        </w:rPr>
        <w:t>单位无下属预算单位，下设</w:t>
      </w:r>
      <w:r>
        <w:rPr>
          <w:rFonts w:hint="eastAsia" w:ascii="仿宋_GB2312" w:eastAsia="仿宋_GB2312"/>
          <w:color w:val="auto"/>
          <w:sz w:val="32"/>
          <w:szCs w:val="32"/>
          <w:highlight w:val="none"/>
          <w:lang w:val="en-US" w:eastAsia="zh-CN"/>
        </w:rPr>
        <w:t>3</w:t>
      </w:r>
      <w:r>
        <w:rPr>
          <w:rFonts w:hint="eastAsia" w:ascii="仿宋_GB2312" w:hAnsi="黑体" w:eastAsia="仿宋_GB2312" w:cs="宋体"/>
          <w:bCs/>
          <w:color w:val="auto"/>
          <w:kern w:val="0"/>
          <w:sz w:val="32"/>
          <w:szCs w:val="32"/>
          <w:highlight w:val="none"/>
        </w:rPr>
        <w:t>个处室，分别是：</w:t>
      </w:r>
      <w:r>
        <w:rPr>
          <w:rFonts w:hint="eastAsia" w:ascii="仿宋_GB2312" w:hAnsi="仿宋" w:eastAsia="仿宋_GB2312" w:cs="仿宋"/>
          <w:color w:val="auto"/>
          <w:sz w:val="32"/>
          <w:szCs w:val="32"/>
          <w:highlight w:val="none"/>
          <w:lang w:eastAsia="zh-CN"/>
        </w:rPr>
        <w:t>主任办公室</w:t>
      </w:r>
      <w:r>
        <w:rPr>
          <w:rFonts w:hint="eastAsia" w:ascii="仿宋_GB2312" w:hAnsi="仿宋" w:eastAsia="仿宋_GB2312" w:cs="仿宋"/>
          <w:color w:val="auto"/>
          <w:sz w:val="32"/>
          <w:szCs w:val="32"/>
          <w:highlight w:val="none"/>
        </w:rPr>
        <w:t>、后勤</w:t>
      </w:r>
      <w:r>
        <w:rPr>
          <w:rFonts w:hint="eastAsia" w:ascii="仿宋_GB2312" w:hAnsi="仿宋" w:eastAsia="仿宋_GB2312" w:cs="仿宋"/>
          <w:color w:val="auto"/>
          <w:sz w:val="32"/>
          <w:szCs w:val="32"/>
          <w:highlight w:val="none"/>
          <w:lang w:eastAsia="zh-CN"/>
        </w:rPr>
        <w:t>办公室</w:t>
      </w:r>
      <w:r>
        <w:rPr>
          <w:rFonts w:hint="eastAsia" w:ascii="仿宋_GB2312" w:hAnsi="仿宋" w:eastAsia="仿宋_GB2312" w:cs="仿宋"/>
          <w:color w:val="auto"/>
          <w:sz w:val="32"/>
          <w:szCs w:val="32"/>
          <w:highlight w:val="none"/>
        </w:rPr>
        <w:t>、财务处</w:t>
      </w:r>
      <w:r>
        <w:rPr>
          <w:rFonts w:hint="eastAsia" w:ascii="仿宋_GB2312" w:hAnsi="仿宋" w:eastAsia="仿宋_GB2312" w:cs="仿宋"/>
          <w:color w:val="auto"/>
          <w:sz w:val="32"/>
          <w:szCs w:val="32"/>
          <w:highlight w:val="none"/>
          <w:lang w:eastAsia="zh-CN"/>
        </w:rPr>
        <w:t>。</w:t>
      </w:r>
    </w:p>
    <w:p>
      <w:pPr>
        <w:rPr>
          <w:rFonts w:hint="eastAsia" w:ascii="黑体" w:hAnsi="黑体" w:eastAsia="黑体"/>
          <w:color w:val="auto"/>
          <w:sz w:val="32"/>
          <w:szCs w:val="32"/>
          <w:highlight w:val="none"/>
        </w:rPr>
      </w:pPr>
      <w:bookmarkStart w:id="6" w:name="_Toc29374"/>
      <w:bookmarkStart w:id="7" w:name="_Toc3092"/>
      <w:r>
        <w:rPr>
          <w:rFonts w:hint="eastAsia" w:ascii="黑体" w:hAnsi="黑体" w:eastAsia="黑体"/>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2880" w:firstLineChars="900"/>
        <w:jc w:val="both"/>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241.80万元，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241.80万元，使用非财政拨款结余0.00万元，年初结转和结余0.00万元。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241.80万元，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241.80万元，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增加58.20万元</w:t>
      </w:r>
      <w:r>
        <w:rPr>
          <w:rFonts w:hint="eastAsia" w:ascii="仿宋_GB2312" w:eastAsia="仿宋_GB2312"/>
          <w:color w:val="auto"/>
          <w:spacing w:val="0"/>
          <w:sz w:val="32"/>
          <w:szCs w:val="32"/>
          <w:highlight w:val="none"/>
          <w:lang w:eastAsia="zh-CN"/>
        </w:rPr>
        <w:t>，增长31.7%，主要原因是：</w:t>
      </w:r>
      <w:r>
        <w:rPr>
          <w:rFonts w:hint="eastAsia" w:ascii="仿宋_GB2312" w:hAnsi="仿宋" w:eastAsia="仿宋_GB2312" w:cs="仿宋"/>
          <w:color w:val="auto"/>
          <w:sz w:val="32"/>
          <w:szCs w:val="32"/>
          <w:highlight w:val="none"/>
          <w:lang w:eastAsia="zh-CN"/>
        </w:rPr>
        <w:t>财政拨款增加了人员工资，</w:t>
      </w:r>
      <w:r>
        <w:rPr>
          <w:rFonts w:hint="eastAsia" w:ascii="仿宋_GB2312" w:eastAsia="仿宋_GB2312"/>
          <w:color w:val="auto"/>
          <w:spacing w:val="0"/>
          <w:sz w:val="32"/>
          <w:szCs w:val="32"/>
          <w:highlight w:val="none"/>
          <w:lang w:eastAsia="zh-CN"/>
        </w:rPr>
        <w:t>增加暑期校舍维修项目。</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241.80</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241.80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本年支出241.80万元，其中：基本支出108.80万元，占45.00%；项目支出133.00万元，占55.00%；上缴上级支出0.00万元，占0.00%；经营支出0.00万元，占0.00%；对附属单位补助支出0.00万元，占0.00%。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241.80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241.8</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241.80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241.80</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 w:eastAsia="仿宋_GB2312" w:cs="仿宋"/>
          <w:color w:val="auto"/>
          <w:sz w:val="32"/>
          <w:szCs w:val="32"/>
          <w:highlight w:val="none"/>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增加58.20万元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增长31.70%,</w:t>
      </w:r>
      <w:r>
        <w:rPr>
          <w:rFonts w:hint="eastAsia" w:ascii="仿宋_GB2312" w:eastAsia="仿宋_GB2312"/>
          <w:color w:val="auto"/>
          <w:spacing w:val="0"/>
          <w:sz w:val="32"/>
          <w:szCs w:val="32"/>
          <w:highlight w:val="none"/>
          <w:lang w:eastAsia="zh-CN"/>
        </w:rPr>
        <w:t>主要原因是：</w:t>
      </w:r>
      <w:r>
        <w:rPr>
          <w:rFonts w:hint="eastAsia" w:ascii="仿宋_GB2312" w:hAnsi="仿宋" w:eastAsia="仿宋_GB2312" w:cs="仿宋"/>
          <w:color w:val="auto"/>
          <w:sz w:val="32"/>
          <w:szCs w:val="32"/>
          <w:highlight w:val="none"/>
          <w:lang w:eastAsia="zh-CN"/>
        </w:rPr>
        <w:t>开班数量增加，生源增加，收入增长，</w:t>
      </w:r>
      <w:r>
        <w:rPr>
          <w:rFonts w:hint="eastAsia" w:ascii="仿宋_GB2312" w:eastAsia="仿宋_GB2312"/>
          <w:color w:val="auto"/>
          <w:spacing w:val="0"/>
          <w:sz w:val="32"/>
          <w:szCs w:val="32"/>
          <w:highlight w:val="none"/>
          <w:lang w:eastAsia="zh-CN"/>
        </w:rPr>
        <w:t>增加暑期校舍维修项目</w:t>
      </w:r>
      <w:r>
        <w:rPr>
          <w:rFonts w:hint="eastAsia" w:ascii="仿宋_GB2312" w:hAnsi="仿宋" w:eastAsia="仿宋_GB2312" w:cs="仿宋"/>
          <w:color w:val="auto"/>
          <w:sz w:val="32"/>
          <w:szCs w:val="32"/>
          <w:highlight w:val="none"/>
        </w:rPr>
        <w:t>。</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259.61</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241.80</w:t>
      </w:r>
      <w:r>
        <w:rPr>
          <w:rFonts w:hint="eastAsia" w:ascii="仿宋_GB2312" w:eastAsia="仿宋_GB2312"/>
          <w:color w:val="auto"/>
          <w:spacing w:val="0"/>
          <w:sz w:val="32"/>
          <w:szCs w:val="32"/>
          <w:highlight w:val="none"/>
          <w:lang w:eastAsia="zh-CN"/>
        </w:rPr>
        <w:t>万元，预决算差异率-6.86%，主要原因是：本年</w:t>
      </w:r>
      <w:r>
        <w:rPr>
          <w:rFonts w:hint="eastAsia" w:ascii="仿宋_GB2312" w:eastAsia="仿宋_GB2312"/>
          <w:color w:val="auto"/>
          <w:spacing w:val="0"/>
          <w:sz w:val="32"/>
          <w:szCs w:val="32"/>
          <w:highlight w:val="none"/>
          <w:lang w:val="en-US" w:eastAsia="zh-CN"/>
        </w:rPr>
        <w:t>的公用取暖费做了预算，年末未支付，所以年初预算比决算数的差异率为</w:t>
      </w:r>
      <w:r>
        <w:rPr>
          <w:rFonts w:hint="eastAsia" w:ascii="仿宋_GB2312" w:eastAsia="仿宋_GB2312"/>
          <w:color w:val="auto"/>
          <w:spacing w:val="0"/>
          <w:sz w:val="32"/>
          <w:szCs w:val="32"/>
          <w:highlight w:val="none"/>
          <w:lang w:val="zh-CN" w:eastAsia="zh-CN"/>
        </w:rPr>
        <w:t>-6.86%</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楷体_GB2312" w:hAnsi="楷体_GB2312" w:eastAsia="楷体_GB2312" w:cs="楷体_GB2312"/>
          <w:b/>
          <w:bCs/>
          <w:color w:val="auto"/>
          <w:sz w:val="32"/>
          <w:szCs w:val="32"/>
          <w:highlight w:val="none"/>
          <w:lang w:eastAsia="zh-CN"/>
        </w:rPr>
      </w:pPr>
      <w:r>
        <w:rPr>
          <w:rFonts w:hint="eastAsia" w:ascii="黑体" w:hAnsi="黑体" w:eastAsia="黑体"/>
          <w:color w:val="auto"/>
          <w:sz w:val="32"/>
          <w:szCs w:val="32"/>
          <w:highlight w:val="none"/>
          <w:lang w:eastAsia="zh-CN"/>
        </w:rPr>
        <w:t>（</w:t>
      </w:r>
      <w:r>
        <w:rPr>
          <w:rFonts w:hint="eastAsia" w:ascii="黑体" w:hAnsi="黑体" w:eastAsia="黑体" w:cs="黑体"/>
          <w:b w:val="0"/>
          <w:bCs w:val="0"/>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2023年度一般公共预算财政拨款支出241.80万元，占本年支出合计的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增加58.20万元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增长31.70%,</w:t>
      </w:r>
      <w:r>
        <w:rPr>
          <w:rFonts w:hint="eastAsia" w:ascii="仿宋_GB2312" w:eastAsia="仿宋_GB2312"/>
          <w:color w:val="auto"/>
          <w:spacing w:val="0"/>
          <w:sz w:val="32"/>
          <w:szCs w:val="32"/>
          <w:highlight w:val="none"/>
          <w:lang w:eastAsia="zh-CN"/>
        </w:rPr>
        <w:t>主要原因是：</w:t>
      </w:r>
      <w:r>
        <w:rPr>
          <w:rFonts w:hint="eastAsia" w:ascii="仿宋_GB2312" w:hAnsi="仿宋" w:eastAsia="仿宋_GB2312" w:cs="仿宋"/>
          <w:color w:val="auto"/>
          <w:sz w:val="32"/>
          <w:szCs w:val="32"/>
          <w:highlight w:val="none"/>
          <w:lang w:eastAsia="zh-CN"/>
        </w:rPr>
        <w:t>开班数量增加，生源增加，收入增长，</w:t>
      </w:r>
      <w:r>
        <w:rPr>
          <w:rFonts w:hint="eastAsia" w:ascii="仿宋_GB2312" w:eastAsia="仿宋_GB2312"/>
          <w:color w:val="auto"/>
          <w:spacing w:val="0"/>
          <w:sz w:val="32"/>
          <w:szCs w:val="32"/>
          <w:highlight w:val="none"/>
          <w:lang w:eastAsia="zh-CN"/>
        </w:rPr>
        <w:t>增加暑期校舍维修项目。与年初预算相比，年初预算数</w:t>
      </w:r>
      <w:r>
        <w:rPr>
          <w:rFonts w:hint="eastAsia" w:ascii="仿宋_GB2312" w:eastAsia="仿宋_GB2312"/>
          <w:color w:val="auto"/>
          <w:spacing w:val="0"/>
          <w:sz w:val="32"/>
          <w:szCs w:val="32"/>
          <w:highlight w:val="none"/>
          <w:lang w:val="zh-CN" w:eastAsia="zh-CN"/>
        </w:rPr>
        <w:t>259.61</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241.80</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-6.86%</w:t>
      </w:r>
      <w:r>
        <w:rPr>
          <w:rFonts w:hint="eastAsia" w:ascii="仿宋_GB2312" w:eastAsia="仿宋_GB2312"/>
          <w:color w:val="auto"/>
          <w:spacing w:val="0"/>
          <w:sz w:val="32"/>
          <w:szCs w:val="32"/>
          <w:highlight w:val="none"/>
          <w:lang w:eastAsia="zh-CN"/>
        </w:rPr>
        <w:t>，主要原因是：本年</w:t>
      </w:r>
      <w:r>
        <w:rPr>
          <w:rFonts w:hint="eastAsia" w:ascii="仿宋_GB2312" w:eastAsia="仿宋_GB2312"/>
          <w:color w:val="auto"/>
          <w:spacing w:val="0"/>
          <w:sz w:val="32"/>
          <w:szCs w:val="32"/>
          <w:highlight w:val="none"/>
          <w:lang w:val="en-US" w:eastAsia="zh-CN"/>
        </w:rPr>
        <w:t>的公用取暖费做了预算，年末未支付，所以年初预算比决算数的差异率为</w:t>
      </w:r>
      <w:r>
        <w:rPr>
          <w:rFonts w:hint="eastAsia" w:ascii="仿宋_GB2312" w:eastAsia="仿宋_GB2312"/>
          <w:color w:val="auto"/>
          <w:spacing w:val="0"/>
          <w:sz w:val="32"/>
          <w:szCs w:val="32"/>
          <w:highlight w:val="none"/>
          <w:lang w:val="zh-CN" w:eastAsia="zh-CN"/>
        </w:rPr>
        <w:t>-6.86%</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s="黑体"/>
          <w:b w:val="0"/>
          <w:bCs w:val="0"/>
          <w:color w:val="auto"/>
          <w:sz w:val="32"/>
          <w:szCs w:val="32"/>
          <w:highlight w:val="none"/>
          <w:lang w:eastAsia="zh-CN"/>
        </w:rPr>
      </w:pPr>
      <w:r>
        <w:rPr>
          <w:rFonts w:hint="eastAsia" w:ascii="黑体" w:hAnsi="黑体" w:eastAsia="黑体" w:cs="黑体"/>
          <w:b w:val="0"/>
          <w:bCs w:val="0"/>
          <w:color w:val="auto"/>
          <w:sz w:val="32"/>
          <w:szCs w:val="32"/>
          <w:highlight w:val="none"/>
          <w:lang w:eastAsia="zh-CN"/>
        </w:rPr>
        <w:t>（二）一般公共预算</w:t>
      </w:r>
      <w:r>
        <w:rPr>
          <w:rFonts w:hint="eastAsia" w:ascii="黑体" w:hAnsi="黑体" w:eastAsia="黑体" w:cs="黑体"/>
          <w:b w:val="0"/>
          <w:bCs w:val="0"/>
          <w:color w:val="auto"/>
          <w:sz w:val="32"/>
          <w:szCs w:val="32"/>
          <w:highlight w:val="none"/>
          <w:lang w:val="en-US" w:eastAsia="zh-CN"/>
        </w:rPr>
        <w:t>财政拨款支出决算</w:t>
      </w:r>
      <w:r>
        <w:rPr>
          <w:rFonts w:hint="eastAsia" w:ascii="黑体" w:hAnsi="黑体" w:eastAsia="黑体" w:cs="黑体"/>
          <w:b w:val="0"/>
          <w:bCs w:val="0"/>
          <w:color w:val="auto"/>
          <w:sz w:val="32"/>
          <w:szCs w:val="32"/>
          <w:highlight w:val="none"/>
          <w:lang w:eastAsia="zh-CN"/>
        </w:rPr>
        <w:t>结构情况</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教育支出（类）</w:t>
      </w:r>
      <w:r>
        <w:rPr>
          <w:rFonts w:hint="eastAsia" w:ascii="仿宋_GB2312" w:hAnsi="Times New Roman" w:eastAsia="仿宋_GB2312" w:cs="Times New Roman"/>
          <w:color w:val="auto"/>
          <w:spacing w:val="0"/>
          <w:kern w:val="2"/>
          <w:sz w:val="32"/>
          <w:szCs w:val="32"/>
          <w:highlight w:val="none"/>
          <w:lang w:val="zh-CN" w:eastAsia="zh-CN" w:bidi="ar-SA"/>
        </w:rPr>
        <w:t>241.80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100.00%</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楷体_GB2312" w:hAnsi="楷体_GB2312" w:eastAsia="楷体_GB2312" w:cs="楷体_GB2312"/>
          <w:b/>
          <w:bCs/>
          <w:color w:val="auto"/>
          <w:sz w:val="32"/>
          <w:szCs w:val="32"/>
          <w:highlight w:val="none"/>
          <w:lang w:eastAsia="zh-CN"/>
        </w:rPr>
      </w:pPr>
      <w:r>
        <w:rPr>
          <w:rFonts w:hint="eastAsia" w:ascii="黑体" w:hAnsi="黑体" w:eastAsia="黑体"/>
          <w:color w:val="auto"/>
          <w:sz w:val="32"/>
          <w:szCs w:val="32"/>
          <w:highlight w:val="none"/>
          <w:lang w:eastAsia="zh-CN"/>
        </w:rPr>
        <w:t>（</w:t>
      </w:r>
      <w:r>
        <w:rPr>
          <w:rFonts w:hint="eastAsia" w:ascii="黑体" w:hAnsi="黑体" w:eastAsia="黑体" w:cs="黑体"/>
          <w:b w:val="0"/>
          <w:bCs w:val="0"/>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1.教育支出（类）教育费附加安排的支出（款）其他教育费附加安排的支出（项）:支出决算数为133.00万元，比上年决算增加67.00万元，增长101.52%，主要原因是：</w:t>
      </w:r>
      <w:r>
        <w:rPr>
          <w:rFonts w:hint="eastAsia" w:ascii="仿宋_GB2312" w:eastAsia="仿宋_GB2312"/>
          <w:color w:val="auto"/>
          <w:spacing w:val="0"/>
          <w:sz w:val="32"/>
          <w:szCs w:val="32"/>
          <w:highlight w:val="none"/>
          <w:lang w:eastAsia="zh-CN"/>
        </w:rPr>
        <w:t>本年增加了新建少年宫楼装饰装修项目</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2.教育支出（类）其他教育支出（款）其他教育支出（项）:支出决算数为108.80万元，比上年决算减少8.80万元，下降7.48%，主要原因是：</w:t>
      </w:r>
      <w:r>
        <w:rPr>
          <w:rFonts w:hint="eastAsia" w:ascii="仿宋_GB2312" w:hAnsi="仿宋_GB2312" w:eastAsia="仿宋_GB2312" w:cs="仿宋_GB2312"/>
          <w:color w:val="auto"/>
          <w:kern w:val="2"/>
          <w:sz w:val="32"/>
          <w:szCs w:val="32"/>
          <w:highlight w:val="none"/>
          <w:lang w:val="zh-CN" w:eastAsia="zh-CN" w:bidi="ar-SA"/>
        </w:rPr>
        <w:t>因为</w:t>
      </w:r>
      <w:r>
        <w:rPr>
          <w:rFonts w:hint="eastAsia" w:ascii="仿宋_GB2312" w:hAnsi="仿宋_GB2312" w:eastAsia="仿宋_GB2312" w:cs="仿宋_GB2312"/>
          <w:color w:val="auto"/>
          <w:kern w:val="2"/>
          <w:sz w:val="32"/>
          <w:szCs w:val="32"/>
          <w:highlight w:val="none"/>
          <w:lang w:val="en-US" w:eastAsia="zh-CN" w:bidi="ar-SA"/>
        </w:rPr>
        <w:t>2022年补发以前年度的绩效奖励，并且2023年取暖费未支付，所以支出下降7.48%</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108.80</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108.49</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基本工资、津贴补贴、奖金、绩效工资、机关事业单位基本养老保险缴费、职工基本医疗保险缴费、其他社会保障缴费、住房公积金、退休费。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0.31</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工会经费。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主要原因是：本年度无“三公”经费支出。其中：因公出国（境）费支出0.00万元，占0.00%，比上年增加0.00万元，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主要原因是：本单位</w:t>
      </w:r>
      <w:r>
        <w:rPr>
          <w:rFonts w:hint="eastAsia" w:ascii="仿宋_GB2312" w:eastAsia="仿宋_GB2312"/>
          <w:color w:val="auto"/>
          <w:sz w:val="32"/>
          <w:szCs w:val="32"/>
          <w:highlight w:val="none"/>
          <w:lang w:val="en-US" w:eastAsia="zh-CN"/>
        </w:rPr>
        <w:t>2023年无</w:t>
      </w:r>
      <w:r>
        <w:rPr>
          <w:rFonts w:hint="eastAsia" w:ascii="仿宋_GB2312" w:eastAsia="仿宋_GB2312"/>
          <w:color w:val="auto"/>
          <w:sz w:val="32"/>
          <w:szCs w:val="32"/>
          <w:highlight w:val="none"/>
          <w:lang w:val="zh-CN" w:eastAsia="zh-CN"/>
        </w:rPr>
        <w:t>因公出国（境）费支出；公务用车购置及运行维护费支出0.00万元，占0.00%，比上年增加0.00万元，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主要原因是：本单位</w:t>
      </w:r>
      <w:r>
        <w:rPr>
          <w:rFonts w:hint="eastAsia" w:ascii="仿宋_GB2312" w:eastAsia="仿宋_GB2312"/>
          <w:color w:val="auto"/>
          <w:sz w:val="32"/>
          <w:szCs w:val="32"/>
          <w:highlight w:val="none"/>
          <w:lang w:val="en-US" w:eastAsia="zh-CN"/>
        </w:rPr>
        <w:t>2023年无</w:t>
      </w:r>
      <w:r>
        <w:rPr>
          <w:rFonts w:hint="eastAsia" w:ascii="仿宋_GB2312" w:eastAsia="仿宋_GB2312"/>
          <w:color w:val="auto"/>
          <w:sz w:val="32"/>
          <w:szCs w:val="32"/>
          <w:highlight w:val="none"/>
          <w:lang w:val="zh-CN" w:eastAsia="zh-CN"/>
        </w:rPr>
        <w:t>公务用车购置及运行维护费支出；公务接待费支出0.00万元，占0.00%，比上年增加0.00万元，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主要原因是：本单位</w:t>
      </w:r>
      <w:r>
        <w:rPr>
          <w:rFonts w:hint="eastAsia" w:ascii="仿宋_GB2312" w:eastAsia="仿宋_GB2312"/>
          <w:color w:val="auto"/>
          <w:sz w:val="32"/>
          <w:szCs w:val="32"/>
          <w:highlight w:val="none"/>
          <w:lang w:val="en-US" w:eastAsia="zh-CN"/>
        </w:rPr>
        <w:t>2023年无</w:t>
      </w:r>
      <w:r>
        <w:rPr>
          <w:rFonts w:hint="eastAsia" w:ascii="仿宋_GB2312" w:eastAsia="仿宋_GB2312"/>
          <w:color w:val="auto"/>
          <w:sz w:val="32"/>
          <w:szCs w:val="32"/>
          <w:highlight w:val="none"/>
          <w:lang w:val="zh-CN" w:eastAsia="zh-CN"/>
        </w:rPr>
        <w:t>公务接待费支出。</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因公出国（境）费支出0.00万元，开支内容包括本单位</w:t>
      </w:r>
      <w:r>
        <w:rPr>
          <w:rFonts w:hint="eastAsia" w:ascii="仿宋_GB2312" w:eastAsia="仿宋_GB2312"/>
          <w:color w:val="auto"/>
          <w:sz w:val="32"/>
          <w:szCs w:val="32"/>
          <w:highlight w:val="none"/>
          <w:lang w:val="en-US" w:eastAsia="zh-CN"/>
        </w:rPr>
        <w:t>2023年无</w:t>
      </w:r>
      <w:r>
        <w:rPr>
          <w:rFonts w:hint="eastAsia" w:ascii="仿宋_GB2312" w:eastAsia="仿宋_GB2312"/>
          <w:color w:val="auto"/>
          <w:sz w:val="32"/>
          <w:szCs w:val="32"/>
          <w:highlight w:val="none"/>
          <w:lang w:val="zh-CN" w:eastAsia="zh-CN"/>
        </w:rPr>
        <w:t>因公出国（境）费支出。单位全年安排的因公出国（境）团组0个，因公出国（境）0人次。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公务用车购置及运行维护费0.00万元，其中：公务用车购置费0.00万元，公务用车运行维护费0.00万元。公务用车运行维护费开支内容包括本单位</w:t>
      </w:r>
      <w:r>
        <w:rPr>
          <w:rFonts w:hint="eastAsia" w:ascii="仿宋_GB2312" w:eastAsia="仿宋_GB2312"/>
          <w:color w:val="auto"/>
          <w:sz w:val="32"/>
          <w:szCs w:val="32"/>
          <w:highlight w:val="none"/>
          <w:lang w:val="en-US" w:eastAsia="zh-CN"/>
        </w:rPr>
        <w:t>2023年无</w:t>
      </w:r>
      <w:r>
        <w:rPr>
          <w:rFonts w:hint="eastAsia" w:ascii="仿宋_GB2312" w:eastAsia="仿宋_GB2312"/>
          <w:color w:val="auto"/>
          <w:sz w:val="32"/>
          <w:szCs w:val="32"/>
          <w:highlight w:val="none"/>
          <w:lang w:val="zh-CN" w:eastAsia="zh-CN"/>
        </w:rPr>
        <w:t>公务用车运行维护费开支。公务用车购置数0辆，公务用车保有量0辆。国有资产占用情况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0辆，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原因是：无差异。</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公务接待费0.00万元，开支内容包括本单位</w:t>
      </w:r>
      <w:r>
        <w:rPr>
          <w:rFonts w:hint="eastAsia" w:ascii="仿宋_GB2312" w:eastAsia="仿宋_GB2312"/>
          <w:color w:val="auto"/>
          <w:sz w:val="32"/>
          <w:szCs w:val="32"/>
          <w:highlight w:val="none"/>
          <w:lang w:val="en-US" w:eastAsia="zh-CN"/>
        </w:rPr>
        <w:t>2023年无</w:t>
      </w:r>
      <w:r>
        <w:rPr>
          <w:rFonts w:hint="eastAsia" w:ascii="仿宋_GB2312" w:eastAsia="仿宋_GB2312"/>
          <w:color w:val="auto"/>
          <w:sz w:val="32"/>
          <w:szCs w:val="32"/>
          <w:highlight w:val="none"/>
          <w:lang w:val="zh-CN" w:eastAsia="zh-CN"/>
        </w:rPr>
        <w:t>公务接待费。单位全年安排的国内公务接待0批次，0人次。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w:t>
      </w:r>
      <w:r>
        <w:rPr>
          <w:rFonts w:hint="eastAsia" w:ascii="仿宋_GB2312" w:eastAsia="仿宋_GB2312"/>
          <w:color w:val="auto"/>
          <w:sz w:val="32"/>
          <w:szCs w:val="32"/>
          <w:highlight w:val="none"/>
          <w:lang w:val="en-US" w:eastAsia="zh-CN"/>
        </w:rPr>
        <w:t>2023年无</w:t>
      </w:r>
      <w:r>
        <w:rPr>
          <w:rFonts w:hint="eastAsia" w:ascii="仿宋_GB2312" w:eastAsia="仿宋_GB2312"/>
          <w:color w:val="auto"/>
          <w:sz w:val="32"/>
          <w:szCs w:val="32"/>
          <w:highlight w:val="none"/>
          <w:lang w:val="zh-CN" w:eastAsia="zh-CN"/>
        </w:rPr>
        <w:t>财政拨款“三公”经费支出，预决算无差异。其中：因公出国（境）费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0.00万元，决算数0.00万元，预决算差异率0.00%，主要原因是：我单位未安排因公出国（境）费，预决算无差异；公务用车购置费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预算数0.00万元，决算数0.00万元，预决算差异率0.00%，主要原因是：我单位未安排公务用车购置费，预决算无差异；公务用车运行费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预算数0.00万元，决算数0.00万元，预决算差异率0.00%，主要原因是：我单位未安排公务用车运行费，预决算无差异；公务接待费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预算数0.00万元，决算数0.00万元，预决算差异率0.00%，主要原因是：我单位未安排公务接待费，预决算无差异。</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val="zh-CN"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val="zh-CN" w:eastAsia="zh-CN"/>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val="zh-CN"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val="zh-CN" w:eastAsia="zh-CN"/>
        </w:rPr>
        <w:t>，国有资本经营预算财政拨款收入支出决算表为空表。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楷体_GB2312" w:hAnsi="楷体_GB2312" w:eastAsia="楷体_GB2312" w:cs="楷体_GB2312"/>
          <w:b/>
          <w:bCs/>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2"/>
          <w:highlight w:val="none"/>
          <w:lang w:val="zh-CN" w:eastAsia="zh-CN"/>
        </w:rPr>
      </w:pPr>
      <w:bookmarkStart w:id="24" w:name="_Toc26704"/>
      <w:bookmarkStart w:id="25" w:name="_Toc227"/>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沙湾市青少年活动中心（事业单位）公用经费支出0.31万元，</w:t>
      </w:r>
      <w:r>
        <w:rPr>
          <w:rFonts w:hint="eastAsia" w:ascii="仿宋_GB2312" w:hAnsi="仿宋_GB2312" w:eastAsia="仿宋_GB2312" w:cs="仿宋_GB2312"/>
          <w:color w:val="auto"/>
          <w:sz w:val="32"/>
          <w:szCs w:val="32"/>
          <w:highlight w:val="none"/>
          <w:lang w:val="zh-CN" w:eastAsia="zh-CN"/>
        </w:rPr>
        <w:t>比上年减少24.62万元，下降98.76%，主要原因是：</w:t>
      </w:r>
      <w:r>
        <w:rPr>
          <w:rFonts w:hint="eastAsia" w:ascii="仿宋_GB2312" w:hAnsi="仿宋_GB2312" w:eastAsia="仿宋_GB2312" w:cs="仿宋_GB2312"/>
          <w:color w:val="auto"/>
          <w:sz w:val="32"/>
          <w:szCs w:val="32"/>
          <w:highlight w:val="none"/>
          <w:lang w:val="en-US" w:eastAsia="zh-CN"/>
        </w:rPr>
        <w:t>本年度没有支付</w:t>
      </w:r>
      <w:r>
        <w:rPr>
          <w:rFonts w:hint="eastAsia" w:ascii="仿宋_GB2312" w:hAnsi="仿宋_GB2312" w:eastAsia="仿宋_GB2312" w:cs="仿宋_GB2312"/>
          <w:color w:val="auto"/>
          <w:sz w:val="32"/>
          <w:szCs w:val="32"/>
          <w:highlight w:val="none"/>
          <w:lang w:val="zh-CN" w:eastAsia="zh-CN"/>
        </w:rPr>
        <w:t>公用取暖费，</w:t>
      </w:r>
      <w:r>
        <w:rPr>
          <w:rFonts w:hint="eastAsia" w:ascii="仿宋_GB2312" w:hAnsi="仿宋_GB2312" w:eastAsia="仿宋_GB2312" w:cs="仿宋_GB2312"/>
          <w:color w:val="auto"/>
          <w:sz w:val="32"/>
          <w:szCs w:val="32"/>
          <w:highlight w:val="none"/>
          <w:lang w:val="en-US" w:eastAsia="zh-CN"/>
        </w:rPr>
        <w:t>上年度支付的公用取暖费较多。</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w:t>
      </w:r>
      <w:r>
        <w:rPr>
          <w:rFonts w:hint="eastAsia" w:ascii="楷体_GB2312" w:hAnsi="楷体_GB2312" w:eastAsia="楷体_GB2312" w:cs="楷体_GB2312"/>
          <w:b/>
          <w:bCs/>
          <w:color w:val="auto"/>
          <w:sz w:val="32"/>
          <w:szCs w:val="32"/>
          <w:highlight w:val="none"/>
          <w:lang w:val="zh-CN" w:eastAsia="zh-CN"/>
        </w:rPr>
        <w:t>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0.98万元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其中：政府采购货物支出0.98万元、政府采购工程支出0.00万元、政府采购服务支出0.00万元。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授予中小企业合同金额0.98万元，占政府采购支出总额的100.00%，其中：授予小微企业合同金额0.98万元，占政府采购支出总额的100.00%</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bCs/>
          <w:color w:val="auto"/>
          <w:sz w:val="32"/>
          <w:szCs w:val="30"/>
          <w:highlight w:val="none"/>
          <w:lang w:val="zh-CN" w:eastAsia="zh-CN"/>
        </w:rPr>
      </w:pPr>
      <w:bookmarkStart w:id="26" w:name="_Toc8391"/>
      <w:bookmarkStart w:id="27" w:name="_Toc4591"/>
      <w:r>
        <w:rPr>
          <w:rFonts w:hint="eastAsia" w:ascii="仿宋_GB2312" w:hAnsi="仿宋_GB2312" w:eastAsia="仿宋_GB2312" w:cs="仿宋_GB2312"/>
          <w:color w:val="auto"/>
          <w:sz w:val="32"/>
          <w:szCs w:val="30"/>
          <w:highlight w:val="none"/>
          <w:lang w:val="zh-CN" w:eastAsia="zh-CN"/>
        </w:rPr>
        <w:t>（</w:t>
      </w:r>
      <w:r>
        <w:rPr>
          <w:rFonts w:hint="eastAsia" w:ascii="仿宋_GB2312" w:hAnsi="仿宋_GB2312" w:eastAsia="仿宋_GB2312" w:cs="仿宋_GB2312"/>
          <w:b/>
          <w:bCs/>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384.85</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屋2,560.00平方米，价值290.00万元。车辆0辆，价值0.00万元，其中：副部（省）级及以上领导用车0辆、主要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用车0辆、机要通信用车0辆、应急保障用车0辆、执法执勤用车0辆、特种专业技术用车0辆、离退休干部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用车0辆、其他用车0辆，其他用车主要是：我单位无</w:t>
      </w:r>
      <w:r>
        <w:rPr>
          <w:rFonts w:hint="eastAsia" w:ascii="仿宋_GB2312" w:hAnsi="仿宋_GB2312" w:eastAsia="仿宋_GB2312" w:cs="仿宋_GB2312"/>
          <w:color w:val="auto"/>
          <w:sz w:val="32"/>
          <w:szCs w:val="32"/>
          <w:highlight w:val="none"/>
          <w:lang w:val="en-US" w:eastAsia="zh-CN"/>
        </w:rPr>
        <w:t>其他</w:t>
      </w:r>
      <w:r>
        <w:rPr>
          <w:rFonts w:hint="eastAsia" w:ascii="仿宋_GB2312" w:hAnsi="仿宋_GB2312" w:eastAsia="仿宋_GB2312" w:cs="仿宋_GB2312"/>
          <w:color w:val="auto"/>
          <w:sz w:val="32"/>
          <w:szCs w:val="32"/>
          <w:highlight w:val="none"/>
          <w:lang w:val="zh-CN" w:eastAsia="zh-CN"/>
        </w:rPr>
        <w:t>车辆；单价100万元（含）以上设备（不含车辆）0</w:t>
      </w:r>
      <w:r>
        <w:rPr>
          <w:rFonts w:hint="eastAsia" w:ascii="仿宋_GB2312" w:hAnsi="仿宋_GB2312" w:eastAsia="仿宋_GB2312" w:cs="仿宋_GB2312"/>
          <w:color w:val="auto"/>
          <w:sz w:val="32"/>
          <w:szCs w:val="32"/>
          <w:highlight w:val="none"/>
          <w:lang w:val="en-US" w:eastAsia="zh-CN"/>
        </w:rPr>
        <w:t>台（</w:t>
      </w:r>
      <w:r>
        <w:rPr>
          <w:rFonts w:hint="eastAsia" w:ascii="仿宋_GB2312" w:hAnsi="仿宋_GB2312" w:eastAsia="仿宋_GB2312" w:cs="仿宋_GB2312"/>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w:t>
      </w:r>
      <w:r>
        <w:rPr>
          <w:rStyle w:val="12"/>
          <w:rFonts w:hint="eastAsia" w:ascii="仿宋_GB2312" w:hAnsi="仿宋_GB2312" w:eastAsia="仿宋_GB2312" w:cs="仿宋_GB2312"/>
          <w:b w:val="0"/>
          <w:color w:val="auto"/>
          <w:kern w:val="2"/>
          <w:sz w:val="32"/>
          <w:szCs w:val="32"/>
          <w:highlight w:val="none"/>
          <w:lang w:val="en-US" w:eastAsia="zh-CN" w:bidi="ar"/>
        </w:rPr>
        <w:t>241.80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w:t>
      </w:r>
      <w:r>
        <w:rPr>
          <w:rStyle w:val="12"/>
          <w:rFonts w:hint="eastAsia" w:ascii="仿宋_GB2312" w:hAnsi="仿宋_GB2312" w:eastAsia="仿宋_GB2312" w:cs="仿宋_GB2312"/>
          <w:b w:val="0"/>
          <w:color w:val="auto"/>
          <w:kern w:val="2"/>
          <w:sz w:val="32"/>
          <w:szCs w:val="32"/>
          <w:highlight w:val="none"/>
          <w:lang w:val="en-US" w:eastAsia="zh-CN" w:bidi="ar"/>
        </w:rPr>
        <w:t>241.80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全年预算数133</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全年执行数133</w:t>
      </w:r>
      <w:r>
        <w:rPr>
          <w:rFonts w:hint="eastAsia" w:ascii="仿宋_GB2312" w:eastAsia="仿宋_GB2312"/>
          <w:color w:val="auto"/>
          <w:sz w:val="32"/>
          <w:szCs w:val="32"/>
          <w:highlight w:val="none"/>
        </w:rPr>
        <w:t>万元，单位sm项目</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个，全年预算数</w:t>
      </w:r>
      <w:r>
        <w:rPr>
          <w:rFonts w:hint="eastAsia" w:ascii="仿宋_GB2312" w:eastAsia="仿宋_GB2312"/>
          <w:color w:val="auto"/>
          <w:sz w:val="32"/>
          <w:szCs w:val="32"/>
          <w:highlight w:val="none"/>
          <w:lang w:val="en-US" w:eastAsia="zh-CN"/>
        </w:rPr>
        <w:t>133</w:t>
      </w:r>
      <w:r>
        <w:rPr>
          <w:rFonts w:hint="eastAsia" w:ascii="仿宋_GB2312" w:eastAsia="仿宋_GB2312"/>
          <w:color w:val="auto"/>
          <w:sz w:val="32"/>
          <w:szCs w:val="32"/>
          <w:highlight w:val="none"/>
        </w:rPr>
        <w:t>万元，全年执行数</w:t>
      </w:r>
      <w:r>
        <w:rPr>
          <w:rFonts w:hint="eastAsia" w:ascii="仿宋_GB2312" w:eastAsia="仿宋_GB2312"/>
          <w:color w:val="auto"/>
          <w:sz w:val="32"/>
          <w:szCs w:val="32"/>
          <w:highlight w:val="none"/>
          <w:lang w:val="en-US" w:eastAsia="zh-CN"/>
        </w:rPr>
        <w:t>133</w:t>
      </w:r>
      <w:r>
        <w:rPr>
          <w:rFonts w:hint="eastAsia" w:ascii="仿宋_GB2312" w:eastAsia="仿宋_GB2312"/>
          <w:color w:val="auto"/>
          <w:sz w:val="32"/>
          <w:szCs w:val="32"/>
          <w:highlight w:val="none"/>
        </w:rPr>
        <w:t>万元，不予以公开</w:t>
      </w:r>
      <w:r>
        <w:rPr>
          <w:rFonts w:hint="eastAsia" w:ascii="仿宋_GB2312" w:eastAsia="仿宋_GB2312"/>
          <w:color w:val="000000" w:themeColor="text1"/>
          <w:sz w:val="32"/>
          <w:szCs w:val="32"/>
          <w:highlight w:val="none"/>
          <w:lang w:eastAsia="zh-CN"/>
          <w14:textFill>
            <w14:solidFill>
              <w14:schemeClr w14:val="tx1"/>
            </w14:solidFill>
          </w14:textFill>
        </w:rPr>
        <w:t>。</w:t>
      </w:r>
      <w:r>
        <w:rPr>
          <w:rFonts w:hint="eastAsia" w:ascii="仿宋_GB2312" w:eastAsia="仿宋_GB2312"/>
          <w:color w:val="auto"/>
          <w:sz w:val="32"/>
          <w:szCs w:val="32"/>
          <w:highlight w:val="none"/>
          <w:lang w:eastAsia="zh-CN"/>
        </w:rPr>
        <w:t>预算绩效管理取得的成效：</w:t>
      </w:r>
      <w:r>
        <w:rPr>
          <w:rFonts w:hint="eastAsia" w:ascii="仿宋_GB2312" w:eastAsia="仿宋_GB2312"/>
          <w:color w:val="auto"/>
          <w:sz w:val="32"/>
          <w:szCs w:val="32"/>
          <w:highlight w:val="none"/>
          <w:lang w:val="en-US" w:eastAsia="zh-CN"/>
        </w:rPr>
        <w:t>一是更加关注资金使用的情况，更加注重资金产生的实际效益与主体责任。二是有利于本单位提高资金效益，进一步提升了财务管理水平，让上级主管部门更加了解活动中心资金使用、管理等各项情况</w:t>
      </w:r>
      <w:r>
        <w:rPr>
          <w:rFonts w:hint="eastAsia" w:ascii="仿宋_GB2312" w:eastAsia="仿宋_GB2312"/>
          <w:color w:val="auto"/>
          <w:sz w:val="32"/>
          <w:szCs w:val="32"/>
          <w:highlight w:val="none"/>
          <w:lang w:eastAsia="zh-CN"/>
        </w:rPr>
        <w:t>。发现的问题及原因：一是</w:t>
      </w:r>
      <w:r>
        <w:rPr>
          <w:rFonts w:hint="eastAsia" w:ascii="仿宋_GB2312" w:eastAsia="仿宋_GB2312"/>
          <w:color w:val="auto"/>
          <w:sz w:val="32"/>
          <w:szCs w:val="32"/>
          <w:highlight w:val="none"/>
          <w:lang w:val="en-US" w:eastAsia="zh-CN"/>
        </w:rPr>
        <w:t>在绩效目标的设置上缺乏合理性，目标太笼统；二是对全面实施预算绩效管理的要求认识还不到位，项目申报、实施等环节与预算绩效管理各个环节联系不够紧密。</w:t>
      </w:r>
      <w:r>
        <w:rPr>
          <w:rFonts w:hint="eastAsia" w:ascii="仿宋_GB2312" w:eastAsia="仿宋_GB2312"/>
          <w:color w:val="auto"/>
          <w:sz w:val="32"/>
          <w:szCs w:val="32"/>
          <w:highlight w:val="none"/>
          <w:lang w:eastAsia="zh-CN"/>
        </w:rPr>
        <w:t>。下一步改进措施：一是</w:t>
      </w:r>
      <w:r>
        <w:rPr>
          <w:rFonts w:hint="eastAsia" w:ascii="仿宋_GB2312" w:eastAsia="仿宋_GB2312"/>
          <w:color w:val="auto"/>
          <w:sz w:val="32"/>
          <w:szCs w:val="32"/>
          <w:highlight w:val="none"/>
          <w:lang w:val="en-US" w:eastAsia="zh-CN"/>
        </w:rPr>
        <w:t>提高单位领导对全面预算管理的重视程度，增强财务人员的预算意识。二是加强学习，提高思想认识。</w:t>
      </w:r>
      <w:r>
        <w:rPr>
          <w:rFonts w:hint="eastAsia" w:ascii="仿宋_GB2312" w:eastAsia="仿宋_GB2312"/>
          <w:color w:val="auto"/>
          <w:sz w:val="32"/>
          <w:szCs w:val="32"/>
          <w:highlight w:val="none"/>
          <w:lang w:eastAsia="zh-CN"/>
        </w:rPr>
        <w:t>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lang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Times New Roman" w:hAnsi="Times New Roman" w:eastAsia="宋体" w:cs="Times New Roman"/>
          <w:kern w:val="2"/>
          <w:sz w:val="21"/>
          <w:szCs w:val="24"/>
          <w:highlight w:val="none"/>
          <w:lang w:val="en-US" w:eastAsia="zh-CN" w:bidi="ar-SA"/>
        </w:rPr>
      </w:pPr>
      <w:r>
        <w:rPr>
          <w:rFonts w:hint="eastAsia" w:ascii="仿宋_GB2312" w:eastAsia="仿宋_GB2312"/>
          <w:color w:val="000000" w:themeColor="text1"/>
          <w:sz w:val="32"/>
          <w:szCs w:val="32"/>
          <w:highlight w:val="none"/>
          <w:lang w:eastAsia="zh-CN"/>
          <w14:textFill>
            <w14:solidFill>
              <w14:schemeClr w14:val="tx1"/>
            </w14:solidFill>
          </w14:textFill>
        </w:rPr>
        <w:t>本单位sm项目</w:t>
      </w:r>
      <w:r>
        <w:rPr>
          <w:rFonts w:hint="eastAsia" w:ascii="仿宋_GB2312" w:eastAsia="仿宋_GB2312"/>
          <w:color w:val="000000" w:themeColor="text1"/>
          <w:sz w:val="32"/>
          <w:szCs w:val="32"/>
          <w:highlight w:val="none"/>
          <w:lang w:val="en-US" w:eastAsia="zh-CN"/>
          <w14:textFill>
            <w14:solidFill>
              <w14:schemeClr w14:val="tx1"/>
            </w14:solidFill>
          </w14:textFill>
        </w:rPr>
        <w:t>1</w:t>
      </w:r>
      <w:r>
        <w:rPr>
          <w:rFonts w:hint="eastAsia" w:ascii="仿宋_GB2312" w:eastAsia="仿宋_GB2312"/>
          <w:color w:val="000000" w:themeColor="text1"/>
          <w:sz w:val="32"/>
          <w:szCs w:val="32"/>
          <w:highlight w:val="none"/>
          <w:lang w:eastAsia="zh-CN"/>
          <w14:textFill>
            <w14:solidFill>
              <w14:schemeClr w14:val="tx1"/>
            </w14:solidFill>
          </w14:textFill>
        </w:rPr>
        <w:t>个，全年预算数</w:t>
      </w:r>
      <w:r>
        <w:rPr>
          <w:rFonts w:hint="eastAsia" w:ascii="仿宋_GB2312" w:eastAsia="仿宋_GB2312"/>
          <w:color w:val="000000" w:themeColor="text1"/>
          <w:sz w:val="32"/>
          <w:szCs w:val="32"/>
          <w:highlight w:val="none"/>
          <w:lang w:val="en-US" w:eastAsia="zh-CN"/>
          <w14:textFill>
            <w14:solidFill>
              <w14:schemeClr w14:val="tx1"/>
            </w14:solidFill>
          </w14:textFill>
        </w:rPr>
        <w:t>133</w:t>
      </w:r>
      <w:r>
        <w:rPr>
          <w:rFonts w:hint="eastAsia" w:ascii="仿宋_GB2312" w:eastAsia="仿宋_GB2312"/>
          <w:color w:val="000000" w:themeColor="text1"/>
          <w:sz w:val="32"/>
          <w:szCs w:val="32"/>
          <w:highlight w:val="none"/>
          <w:lang w:eastAsia="zh-CN"/>
          <w14:textFill>
            <w14:solidFill>
              <w14:schemeClr w14:val="tx1"/>
            </w14:solidFill>
          </w14:textFill>
        </w:rPr>
        <w:t>万元，全年执行数</w:t>
      </w:r>
      <w:r>
        <w:rPr>
          <w:rFonts w:hint="eastAsia" w:ascii="仿宋_GB2312" w:eastAsia="仿宋_GB2312"/>
          <w:color w:val="000000" w:themeColor="text1"/>
          <w:sz w:val="32"/>
          <w:szCs w:val="32"/>
          <w:highlight w:val="none"/>
          <w:lang w:val="en-US" w:eastAsia="zh-CN"/>
          <w14:textFill>
            <w14:solidFill>
              <w14:schemeClr w14:val="tx1"/>
            </w14:solidFill>
          </w14:textFill>
        </w:rPr>
        <w:t>133</w:t>
      </w:r>
      <w:r>
        <w:rPr>
          <w:rFonts w:hint="eastAsia" w:ascii="仿宋_GB2312" w:eastAsia="仿宋_GB2312"/>
          <w:color w:val="000000" w:themeColor="text1"/>
          <w:sz w:val="32"/>
          <w:szCs w:val="32"/>
          <w:highlight w:val="none"/>
          <w:lang w:eastAsia="zh-CN"/>
          <w14:textFill>
            <w14:solidFill>
              <w14:schemeClr w14:val="tx1"/>
            </w14:solidFill>
          </w14:textFill>
        </w:rPr>
        <w:t>万元，不予以公开绩效自评表。</w:t>
      </w:r>
    </w:p>
    <w:p>
      <w:pPr>
        <w:rPr>
          <w:rFonts w:hint="eastAsia" w:ascii="黑体" w:hAnsi="黑体" w:eastAsia="黑体"/>
          <w:color w:val="auto"/>
          <w:sz w:val="32"/>
          <w:szCs w:val="32"/>
          <w:highlight w:val="none"/>
        </w:rPr>
      </w:pPr>
      <w:r>
        <w:rPr>
          <w:rFonts w:hint="eastAsia" w:ascii="黑体" w:hAnsi="黑体" w:eastAsia="黑体"/>
          <w:color w:val="auto"/>
          <w:sz w:val="32"/>
          <w:szCs w:val="32"/>
          <w:highlight w:val="none"/>
        </w:rPr>
        <w:br w:type="page"/>
      </w:r>
      <w:bookmarkStart w:id="46" w:name="_GoBack"/>
      <w:bookmarkEnd w:id="46"/>
    </w:p>
    <w:p>
      <w:pPr>
        <w:keepNext w:val="0"/>
        <w:keepLines w:val="0"/>
        <w:pageBreakBefore w:val="0"/>
        <w:widowControl w:val="0"/>
        <w:kinsoku/>
        <w:wordWrap/>
        <w:overflowPunct/>
        <w:topLinePunct w:val="0"/>
        <w:autoSpaceDE/>
        <w:autoSpaceDN/>
        <w:bidi w:val="0"/>
        <w:adjustRightInd/>
        <w:snapToGrid/>
        <w:spacing w:line="240" w:lineRule="auto"/>
        <w:ind w:firstLine="3200" w:firstLineChars="1000"/>
        <w:jc w:val="both"/>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bidi w:val="0"/>
        <w:rPr>
          <w:rFonts w:hint="eastAsia" w:ascii="Times New Roman" w:hAnsi="Times New Roman" w:eastAsia="宋体" w:cs="Times New Roman"/>
          <w:kern w:val="2"/>
          <w:sz w:val="21"/>
          <w:szCs w:val="24"/>
          <w:lang w:val="en-US" w:eastAsia="zh-CN" w:bidi="ar-SA"/>
        </w:rPr>
      </w:pPr>
    </w:p>
    <w:p>
      <w:pPr>
        <w:keepNext w:val="0"/>
        <w:keepLines w:val="0"/>
        <w:pageBreakBefore w:val="0"/>
        <w:widowControl w:val="0"/>
        <w:kinsoku/>
        <w:wordWrap/>
        <w:overflowPunct/>
        <w:topLinePunct w:val="0"/>
        <w:bidi w:val="0"/>
        <w:adjustRightInd/>
        <w:snapToGrid/>
        <w:spacing w:line="240" w:lineRule="auto"/>
        <w:ind w:firstLine="2240" w:firstLineChars="700"/>
        <w:jc w:val="both"/>
        <w:textAlignment w:val="auto"/>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0" w:name="_Toc6062"/>
      <w:bookmarkStart w:id="31" w:name="_Toc2183"/>
      <w:r>
        <w:rPr>
          <w:rFonts w:hint="eastAsia" w:ascii="黑体" w:hAnsi="黑体" w:eastAsia="仿宋_GB2312" w:cs="宋体"/>
          <w:bCs/>
          <w:color w:val="auto"/>
          <w:kern w:val="0"/>
          <w:sz w:val="32"/>
          <w:szCs w:val="32"/>
          <w:highlight w:val="none"/>
        </w:rPr>
        <w:t>一、《收入支出决算总表》</w:t>
      </w:r>
      <w:bookmarkEnd w:id="30"/>
      <w:bookmarkEnd w:id="3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30364"/>
      <w:bookmarkStart w:id="33" w:name="_Toc24532"/>
      <w:r>
        <w:rPr>
          <w:rFonts w:hint="eastAsia" w:ascii="黑体" w:hAnsi="黑体" w:eastAsia="仿宋_GB2312" w:cs="宋体"/>
          <w:bCs/>
          <w:color w:val="auto"/>
          <w:kern w:val="0"/>
          <w:sz w:val="32"/>
          <w:szCs w:val="32"/>
          <w:highlight w:val="none"/>
        </w:rPr>
        <w:t>二、《收入决算表》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1304"/>
      <w:bookmarkStart w:id="35" w:name="_Toc32434"/>
      <w:r>
        <w:rPr>
          <w:rFonts w:hint="eastAsia" w:ascii="黑体" w:hAnsi="黑体" w:eastAsia="仿宋_GB2312" w:cs="宋体"/>
          <w:bCs/>
          <w:color w:val="auto"/>
          <w:kern w:val="0"/>
          <w:sz w:val="32"/>
          <w:szCs w:val="32"/>
          <w:highlight w:val="none"/>
        </w:rPr>
        <w:t>三、《支出决算表》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14238"/>
      <w:bookmarkStart w:id="37" w:name="_Toc28786"/>
      <w:r>
        <w:rPr>
          <w:rFonts w:hint="eastAsia" w:ascii="黑体" w:hAnsi="黑体" w:eastAsia="仿宋_GB2312" w:cs="宋体"/>
          <w:bCs/>
          <w:color w:val="auto"/>
          <w:kern w:val="0"/>
          <w:sz w:val="32"/>
          <w:szCs w:val="32"/>
          <w:highlight w:val="none"/>
        </w:rPr>
        <w:t>四、《财政拨款收入支出决算总表》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869"/>
      <w:bookmarkStart w:id="39" w:name="_Toc10347"/>
      <w:r>
        <w:rPr>
          <w:rFonts w:hint="eastAsia" w:ascii="黑体" w:hAnsi="黑体" w:eastAsia="仿宋_GB2312" w:cs="宋体"/>
          <w:bCs/>
          <w:color w:val="auto"/>
          <w:kern w:val="0"/>
          <w:sz w:val="32"/>
          <w:szCs w:val="32"/>
          <w:highlight w:val="none"/>
        </w:rPr>
        <w:t>五、《一般公共预算财政拨款支出决算表》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8884"/>
      <w:bookmarkStart w:id="41" w:name="_Toc5626"/>
      <w:r>
        <w:rPr>
          <w:rFonts w:hint="eastAsia" w:ascii="黑体" w:hAnsi="黑体" w:eastAsia="仿宋_GB2312" w:cs="宋体"/>
          <w:bCs/>
          <w:color w:val="auto"/>
          <w:kern w:val="0"/>
          <w:sz w:val="32"/>
          <w:szCs w:val="32"/>
          <w:highlight w:val="none"/>
        </w:rPr>
        <w:t>六、《一般公共预算财政拨款基本支出决算表》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2" w:name="_Toc32663"/>
      <w:bookmarkStart w:id="43" w:name="_Toc29106"/>
      <w:r>
        <w:rPr>
          <w:rFonts w:hint="eastAsia" w:ascii="黑体" w:hAnsi="黑体" w:eastAsia="仿宋_GB2312" w:cs="宋体"/>
          <w:bCs/>
          <w:color w:val="auto"/>
          <w:kern w:val="0"/>
          <w:sz w:val="32"/>
          <w:szCs w:val="32"/>
          <w:highlight w:val="none"/>
        </w:rPr>
        <w:t>《财政拨款“三公”经费支出决算表》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4" w:name="_Toc5453"/>
      <w:bookmarkStart w:id="45" w:name="_Toc7643"/>
      <w:r>
        <w:rPr>
          <w:rFonts w:hint="eastAsia" w:ascii="黑体" w:hAnsi="黑体" w:eastAsia="仿宋_GB2312" w:cs="宋体"/>
          <w:bCs/>
          <w:color w:val="auto"/>
          <w:kern w:val="0"/>
          <w:sz w:val="32"/>
          <w:szCs w:val="32"/>
          <w:highlight w:val="none"/>
        </w:rPr>
        <w:t>八、《政府性基金预算财政拨款收入支出决算表》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bidi w:val="0"/>
        <w:rPr>
          <w:rFonts w:hint="eastAsia"/>
          <w:lang w:val="en-US" w:eastAsia="zh-CN"/>
        </w:rPr>
      </w:pPr>
    </w:p>
    <w:p>
      <w:pPr>
        <w:tabs>
          <w:tab w:val="left" w:pos="3472"/>
        </w:tabs>
        <w:bidi w:val="0"/>
        <w:jc w:val="left"/>
        <w:rPr>
          <w:rFonts w:hint="eastAsia"/>
          <w:lang w:val="en-US" w:eastAsia="zh-CN"/>
        </w:rPr>
        <w:sectPr>
          <w:footerReference r:id="rId3" w:type="default"/>
          <w:pgSz w:w="11906" w:h="16838"/>
          <w:pgMar w:top="1440" w:right="1800" w:bottom="1440" w:left="1800" w:header="851" w:footer="992" w:gutter="0"/>
          <w:cols w:space="720" w:num="1"/>
          <w:docGrid w:type="lines" w:linePitch="312" w:charSpace="0"/>
        </w:sectPr>
      </w:pPr>
      <w:r>
        <w:rPr>
          <w:rFonts w:hint="eastAsia"/>
          <w:lang w:val="en-US" w:eastAsia="zh-CN"/>
        </w:rPr>
        <w:tab/>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小标宋_GBK">
    <w:panose1 w:val="02000000000000000000"/>
    <w:charset w:val="86"/>
    <w:family w:val="script"/>
    <w:pitch w:val="default"/>
    <w:sig w:usb0="A00002BF" w:usb1="38CF7CFA" w:usb2="00082016" w:usb3="00000000" w:csb0="00040001"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EzMTA0ZjdhNTE2MGYwMzg2YjkyNzkwNmNhMGZmNzQifQ=="/>
    <w:docVar w:name="KSO_WPS_MARK_KEY" w:val="41ee2a61-2d54-4f93-83be-afdb9a40d732"/>
  </w:docVars>
  <w:rsids>
    <w:rsidRoot w:val="00000000"/>
    <w:rsid w:val="00213C59"/>
    <w:rsid w:val="003210CE"/>
    <w:rsid w:val="00B70D59"/>
    <w:rsid w:val="00F52A8D"/>
    <w:rsid w:val="019404F8"/>
    <w:rsid w:val="01C30B6B"/>
    <w:rsid w:val="01ED22F2"/>
    <w:rsid w:val="02A859C7"/>
    <w:rsid w:val="02B637B6"/>
    <w:rsid w:val="02BA3C2E"/>
    <w:rsid w:val="02BD3108"/>
    <w:rsid w:val="02F73D26"/>
    <w:rsid w:val="034D4FEF"/>
    <w:rsid w:val="035413EC"/>
    <w:rsid w:val="035D1785"/>
    <w:rsid w:val="039F47CE"/>
    <w:rsid w:val="03BD5310"/>
    <w:rsid w:val="03E05CE8"/>
    <w:rsid w:val="03E63B19"/>
    <w:rsid w:val="03F973EE"/>
    <w:rsid w:val="043E5B56"/>
    <w:rsid w:val="04C04386"/>
    <w:rsid w:val="04D1736D"/>
    <w:rsid w:val="04D96608"/>
    <w:rsid w:val="04F210E4"/>
    <w:rsid w:val="04FA68C4"/>
    <w:rsid w:val="053F5AE6"/>
    <w:rsid w:val="057C0B0F"/>
    <w:rsid w:val="05844BF1"/>
    <w:rsid w:val="05D604FA"/>
    <w:rsid w:val="05EF4B48"/>
    <w:rsid w:val="05F76ECA"/>
    <w:rsid w:val="06183A24"/>
    <w:rsid w:val="06792773"/>
    <w:rsid w:val="06FD75CA"/>
    <w:rsid w:val="07032D55"/>
    <w:rsid w:val="07093795"/>
    <w:rsid w:val="075F1016"/>
    <w:rsid w:val="07804730"/>
    <w:rsid w:val="079052BE"/>
    <w:rsid w:val="07C70609"/>
    <w:rsid w:val="08145C21"/>
    <w:rsid w:val="08422688"/>
    <w:rsid w:val="085854ED"/>
    <w:rsid w:val="0879188F"/>
    <w:rsid w:val="08A0354D"/>
    <w:rsid w:val="08CD4C49"/>
    <w:rsid w:val="09114954"/>
    <w:rsid w:val="095A5B83"/>
    <w:rsid w:val="096466E3"/>
    <w:rsid w:val="0968304D"/>
    <w:rsid w:val="09AF3D17"/>
    <w:rsid w:val="09E44C33"/>
    <w:rsid w:val="0A7809B7"/>
    <w:rsid w:val="0A7B4867"/>
    <w:rsid w:val="0A840954"/>
    <w:rsid w:val="0A9928ED"/>
    <w:rsid w:val="0AAA546A"/>
    <w:rsid w:val="0ABD518C"/>
    <w:rsid w:val="0B61769D"/>
    <w:rsid w:val="0B71048A"/>
    <w:rsid w:val="0B8C3ECC"/>
    <w:rsid w:val="0B9C639D"/>
    <w:rsid w:val="0BB052B2"/>
    <w:rsid w:val="0BD33FFC"/>
    <w:rsid w:val="0BE97AC1"/>
    <w:rsid w:val="0C1C4780"/>
    <w:rsid w:val="0C317BFC"/>
    <w:rsid w:val="0C3613A3"/>
    <w:rsid w:val="0C5E519C"/>
    <w:rsid w:val="0C7227A7"/>
    <w:rsid w:val="0C7303A9"/>
    <w:rsid w:val="0CA52EE8"/>
    <w:rsid w:val="0CB40A8B"/>
    <w:rsid w:val="0CBD6988"/>
    <w:rsid w:val="0CD208AC"/>
    <w:rsid w:val="0D172DAA"/>
    <w:rsid w:val="0D4903E8"/>
    <w:rsid w:val="0D7A4A46"/>
    <w:rsid w:val="0E640559"/>
    <w:rsid w:val="0F1113DA"/>
    <w:rsid w:val="0F78534A"/>
    <w:rsid w:val="0F89358A"/>
    <w:rsid w:val="0F8C6D51"/>
    <w:rsid w:val="10390F37"/>
    <w:rsid w:val="105B0B5E"/>
    <w:rsid w:val="106F01A5"/>
    <w:rsid w:val="10B32EAB"/>
    <w:rsid w:val="10D90B34"/>
    <w:rsid w:val="112E58D0"/>
    <w:rsid w:val="11731CAC"/>
    <w:rsid w:val="119500A0"/>
    <w:rsid w:val="11C0733B"/>
    <w:rsid w:val="11D50D17"/>
    <w:rsid w:val="120E0809"/>
    <w:rsid w:val="127F665A"/>
    <w:rsid w:val="128035FD"/>
    <w:rsid w:val="12F7068C"/>
    <w:rsid w:val="13223DCE"/>
    <w:rsid w:val="14207DC0"/>
    <w:rsid w:val="14B932DA"/>
    <w:rsid w:val="150A66AF"/>
    <w:rsid w:val="15434D28"/>
    <w:rsid w:val="154C1139"/>
    <w:rsid w:val="158C5B77"/>
    <w:rsid w:val="15BA5C26"/>
    <w:rsid w:val="160D1149"/>
    <w:rsid w:val="163563C0"/>
    <w:rsid w:val="164315EF"/>
    <w:rsid w:val="16557DFE"/>
    <w:rsid w:val="167268FB"/>
    <w:rsid w:val="16770D0A"/>
    <w:rsid w:val="169A0039"/>
    <w:rsid w:val="16D50C50"/>
    <w:rsid w:val="16E120E1"/>
    <w:rsid w:val="172564A7"/>
    <w:rsid w:val="17385A05"/>
    <w:rsid w:val="173B3901"/>
    <w:rsid w:val="176747F9"/>
    <w:rsid w:val="17954A6E"/>
    <w:rsid w:val="17BE2C86"/>
    <w:rsid w:val="180059E9"/>
    <w:rsid w:val="184510FD"/>
    <w:rsid w:val="190648B0"/>
    <w:rsid w:val="19071D6C"/>
    <w:rsid w:val="19D26CD4"/>
    <w:rsid w:val="19E60D19"/>
    <w:rsid w:val="1A3E3450"/>
    <w:rsid w:val="1A820E54"/>
    <w:rsid w:val="1AD807E5"/>
    <w:rsid w:val="1B39345B"/>
    <w:rsid w:val="1BFB2A1F"/>
    <w:rsid w:val="1C011473"/>
    <w:rsid w:val="1C015D4A"/>
    <w:rsid w:val="1C290ED5"/>
    <w:rsid w:val="1C317E4F"/>
    <w:rsid w:val="1C472464"/>
    <w:rsid w:val="1D195FC4"/>
    <w:rsid w:val="1D22799A"/>
    <w:rsid w:val="1D5C1A72"/>
    <w:rsid w:val="1DAF458D"/>
    <w:rsid w:val="1DFC2230"/>
    <w:rsid w:val="1E086ACE"/>
    <w:rsid w:val="1E62130A"/>
    <w:rsid w:val="1E97358B"/>
    <w:rsid w:val="1EAA4A5F"/>
    <w:rsid w:val="1EE869A7"/>
    <w:rsid w:val="1EFE41BB"/>
    <w:rsid w:val="1F3F37CF"/>
    <w:rsid w:val="1FA15E62"/>
    <w:rsid w:val="1FED69B6"/>
    <w:rsid w:val="20383AC0"/>
    <w:rsid w:val="2064678E"/>
    <w:rsid w:val="20BE1B03"/>
    <w:rsid w:val="20DC1AB9"/>
    <w:rsid w:val="20DD6197"/>
    <w:rsid w:val="21222D5F"/>
    <w:rsid w:val="212631E0"/>
    <w:rsid w:val="2138666F"/>
    <w:rsid w:val="21742080"/>
    <w:rsid w:val="21A53757"/>
    <w:rsid w:val="21F879E1"/>
    <w:rsid w:val="220C121A"/>
    <w:rsid w:val="221236C6"/>
    <w:rsid w:val="22D7662C"/>
    <w:rsid w:val="23326B7F"/>
    <w:rsid w:val="2380045B"/>
    <w:rsid w:val="23BC04D2"/>
    <w:rsid w:val="23EF1892"/>
    <w:rsid w:val="2483647E"/>
    <w:rsid w:val="24A32D55"/>
    <w:rsid w:val="24CE6D9A"/>
    <w:rsid w:val="24DE6302"/>
    <w:rsid w:val="25292727"/>
    <w:rsid w:val="252E5CA9"/>
    <w:rsid w:val="25412F46"/>
    <w:rsid w:val="256F7692"/>
    <w:rsid w:val="25BA2154"/>
    <w:rsid w:val="25C8773F"/>
    <w:rsid w:val="26235823"/>
    <w:rsid w:val="263D2746"/>
    <w:rsid w:val="264A7253"/>
    <w:rsid w:val="26CF00D7"/>
    <w:rsid w:val="26F0170C"/>
    <w:rsid w:val="26FE3B9A"/>
    <w:rsid w:val="27201D62"/>
    <w:rsid w:val="27286E73"/>
    <w:rsid w:val="27CF2642"/>
    <w:rsid w:val="27E777F5"/>
    <w:rsid w:val="27EA1D4C"/>
    <w:rsid w:val="27EA2E41"/>
    <w:rsid w:val="282459E2"/>
    <w:rsid w:val="283A7FE5"/>
    <w:rsid w:val="285F51FF"/>
    <w:rsid w:val="2875018D"/>
    <w:rsid w:val="28DA4193"/>
    <w:rsid w:val="28DF2665"/>
    <w:rsid w:val="29072599"/>
    <w:rsid w:val="291029F3"/>
    <w:rsid w:val="297F7512"/>
    <w:rsid w:val="29CB58F0"/>
    <w:rsid w:val="2A053397"/>
    <w:rsid w:val="2A145E96"/>
    <w:rsid w:val="2A2131BB"/>
    <w:rsid w:val="2ABA729C"/>
    <w:rsid w:val="2AC4768A"/>
    <w:rsid w:val="2AF5378F"/>
    <w:rsid w:val="2B29335C"/>
    <w:rsid w:val="2B6C21AB"/>
    <w:rsid w:val="2BB94DBF"/>
    <w:rsid w:val="2BF37410"/>
    <w:rsid w:val="2C6F314E"/>
    <w:rsid w:val="2CC206BE"/>
    <w:rsid w:val="2CE06B81"/>
    <w:rsid w:val="2D1136DF"/>
    <w:rsid w:val="2D20606D"/>
    <w:rsid w:val="2D6729FE"/>
    <w:rsid w:val="2DB87198"/>
    <w:rsid w:val="2DB93C54"/>
    <w:rsid w:val="2E3D144C"/>
    <w:rsid w:val="2E6838EC"/>
    <w:rsid w:val="2E891204"/>
    <w:rsid w:val="2ED94A47"/>
    <w:rsid w:val="2EDE3921"/>
    <w:rsid w:val="2F3F0A28"/>
    <w:rsid w:val="2FBF7029"/>
    <w:rsid w:val="2FD0187F"/>
    <w:rsid w:val="2FD27414"/>
    <w:rsid w:val="2FD61B2F"/>
    <w:rsid w:val="2FFE4BB0"/>
    <w:rsid w:val="300E7B60"/>
    <w:rsid w:val="300F6E18"/>
    <w:rsid w:val="301A79CB"/>
    <w:rsid w:val="30862F5F"/>
    <w:rsid w:val="30A4775A"/>
    <w:rsid w:val="30E033A0"/>
    <w:rsid w:val="311E0D05"/>
    <w:rsid w:val="314029C9"/>
    <w:rsid w:val="31755CEE"/>
    <w:rsid w:val="31C63837"/>
    <w:rsid w:val="31C82E39"/>
    <w:rsid w:val="32040208"/>
    <w:rsid w:val="323549A2"/>
    <w:rsid w:val="32601BAD"/>
    <w:rsid w:val="329F6389"/>
    <w:rsid w:val="32C85373"/>
    <w:rsid w:val="3389023A"/>
    <w:rsid w:val="33CB74FA"/>
    <w:rsid w:val="343642F2"/>
    <w:rsid w:val="343F3010"/>
    <w:rsid w:val="345D0A00"/>
    <w:rsid w:val="34713BFD"/>
    <w:rsid w:val="34920952"/>
    <w:rsid w:val="34C13589"/>
    <w:rsid w:val="34C1785B"/>
    <w:rsid w:val="353369E3"/>
    <w:rsid w:val="358D2340"/>
    <w:rsid w:val="35B21E0B"/>
    <w:rsid w:val="35E00D72"/>
    <w:rsid w:val="35F576C7"/>
    <w:rsid w:val="36965B9D"/>
    <w:rsid w:val="36C549FD"/>
    <w:rsid w:val="376F3578"/>
    <w:rsid w:val="37A755DD"/>
    <w:rsid w:val="37AF5A00"/>
    <w:rsid w:val="37F33BFE"/>
    <w:rsid w:val="37F94FA0"/>
    <w:rsid w:val="380D3381"/>
    <w:rsid w:val="38115B1F"/>
    <w:rsid w:val="385B08A1"/>
    <w:rsid w:val="385E3AC3"/>
    <w:rsid w:val="386A0E27"/>
    <w:rsid w:val="387D6B9E"/>
    <w:rsid w:val="38B75FF0"/>
    <w:rsid w:val="38D01F98"/>
    <w:rsid w:val="38D45016"/>
    <w:rsid w:val="38D90432"/>
    <w:rsid w:val="3914510A"/>
    <w:rsid w:val="3926770B"/>
    <w:rsid w:val="3982065B"/>
    <w:rsid w:val="398D3668"/>
    <w:rsid w:val="39DA0497"/>
    <w:rsid w:val="3A893816"/>
    <w:rsid w:val="3A893B6D"/>
    <w:rsid w:val="3AD1763A"/>
    <w:rsid w:val="3AD97103"/>
    <w:rsid w:val="3AEA3D45"/>
    <w:rsid w:val="3B196883"/>
    <w:rsid w:val="3B6716E3"/>
    <w:rsid w:val="3B6C6B2D"/>
    <w:rsid w:val="3C007D96"/>
    <w:rsid w:val="3C242659"/>
    <w:rsid w:val="3C8B5855"/>
    <w:rsid w:val="3C96719C"/>
    <w:rsid w:val="3CA72BE8"/>
    <w:rsid w:val="3CDC1E1E"/>
    <w:rsid w:val="3CF37F8C"/>
    <w:rsid w:val="3D137554"/>
    <w:rsid w:val="3D5275AC"/>
    <w:rsid w:val="3DCC2473"/>
    <w:rsid w:val="3DEB0883"/>
    <w:rsid w:val="3E112739"/>
    <w:rsid w:val="3E2527BF"/>
    <w:rsid w:val="3E70484C"/>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0C1047C"/>
    <w:rsid w:val="41130D5C"/>
    <w:rsid w:val="41431AD5"/>
    <w:rsid w:val="414B3C0F"/>
    <w:rsid w:val="417C1CE7"/>
    <w:rsid w:val="418B1189"/>
    <w:rsid w:val="41900018"/>
    <w:rsid w:val="41944406"/>
    <w:rsid w:val="41CE128F"/>
    <w:rsid w:val="41DA6F12"/>
    <w:rsid w:val="42171FB1"/>
    <w:rsid w:val="42C10D7B"/>
    <w:rsid w:val="434E6957"/>
    <w:rsid w:val="43704827"/>
    <w:rsid w:val="43BA0E31"/>
    <w:rsid w:val="43C15147"/>
    <w:rsid w:val="43CE1BE1"/>
    <w:rsid w:val="43E14DD2"/>
    <w:rsid w:val="43F800E9"/>
    <w:rsid w:val="443A7E4B"/>
    <w:rsid w:val="444A7D08"/>
    <w:rsid w:val="452F5B3A"/>
    <w:rsid w:val="454E7FD2"/>
    <w:rsid w:val="46061BDC"/>
    <w:rsid w:val="461404F8"/>
    <w:rsid w:val="46413018"/>
    <w:rsid w:val="464B7E04"/>
    <w:rsid w:val="468041AA"/>
    <w:rsid w:val="468123C6"/>
    <w:rsid w:val="46901EEE"/>
    <w:rsid w:val="469C74D2"/>
    <w:rsid w:val="46BD5B17"/>
    <w:rsid w:val="47445515"/>
    <w:rsid w:val="474B4782"/>
    <w:rsid w:val="477436AA"/>
    <w:rsid w:val="47D90D14"/>
    <w:rsid w:val="47DE1152"/>
    <w:rsid w:val="48387FB0"/>
    <w:rsid w:val="483A6114"/>
    <w:rsid w:val="488727DB"/>
    <w:rsid w:val="489D0D1D"/>
    <w:rsid w:val="48B82268"/>
    <w:rsid w:val="48C354B3"/>
    <w:rsid w:val="490D7D0D"/>
    <w:rsid w:val="493D58B5"/>
    <w:rsid w:val="494A7A04"/>
    <w:rsid w:val="49605EF7"/>
    <w:rsid w:val="497D38F3"/>
    <w:rsid w:val="499C0BBD"/>
    <w:rsid w:val="4A0A26D2"/>
    <w:rsid w:val="4A2019A5"/>
    <w:rsid w:val="4A241A0B"/>
    <w:rsid w:val="4A5C2BD7"/>
    <w:rsid w:val="4A7B2875"/>
    <w:rsid w:val="4A934476"/>
    <w:rsid w:val="4AAA220A"/>
    <w:rsid w:val="4AE12E67"/>
    <w:rsid w:val="4B4C0111"/>
    <w:rsid w:val="4B8553A9"/>
    <w:rsid w:val="4BDB3730"/>
    <w:rsid w:val="4C200F7A"/>
    <w:rsid w:val="4CC06A7C"/>
    <w:rsid w:val="4CEE3180"/>
    <w:rsid w:val="4D0F4AF6"/>
    <w:rsid w:val="4D3C25A2"/>
    <w:rsid w:val="4DF94F37"/>
    <w:rsid w:val="4E0A1DD5"/>
    <w:rsid w:val="4E3160E5"/>
    <w:rsid w:val="4E4765DF"/>
    <w:rsid w:val="4E4D37AF"/>
    <w:rsid w:val="4E8C6496"/>
    <w:rsid w:val="4EFC3029"/>
    <w:rsid w:val="4EFD18DE"/>
    <w:rsid w:val="4F144236"/>
    <w:rsid w:val="4F663C87"/>
    <w:rsid w:val="4F7E29A8"/>
    <w:rsid w:val="4F9E1FFC"/>
    <w:rsid w:val="50447CC2"/>
    <w:rsid w:val="50874A7C"/>
    <w:rsid w:val="50895EE7"/>
    <w:rsid w:val="50921B9D"/>
    <w:rsid w:val="50D16158"/>
    <w:rsid w:val="50DB5F45"/>
    <w:rsid w:val="51025EB1"/>
    <w:rsid w:val="51141503"/>
    <w:rsid w:val="51297E5D"/>
    <w:rsid w:val="513C450E"/>
    <w:rsid w:val="51510141"/>
    <w:rsid w:val="516917D1"/>
    <w:rsid w:val="518D0ED5"/>
    <w:rsid w:val="520B393F"/>
    <w:rsid w:val="520D6F4F"/>
    <w:rsid w:val="525C687F"/>
    <w:rsid w:val="52A3740A"/>
    <w:rsid w:val="52F647F7"/>
    <w:rsid w:val="52F92565"/>
    <w:rsid w:val="53AE735E"/>
    <w:rsid w:val="53D03877"/>
    <w:rsid w:val="542F73CA"/>
    <w:rsid w:val="5430786D"/>
    <w:rsid w:val="545A1D2A"/>
    <w:rsid w:val="54C811C0"/>
    <w:rsid w:val="54F712E4"/>
    <w:rsid w:val="556A442D"/>
    <w:rsid w:val="55B736C6"/>
    <w:rsid w:val="55DA564E"/>
    <w:rsid w:val="55E816A3"/>
    <w:rsid w:val="5604127D"/>
    <w:rsid w:val="56044E6C"/>
    <w:rsid w:val="56166703"/>
    <w:rsid w:val="56230711"/>
    <w:rsid w:val="56510474"/>
    <w:rsid w:val="56861525"/>
    <w:rsid w:val="56A93273"/>
    <w:rsid w:val="56BD550C"/>
    <w:rsid w:val="56D03A5B"/>
    <w:rsid w:val="56E07045"/>
    <w:rsid w:val="56FF28AF"/>
    <w:rsid w:val="57540E7D"/>
    <w:rsid w:val="577B4878"/>
    <w:rsid w:val="57926973"/>
    <w:rsid w:val="57AC5BEC"/>
    <w:rsid w:val="57D1482F"/>
    <w:rsid w:val="57DE5C52"/>
    <w:rsid w:val="58175352"/>
    <w:rsid w:val="581F2200"/>
    <w:rsid w:val="583059FA"/>
    <w:rsid w:val="583236F7"/>
    <w:rsid w:val="584A0929"/>
    <w:rsid w:val="586F37A4"/>
    <w:rsid w:val="58CD2491"/>
    <w:rsid w:val="591B41B2"/>
    <w:rsid w:val="59254A26"/>
    <w:rsid w:val="59326325"/>
    <w:rsid w:val="595C505B"/>
    <w:rsid w:val="595E55C3"/>
    <w:rsid w:val="596E7E20"/>
    <w:rsid w:val="5A5D23AA"/>
    <w:rsid w:val="5A60780B"/>
    <w:rsid w:val="5AB34579"/>
    <w:rsid w:val="5AB40E78"/>
    <w:rsid w:val="5AF80B40"/>
    <w:rsid w:val="5AFC6609"/>
    <w:rsid w:val="5B113480"/>
    <w:rsid w:val="5BD456CE"/>
    <w:rsid w:val="5C0D1F49"/>
    <w:rsid w:val="5CBB0CE2"/>
    <w:rsid w:val="5CC17177"/>
    <w:rsid w:val="5CF306BC"/>
    <w:rsid w:val="5D3F3D64"/>
    <w:rsid w:val="5D833043"/>
    <w:rsid w:val="5DBA1B0F"/>
    <w:rsid w:val="5DD92690"/>
    <w:rsid w:val="5DDB1CFD"/>
    <w:rsid w:val="5E7E6D93"/>
    <w:rsid w:val="5E82459B"/>
    <w:rsid w:val="5ED44800"/>
    <w:rsid w:val="5F350BDE"/>
    <w:rsid w:val="5F416BE4"/>
    <w:rsid w:val="5F61632C"/>
    <w:rsid w:val="5FA17648"/>
    <w:rsid w:val="5FB77048"/>
    <w:rsid w:val="5FE705CB"/>
    <w:rsid w:val="6007714E"/>
    <w:rsid w:val="603D5080"/>
    <w:rsid w:val="606842D0"/>
    <w:rsid w:val="60D0261B"/>
    <w:rsid w:val="615B327E"/>
    <w:rsid w:val="618E3791"/>
    <w:rsid w:val="61947DCA"/>
    <w:rsid w:val="61A46A97"/>
    <w:rsid w:val="61D1382F"/>
    <w:rsid w:val="61F114A2"/>
    <w:rsid w:val="622B0ABA"/>
    <w:rsid w:val="62512BB4"/>
    <w:rsid w:val="625D7D1A"/>
    <w:rsid w:val="62660469"/>
    <w:rsid w:val="627F1096"/>
    <w:rsid w:val="62CE41A0"/>
    <w:rsid w:val="62DD7D21"/>
    <w:rsid w:val="637A770D"/>
    <w:rsid w:val="637D586B"/>
    <w:rsid w:val="63A5560B"/>
    <w:rsid w:val="63D12F61"/>
    <w:rsid w:val="63E9091F"/>
    <w:rsid w:val="64322AF9"/>
    <w:rsid w:val="64D6010D"/>
    <w:rsid w:val="64D82665"/>
    <w:rsid w:val="64E47C96"/>
    <w:rsid w:val="651E5741"/>
    <w:rsid w:val="655D7702"/>
    <w:rsid w:val="656612BB"/>
    <w:rsid w:val="658A4877"/>
    <w:rsid w:val="65A00902"/>
    <w:rsid w:val="65AC6EDD"/>
    <w:rsid w:val="65CD662C"/>
    <w:rsid w:val="65D97752"/>
    <w:rsid w:val="66085536"/>
    <w:rsid w:val="66105BF7"/>
    <w:rsid w:val="66150023"/>
    <w:rsid w:val="6628010D"/>
    <w:rsid w:val="669B4528"/>
    <w:rsid w:val="669B4AFA"/>
    <w:rsid w:val="66CC12D7"/>
    <w:rsid w:val="67134CEF"/>
    <w:rsid w:val="671F1ABD"/>
    <w:rsid w:val="67521A59"/>
    <w:rsid w:val="67845DE2"/>
    <w:rsid w:val="67C304AB"/>
    <w:rsid w:val="68011F98"/>
    <w:rsid w:val="683F0658"/>
    <w:rsid w:val="684A2B4B"/>
    <w:rsid w:val="685C2B51"/>
    <w:rsid w:val="689C6793"/>
    <w:rsid w:val="68DB0208"/>
    <w:rsid w:val="68FB170C"/>
    <w:rsid w:val="691B3D98"/>
    <w:rsid w:val="691D1367"/>
    <w:rsid w:val="69297DA7"/>
    <w:rsid w:val="693748F0"/>
    <w:rsid w:val="69846A0E"/>
    <w:rsid w:val="69AA1366"/>
    <w:rsid w:val="69AD798C"/>
    <w:rsid w:val="69D005C0"/>
    <w:rsid w:val="69D80B96"/>
    <w:rsid w:val="69F47AD7"/>
    <w:rsid w:val="6A2C39D4"/>
    <w:rsid w:val="6B640872"/>
    <w:rsid w:val="6B68175F"/>
    <w:rsid w:val="6BB36D75"/>
    <w:rsid w:val="6BFD799F"/>
    <w:rsid w:val="6C4A2E5A"/>
    <w:rsid w:val="6C8138D0"/>
    <w:rsid w:val="6C945BF4"/>
    <w:rsid w:val="6CEF0725"/>
    <w:rsid w:val="6CF70EFF"/>
    <w:rsid w:val="6D2374D5"/>
    <w:rsid w:val="6D4B2604"/>
    <w:rsid w:val="6D77358F"/>
    <w:rsid w:val="6D8030E4"/>
    <w:rsid w:val="6E0E35C4"/>
    <w:rsid w:val="6E0F7A08"/>
    <w:rsid w:val="6E3947F5"/>
    <w:rsid w:val="6E6733A0"/>
    <w:rsid w:val="6E6E3938"/>
    <w:rsid w:val="6E9C74ED"/>
    <w:rsid w:val="6EEE28FF"/>
    <w:rsid w:val="6EF72976"/>
    <w:rsid w:val="6F382076"/>
    <w:rsid w:val="6F795A80"/>
    <w:rsid w:val="6F7C1D2E"/>
    <w:rsid w:val="6F7D00EB"/>
    <w:rsid w:val="6F8E0407"/>
    <w:rsid w:val="6FBC78D1"/>
    <w:rsid w:val="6FC277E4"/>
    <w:rsid w:val="6FDD069F"/>
    <w:rsid w:val="702B4D16"/>
    <w:rsid w:val="70425F7D"/>
    <w:rsid w:val="70742460"/>
    <w:rsid w:val="70AA6621"/>
    <w:rsid w:val="7111480F"/>
    <w:rsid w:val="71261F49"/>
    <w:rsid w:val="712E6956"/>
    <w:rsid w:val="71473612"/>
    <w:rsid w:val="71504F32"/>
    <w:rsid w:val="7152309F"/>
    <w:rsid w:val="718F7F65"/>
    <w:rsid w:val="719D2B31"/>
    <w:rsid w:val="71D453FF"/>
    <w:rsid w:val="71DA6992"/>
    <w:rsid w:val="727108A9"/>
    <w:rsid w:val="727B234E"/>
    <w:rsid w:val="728A58B0"/>
    <w:rsid w:val="72D068C7"/>
    <w:rsid w:val="72E42ED8"/>
    <w:rsid w:val="72FC34C3"/>
    <w:rsid w:val="735F4CB9"/>
    <w:rsid w:val="73674C62"/>
    <w:rsid w:val="73845865"/>
    <w:rsid w:val="739B6D9E"/>
    <w:rsid w:val="73BC1D76"/>
    <w:rsid w:val="73FB6630"/>
    <w:rsid w:val="748D790E"/>
    <w:rsid w:val="749820CC"/>
    <w:rsid w:val="74CE04EC"/>
    <w:rsid w:val="74E67EAE"/>
    <w:rsid w:val="74E76DCD"/>
    <w:rsid w:val="751D7C0A"/>
    <w:rsid w:val="755C3E49"/>
    <w:rsid w:val="75722D56"/>
    <w:rsid w:val="75DB5477"/>
    <w:rsid w:val="75FC6AC3"/>
    <w:rsid w:val="760775C9"/>
    <w:rsid w:val="7616619B"/>
    <w:rsid w:val="76660D7C"/>
    <w:rsid w:val="766C5968"/>
    <w:rsid w:val="76BE0C8F"/>
    <w:rsid w:val="76CD53B2"/>
    <w:rsid w:val="76E6594C"/>
    <w:rsid w:val="770719AC"/>
    <w:rsid w:val="776526CC"/>
    <w:rsid w:val="77A262E1"/>
    <w:rsid w:val="77B13C33"/>
    <w:rsid w:val="77DC095A"/>
    <w:rsid w:val="77ED6F44"/>
    <w:rsid w:val="77F45548"/>
    <w:rsid w:val="77FC440B"/>
    <w:rsid w:val="784E7CA6"/>
    <w:rsid w:val="78574801"/>
    <w:rsid w:val="7873527F"/>
    <w:rsid w:val="790A6425"/>
    <w:rsid w:val="790E2D96"/>
    <w:rsid w:val="791B54B2"/>
    <w:rsid w:val="793C0F89"/>
    <w:rsid w:val="795A0A34"/>
    <w:rsid w:val="797339C3"/>
    <w:rsid w:val="79A7696D"/>
    <w:rsid w:val="79D57D57"/>
    <w:rsid w:val="79F00650"/>
    <w:rsid w:val="7A2E22FB"/>
    <w:rsid w:val="7A6242BF"/>
    <w:rsid w:val="7A794513"/>
    <w:rsid w:val="7A9B3811"/>
    <w:rsid w:val="7AAC5193"/>
    <w:rsid w:val="7AB467DA"/>
    <w:rsid w:val="7AB9318D"/>
    <w:rsid w:val="7AE952D2"/>
    <w:rsid w:val="7B0F21A8"/>
    <w:rsid w:val="7B2D1A98"/>
    <w:rsid w:val="7B9F26AF"/>
    <w:rsid w:val="7BA157BA"/>
    <w:rsid w:val="7BB607FE"/>
    <w:rsid w:val="7BE56E4D"/>
    <w:rsid w:val="7C5B30A4"/>
    <w:rsid w:val="7C6334FA"/>
    <w:rsid w:val="7C7248A0"/>
    <w:rsid w:val="7C976D69"/>
    <w:rsid w:val="7CA6184C"/>
    <w:rsid w:val="7CD752DA"/>
    <w:rsid w:val="7CDE40AB"/>
    <w:rsid w:val="7CF057E2"/>
    <w:rsid w:val="7D1548B5"/>
    <w:rsid w:val="7DD34487"/>
    <w:rsid w:val="7DDB6A63"/>
    <w:rsid w:val="7DF84014"/>
    <w:rsid w:val="7E207949"/>
    <w:rsid w:val="7E5C0A47"/>
    <w:rsid w:val="7E670C75"/>
    <w:rsid w:val="7EE24272"/>
    <w:rsid w:val="7EEA6053"/>
    <w:rsid w:val="7F487C04"/>
    <w:rsid w:val="7F611CBA"/>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outlineLvl w:val="2"/>
    </w:pPr>
    <w:rPr>
      <w:rFonts w:ascii="仿宋_GB2312" w:hAnsi="仿宋_GB2312" w:eastAsia="仿宋_GB2312"/>
      <w:b/>
      <w:bCs/>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2">
    <w:name w:val="Strong"/>
    <w:basedOn w:val="11"/>
    <w:qFormat/>
    <w:uiPriority w:val="0"/>
    <w:rPr>
      <w:b/>
    </w:rPr>
  </w:style>
  <w:style w:type="paragraph" w:customStyle="1" w:styleId="13">
    <w:name w:val="WPSOffice手动目录 3"/>
    <w:qFormat/>
    <w:uiPriority w:val="0"/>
    <w:pPr>
      <w:ind w:leftChars="40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 w:type="paragraph" w:customStyle="1" w:styleId="15">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4611</Words>
  <Characters>5180</Characters>
  <Lines>0</Lines>
  <Paragraphs>0</Paragraphs>
  <TotalTime>22</TotalTime>
  <ScaleCrop>false</ScaleCrop>
  <LinksUpToDate>false</LinksUpToDate>
  <CharactersWithSpaces>5206</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2024-12-02T03:39:22Z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D624B15633CD43C8BF9435464A96BF70</vt:lpwstr>
  </property>
</Properties>
</file>