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03CF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eastAsia" w:ascii="黑体" w:hAnsi="黑体" w:eastAsia="黑体"/>
          <w:color w:val="auto"/>
          <w:sz w:val="32"/>
          <w:szCs w:val="32"/>
          <w:highlight w:val="none"/>
          <w:lang w:val="en-US" w:eastAsia="zh-CN"/>
        </w:rPr>
      </w:pPr>
      <w:r>
        <w:rPr>
          <w:rFonts w:hint="eastAsia" w:ascii="黑体" w:hAnsi="黑体" w:eastAsia="黑体"/>
          <w:color w:val="auto"/>
          <w:sz w:val="32"/>
          <w:szCs w:val="32"/>
          <w:highlight w:val="none"/>
          <w:lang w:val="en-US" w:eastAsia="zh-CN"/>
        </w:rPr>
        <w:t xml:space="preserve"> </w:t>
      </w:r>
    </w:p>
    <w:p w14:paraId="41BBB375">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outlineLvl w:val="9"/>
        <w:rPr>
          <w:rFonts w:hint="eastAsia" w:ascii="方正小标宋_GBK" w:hAnsi="宋体" w:eastAsia="方正小标宋_GBK"/>
          <w:color w:val="auto"/>
          <w:sz w:val="44"/>
          <w:szCs w:val="44"/>
          <w:highlight w:val="none"/>
          <w:lang w:val="en-US" w:eastAsia="zh-CN"/>
        </w:rPr>
      </w:pPr>
    </w:p>
    <w:p w14:paraId="29E28C00">
      <w:pPr>
        <w:keepNext w:val="0"/>
        <w:keepLines w:val="0"/>
        <w:pageBreakBefore w:val="0"/>
        <w:widowControl w:val="0"/>
        <w:kinsoku/>
        <w:wordWrap/>
        <w:overflowPunct/>
        <w:topLinePunct w:val="0"/>
        <w:bidi w:val="0"/>
        <w:adjustRightInd/>
        <w:snapToGrid/>
        <w:spacing w:line="240" w:lineRule="auto"/>
        <w:jc w:val="center"/>
        <w:textAlignment w:val="auto"/>
        <w:outlineLvl w:val="0"/>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沙湾市金沟河镇中心学校</w:t>
      </w:r>
    </w:p>
    <w:p w14:paraId="4542A15B">
      <w:pPr>
        <w:keepNext w:val="0"/>
        <w:keepLines w:val="0"/>
        <w:pageBreakBefore w:val="0"/>
        <w:widowControl w:val="0"/>
        <w:kinsoku/>
        <w:wordWrap/>
        <w:overflowPunct/>
        <w:topLinePunct w:val="0"/>
        <w:bidi w:val="0"/>
        <w:adjustRightInd/>
        <w:snapToGrid/>
        <w:spacing w:line="240" w:lineRule="auto"/>
        <w:jc w:val="center"/>
        <w:textAlignment w:val="auto"/>
        <w:outlineLvl w:val="0"/>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14:paraId="64B65A74">
      <w:pPr>
        <w:keepNext w:val="0"/>
        <w:keepLines w:val="0"/>
        <w:pageBreakBefore w:val="0"/>
        <w:widowControl w:val="0"/>
        <w:kinsoku/>
        <w:wordWrap/>
        <w:overflowPunct/>
        <w:topLinePunct w:val="0"/>
        <w:bidi w:val="0"/>
        <w:adjustRightInd/>
        <w:snapToGrid/>
        <w:spacing w:line="240" w:lineRule="auto"/>
        <w:jc w:val="center"/>
        <w:textAlignment w:val="auto"/>
        <w:outlineLvl w:val="0"/>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5602D1F0">
      <w:pPr>
        <w:keepNext w:val="0"/>
        <w:keepLines w:val="0"/>
        <w:pageBreakBefore w:val="0"/>
        <w:kinsoku/>
        <w:wordWrap/>
        <w:overflowPunct/>
        <w:topLinePunct w:val="0"/>
        <w:bidi w:val="0"/>
        <w:adjustRightInd/>
        <w:snapToGrid/>
        <w:spacing w:line="240" w:lineRule="auto"/>
        <w:ind w:firstLine="880" w:firstLineChars="200"/>
        <w:jc w:val="both"/>
        <w:textAlignment w:val="auto"/>
        <w:outlineLvl w:val="9"/>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237DE6C">
      <w:pPr>
        <w:keepNext w:val="0"/>
        <w:keepLines w:val="0"/>
        <w:pageBreakBefore w:val="0"/>
        <w:widowControl w:val="0"/>
        <w:kinsoku/>
        <w:wordWrap/>
        <w:overflowPunct/>
        <w:topLinePunct w:val="0"/>
        <w:autoSpaceDE/>
        <w:autoSpaceDN/>
        <w:bidi w:val="0"/>
        <w:adjustRightInd/>
        <w:snapToGrid/>
        <w:spacing w:line="240" w:lineRule="auto"/>
        <w:ind w:left="0" w:leftChars="0" w:firstLine="723" w:firstLineChars="200"/>
        <w:jc w:val="center"/>
        <w:textAlignment w:val="auto"/>
        <w:outlineLvl w:val="0"/>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379EF711">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A128518">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C132F55">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5F61A81">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outlineLvl w:val="9"/>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C861ECC">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A730F79">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0A29E31">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49AAFB0">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B396703">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C7B7518">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1FE830E">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C6C9A23">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124E163C">
      <w:pPr>
        <w:keepNext w:val="0"/>
        <w:keepLines w:val="0"/>
        <w:pageBreakBefore w:val="0"/>
        <w:kinsoku/>
        <w:wordWrap/>
        <w:overflowPunct/>
        <w:topLinePunct w:val="0"/>
        <w:bidi w:val="0"/>
        <w:adjustRightInd/>
        <w:snapToGrid/>
        <w:spacing w:line="240" w:lineRule="auto"/>
        <w:ind w:firstLine="640" w:firstLineChars="200"/>
        <w:jc w:val="both"/>
        <w:textAlignment w:val="auto"/>
        <w:outlineLvl w:val="9"/>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2E8B0235">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8769F3B">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CCC3EFD">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397E554C">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7810C4A">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2931E31">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407125A">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outlineLvl w:val="9"/>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2A1DA2D">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outlineLvl w:val="9"/>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044FD2AC">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8F261CF">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EE42BF7">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3486170">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364B0A1">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3CAD6C36">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8C7096D">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18A4D2E">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73DDF87F">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DAAD056">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outlineLvl w:val="9"/>
        <w:rPr>
          <w:color w:val="auto"/>
          <w:highlight w:val="none"/>
        </w:rPr>
      </w:pPr>
      <w:r>
        <w:rPr>
          <w:rFonts w:hint="eastAsia" w:ascii="仿宋_GB2312" w:hAnsi="仿宋_GB2312" w:eastAsia="仿宋_GB2312" w:cs="仿宋_GB2312"/>
          <w:color w:val="auto"/>
          <w:sz w:val="32"/>
          <w:szCs w:val="32"/>
          <w:highlight w:val="none"/>
        </w:rPr>
        <w:fldChar w:fldCharType="end"/>
      </w:r>
    </w:p>
    <w:p w14:paraId="593456AF">
      <w:pPr>
        <w:keepNext w:val="0"/>
        <w:keepLines w:val="0"/>
        <w:pageBreakBefore w:val="0"/>
        <w:kinsoku/>
        <w:wordWrap/>
        <w:overflowPunct/>
        <w:topLinePunct w:val="0"/>
        <w:bidi w:val="0"/>
        <w:adjustRightInd/>
        <w:snapToGrid/>
        <w:spacing w:line="240" w:lineRule="auto"/>
        <w:ind w:firstLine="640"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662FB6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6C2647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217D23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认真贯彻执行党的教育方针，根据我校的特点，结合实际出发，以国家拨给的教育经费为主要资金来源，妥善科学的管理使用各项资金，更好地为我校教育教学工作服务。</w:t>
      </w:r>
    </w:p>
    <w:p w14:paraId="2D909E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44913F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en-US" w:eastAsia="zh-CN"/>
        </w:rPr>
        <w:t>沙湾市金沟河镇中心学校</w:t>
      </w:r>
      <w:r>
        <w:rPr>
          <w:rFonts w:hint="eastAsia" w:ascii="仿宋_GB2312" w:hAnsi="仿宋_GB2312" w:eastAsia="仿宋_GB2312" w:cs="仿宋_GB2312"/>
          <w:color w:val="auto"/>
          <w:sz w:val="32"/>
          <w:szCs w:val="32"/>
          <w:highlight w:val="none"/>
          <w:lang w:eastAsia="zh-CN"/>
        </w:rPr>
        <w:t>2023年度，</w:t>
      </w:r>
      <w:r>
        <w:rPr>
          <w:rFonts w:hint="eastAsia" w:ascii="仿宋_GB2312" w:hAnsi="仿宋_GB2312" w:eastAsia="仿宋_GB2312" w:cs="仿宋_GB2312"/>
          <w:color w:val="auto"/>
          <w:sz w:val="32"/>
          <w:szCs w:val="32"/>
          <w:highlight w:val="none"/>
        </w:rPr>
        <w:t>实有人数</w:t>
      </w:r>
      <w:r>
        <w:rPr>
          <w:rFonts w:hint="eastAsia" w:ascii="仿宋_GB2312" w:hAnsi="仿宋_GB2312" w:eastAsia="仿宋_GB2312" w:cs="仿宋_GB2312"/>
          <w:color w:val="auto"/>
          <w:sz w:val="32"/>
          <w:szCs w:val="32"/>
          <w:highlight w:val="none"/>
          <w:lang w:val="zh-CN" w:eastAsia="zh-CN"/>
        </w:rPr>
        <w:t>236</w:t>
      </w:r>
      <w:r>
        <w:rPr>
          <w:rFonts w:hint="eastAsia" w:ascii="仿宋_GB2312" w:hAnsi="仿宋_GB2312" w:eastAsia="仿宋_GB2312" w:cs="仿宋_GB2312"/>
          <w:color w:val="auto"/>
          <w:sz w:val="32"/>
          <w:szCs w:val="32"/>
          <w:highlight w:val="none"/>
        </w:rPr>
        <w:t>人，其中：在职人员</w:t>
      </w:r>
      <w:r>
        <w:rPr>
          <w:rFonts w:hint="eastAsia" w:ascii="仿宋_GB2312" w:hAnsi="仿宋_GB2312" w:eastAsia="仿宋_GB2312" w:cs="仿宋_GB2312"/>
          <w:color w:val="auto"/>
          <w:sz w:val="32"/>
          <w:szCs w:val="32"/>
          <w:highlight w:val="none"/>
          <w:lang w:val="zh-CN" w:eastAsia="zh-CN"/>
        </w:rPr>
        <w:t>124</w:t>
      </w:r>
      <w:r>
        <w:rPr>
          <w:rFonts w:hint="eastAsia" w:ascii="仿宋_GB2312" w:hAnsi="仿宋_GB2312" w:eastAsia="仿宋_GB2312" w:cs="仿宋_GB2312"/>
          <w:color w:val="auto"/>
          <w:sz w:val="32"/>
          <w:szCs w:val="32"/>
          <w:highlight w:val="none"/>
        </w:rPr>
        <w:t>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离休人员</w:t>
      </w:r>
      <w:r>
        <w:rPr>
          <w:rFonts w:hint="eastAsia" w:ascii="仿宋_GB2312" w:hAnsi="仿宋_GB2312" w:eastAsia="仿宋_GB2312" w:cs="仿宋_GB2312"/>
          <w:color w:val="auto"/>
          <w:sz w:val="32"/>
          <w:szCs w:val="32"/>
          <w:highlight w:val="none"/>
          <w:lang w:val="zh-CN" w:eastAsia="zh-CN"/>
        </w:rPr>
        <w:t>0</w:t>
      </w:r>
      <w:r>
        <w:rPr>
          <w:rFonts w:hint="eastAsia" w:ascii="仿宋_GB2312" w:hAnsi="仿宋_GB2312" w:eastAsia="仿宋_GB2312" w:cs="仿宋_GB2312"/>
          <w:color w:val="auto"/>
          <w:sz w:val="32"/>
          <w:szCs w:val="32"/>
          <w:highlight w:val="none"/>
        </w:rPr>
        <w:t>人，退休人员</w:t>
      </w:r>
      <w:r>
        <w:rPr>
          <w:rFonts w:hint="eastAsia" w:ascii="仿宋_GB2312" w:hAnsi="仿宋_GB2312" w:eastAsia="仿宋_GB2312" w:cs="仿宋_GB2312"/>
          <w:color w:val="auto"/>
          <w:sz w:val="32"/>
          <w:szCs w:val="32"/>
          <w:highlight w:val="none"/>
          <w:lang w:val="zh-CN" w:eastAsia="zh-CN"/>
        </w:rPr>
        <w:t>112</w:t>
      </w:r>
      <w:r>
        <w:rPr>
          <w:rFonts w:hint="eastAsia" w:ascii="仿宋_GB2312" w:hAnsi="仿宋_GB2312" w:eastAsia="仿宋_GB2312" w:cs="仿宋_GB2312"/>
          <w:color w:val="auto"/>
          <w:sz w:val="32"/>
          <w:szCs w:val="32"/>
          <w:highlight w:val="none"/>
        </w:rPr>
        <w:t>人。</w:t>
      </w:r>
    </w:p>
    <w:p w14:paraId="515715AD">
      <w:pPr>
        <w:keepNext w:val="0"/>
        <w:keepLines w:val="0"/>
        <w:pageBreakBefore w:val="0"/>
        <w:kinsoku/>
        <w:wordWrap/>
        <w:overflowPunct/>
        <w:topLinePunct w:val="0"/>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000000"/>
          <w:sz w:val="32"/>
          <w:szCs w:val="32"/>
          <w:highlight w:val="none"/>
        </w:rPr>
      </w:pPr>
      <w:bookmarkStart w:id="6" w:name="_Toc29374"/>
      <w:bookmarkStart w:id="7" w:name="_Toc3092"/>
      <w:r>
        <w:rPr>
          <w:rFonts w:hint="eastAsia" w:ascii="仿宋_GB2312" w:hAnsi="仿宋_GB2312" w:eastAsia="仿宋_GB2312" w:cs="仿宋_GB2312"/>
          <w:color w:val="000000"/>
          <w:sz w:val="32"/>
          <w:szCs w:val="32"/>
          <w:highlight w:val="none"/>
          <w:lang w:val="en-US" w:eastAsia="zh-CN"/>
        </w:rPr>
        <w:t>单位</w:t>
      </w:r>
      <w:r>
        <w:rPr>
          <w:rFonts w:hint="eastAsia" w:ascii="仿宋_GB2312" w:hAnsi="仿宋_GB2312" w:eastAsia="仿宋_GB2312" w:cs="仿宋_GB2312"/>
          <w:color w:val="000000"/>
          <w:sz w:val="32"/>
          <w:szCs w:val="32"/>
          <w:highlight w:val="none"/>
        </w:rPr>
        <w:t>无下属</w:t>
      </w:r>
      <w:r>
        <w:rPr>
          <w:rFonts w:hint="eastAsia" w:ascii="仿宋_GB2312" w:hAnsi="仿宋_GB2312" w:eastAsia="仿宋_GB2312" w:cs="仿宋_GB2312"/>
          <w:color w:val="000000"/>
          <w:sz w:val="32"/>
          <w:szCs w:val="32"/>
          <w:highlight w:val="none"/>
          <w:lang w:val="en-US" w:eastAsia="zh-CN"/>
        </w:rPr>
        <w:t>预算</w:t>
      </w:r>
      <w:r>
        <w:rPr>
          <w:rFonts w:hint="eastAsia" w:ascii="仿宋_GB2312" w:hAnsi="仿宋_GB2312" w:eastAsia="仿宋_GB2312" w:cs="仿宋_GB2312"/>
          <w:color w:val="000000"/>
          <w:sz w:val="32"/>
          <w:szCs w:val="32"/>
          <w:highlight w:val="none"/>
        </w:rPr>
        <w:t>单位。</w:t>
      </w:r>
      <w:r>
        <w:rPr>
          <w:rFonts w:hint="eastAsia" w:ascii="仿宋_GB2312" w:hAnsi="仿宋_GB2312" w:eastAsia="仿宋_GB2312" w:cs="仿宋_GB2312"/>
          <w:bCs/>
          <w:color w:val="000000"/>
          <w:kern w:val="0"/>
          <w:sz w:val="32"/>
          <w:szCs w:val="32"/>
          <w:highlight w:val="none"/>
          <w:lang w:val="en-US" w:eastAsia="zh-CN"/>
        </w:rPr>
        <w:t>下</w:t>
      </w:r>
      <w:r>
        <w:rPr>
          <w:rFonts w:hint="eastAsia" w:ascii="仿宋_GB2312" w:hAnsi="仿宋_GB2312" w:eastAsia="仿宋_GB2312" w:cs="仿宋_GB2312"/>
          <w:bCs/>
          <w:color w:val="000000"/>
          <w:kern w:val="0"/>
          <w:sz w:val="32"/>
          <w:szCs w:val="32"/>
          <w:highlight w:val="none"/>
        </w:rPr>
        <w:t>设</w:t>
      </w:r>
      <w:r>
        <w:rPr>
          <w:rFonts w:hint="eastAsia" w:ascii="仿宋_GB2312" w:hAnsi="仿宋_GB2312" w:eastAsia="仿宋_GB2312" w:cs="仿宋_GB2312"/>
          <w:bCs/>
          <w:color w:val="000000"/>
          <w:kern w:val="0"/>
          <w:sz w:val="32"/>
          <w:szCs w:val="32"/>
          <w:highlight w:val="none"/>
          <w:lang w:val="en-US" w:eastAsia="zh-CN"/>
        </w:rPr>
        <w:t>5</w:t>
      </w:r>
      <w:r>
        <w:rPr>
          <w:rFonts w:hint="eastAsia" w:ascii="仿宋_GB2312" w:hAnsi="仿宋_GB2312" w:eastAsia="仿宋_GB2312" w:cs="仿宋_GB2312"/>
          <w:bCs/>
          <w:color w:val="000000"/>
          <w:kern w:val="0"/>
          <w:sz w:val="32"/>
          <w:szCs w:val="32"/>
          <w:highlight w:val="none"/>
        </w:rPr>
        <w:t>个处室，分别是：</w:t>
      </w:r>
      <w:r>
        <w:rPr>
          <w:rFonts w:hint="eastAsia" w:ascii="仿宋_GB2312" w:hAnsi="仿宋_GB2312" w:eastAsia="仿宋_GB2312" w:cs="仿宋_GB2312"/>
          <w:color w:val="000000"/>
          <w:sz w:val="32"/>
          <w:szCs w:val="32"/>
          <w:highlight w:val="none"/>
        </w:rPr>
        <w:t>教务处、后勤处、财务处、校办、德育处。</w:t>
      </w:r>
    </w:p>
    <w:p w14:paraId="4D20E698">
      <w:pPr>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14:paraId="441834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49D0AC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662553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2,760.68万元，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2,760.68万元，使用非财政拨款结余0.00万元，年初结转和结余0.00万元。</w:t>
      </w:r>
    </w:p>
    <w:p w14:paraId="1F197F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2,760.68万元，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2,760.68万元，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45B6AB77">
      <w:pPr>
        <w:keepNext w:val="0"/>
        <w:keepLines w:val="0"/>
        <w:pageBreakBefore w:val="0"/>
        <w:kinsoku/>
        <w:wordWrap/>
        <w:overflowPunct/>
        <w:topLinePunct w:val="0"/>
        <w:bidi w:val="0"/>
        <w:adjustRightInd/>
        <w:snapToGrid/>
        <w:spacing w:line="240" w:lineRule="auto"/>
        <w:ind w:firstLine="640" w:firstLineChars="200"/>
        <w:jc w:val="both"/>
        <w:textAlignment w:val="auto"/>
        <w:outlineLvl w:val="9"/>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增加330.74万元</w:t>
      </w:r>
      <w:r>
        <w:rPr>
          <w:rFonts w:hint="eastAsia" w:ascii="仿宋_GB2312" w:eastAsia="仿宋_GB2312"/>
          <w:color w:val="auto"/>
          <w:spacing w:val="0"/>
          <w:sz w:val="32"/>
          <w:szCs w:val="32"/>
          <w:highlight w:val="none"/>
          <w:lang w:eastAsia="zh-CN"/>
        </w:rPr>
        <w:t>，增长13.61%，主要原因是：2023年拨付2018年下半年及2020年1-3月绩效考核奖励金，并且教师工资调增，补发公办园财聘教师工资；拨付了2023年的工会会费，拨付城乡义务教育消防水池工程款资金；拨付了2020-2022年学前三年免费教育市级配套资金。加大了项目建设的投入，所以收入支出整体比去年增加。</w:t>
      </w:r>
    </w:p>
    <w:p w14:paraId="292E4A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5ABF4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2,760.68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2,760.68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39131A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4EB211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本年支出2,760.68万元，其中：基本支出2,276.44万元，占82.46%；项目支出484.25万元，占17.54%；上缴上级支出0.00万元，占0.00%；经营支出0.00万元，占0.00%；对附属单位补助支出0.00万元，占0.00%。</w:t>
      </w:r>
    </w:p>
    <w:p w14:paraId="7D550D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4B55C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2,760.68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2,760.68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2,760.68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2,760.68</w:t>
      </w:r>
      <w:r>
        <w:rPr>
          <w:rFonts w:hint="eastAsia" w:ascii="仿宋_GB2312" w:eastAsia="仿宋_GB2312"/>
          <w:color w:val="auto"/>
          <w:spacing w:val="0"/>
          <w:sz w:val="32"/>
          <w:szCs w:val="32"/>
          <w:highlight w:val="none"/>
          <w:lang w:eastAsia="zh-CN"/>
        </w:rPr>
        <w:t>万元。</w:t>
      </w:r>
    </w:p>
    <w:p w14:paraId="50F10E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color w:val="FF0000"/>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财政拨款收入支出总体与上年相比,</w:t>
      </w:r>
      <w:r>
        <w:rPr>
          <w:rFonts w:hint="eastAsia" w:ascii="仿宋_GB2312" w:eastAsia="仿宋_GB2312"/>
          <w:color w:val="auto"/>
          <w:spacing w:val="0"/>
          <w:sz w:val="32"/>
          <w:szCs w:val="32"/>
          <w:highlight w:val="none"/>
          <w:lang w:val="zh-CN" w:eastAsia="zh-CN"/>
        </w:rPr>
        <w:t>增加330.74万元</w:t>
      </w:r>
      <w:r>
        <w:rPr>
          <w:rFonts w:hint="eastAsia" w:ascii="仿宋_GB2312" w:eastAsia="仿宋_GB2312"/>
          <w:color w:val="auto"/>
          <w:spacing w:val="0"/>
          <w:sz w:val="32"/>
          <w:szCs w:val="32"/>
          <w:highlight w:val="none"/>
          <w:lang w:val="en-US" w:eastAsia="zh-CN"/>
        </w:rPr>
        <w:t>，增长13.61%,主要原因是：2023年拨付2018年下半年及2020年1-3月绩效考核奖励金，并且教师工资调增，补发公办园财聘教师工资；拨付了2023年的工会会费，拨付城乡义务教育消防水池工程款资金；拨付了2020-2022年学前三年免费教育市级配套资金。与年初预算相比，年初预算数</w:t>
      </w:r>
      <w:r>
        <w:rPr>
          <w:rFonts w:hint="eastAsia" w:ascii="仿宋_GB2312" w:eastAsia="仿宋_GB2312"/>
          <w:color w:val="auto"/>
          <w:spacing w:val="0"/>
          <w:sz w:val="32"/>
          <w:szCs w:val="32"/>
          <w:highlight w:val="none"/>
          <w:lang w:val="zh-CN" w:eastAsia="zh-CN"/>
        </w:rPr>
        <w:t>2,321.78</w:t>
      </w:r>
      <w:r>
        <w:rPr>
          <w:rFonts w:hint="eastAsia" w:ascii="仿宋_GB2312" w:eastAsia="仿宋_GB2312"/>
          <w:color w:val="auto"/>
          <w:spacing w:val="0"/>
          <w:sz w:val="32"/>
          <w:szCs w:val="32"/>
          <w:highlight w:val="none"/>
          <w:lang w:val="en-US" w:eastAsia="zh-CN"/>
        </w:rPr>
        <w:t>万元，决算数</w:t>
      </w:r>
      <w:r>
        <w:rPr>
          <w:rFonts w:hint="eastAsia" w:ascii="仿宋_GB2312" w:eastAsia="仿宋_GB2312"/>
          <w:color w:val="auto"/>
          <w:spacing w:val="0"/>
          <w:sz w:val="32"/>
          <w:szCs w:val="32"/>
          <w:highlight w:val="none"/>
          <w:lang w:val="zh-CN" w:eastAsia="zh-CN"/>
        </w:rPr>
        <w:t>2,760.68</w:t>
      </w:r>
      <w:r>
        <w:rPr>
          <w:rFonts w:hint="eastAsia" w:ascii="仿宋_GB2312" w:eastAsia="仿宋_GB2312"/>
          <w:color w:val="auto"/>
          <w:spacing w:val="0"/>
          <w:sz w:val="32"/>
          <w:szCs w:val="32"/>
          <w:highlight w:val="none"/>
          <w:lang w:val="en-US" w:eastAsia="zh-CN"/>
        </w:rPr>
        <w:t>万元，预决算差异率18.90%，主要原因是：2023年追加2018年下半年及2020年1-3月绩效考核奖励金，并且追加教师工资调增部分。</w:t>
      </w:r>
    </w:p>
    <w:p w14:paraId="6FB1E0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3C2321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lang w:eastAsia="zh-CN"/>
        </w:rPr>
        <w:t>（一）一般公共预算财政拨款支出决算总体情况</w:t>
      </w:r>
    </w:p>
    <w:p w14:paraId="7BE9A7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2023年度一般公共预算财政拨款支出2,760.68万元，占本年支出合计的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增加330.74万元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增长13.61%，</w:t>
      </w:r>
      <w:r>
        <w:rPr>
          <w:rFonts w:hint="eastAsia" w:ascii="仿宋_GB2312" w:eastAsia="仿宋_GB2312"/>
          <w:color w:val="auto"/>
          <w:spacing w:val="0"/>
          <w:sz w:val="32"/>
          <w:szCs w:val="32"/>
          <w:highlight w:val="none"/>
          <w:lang w:eastAsia="zh-CN"/>
        </w:rPr>
        <w:t>主要原因是：2023年拨付2018年下半年及2020年1-3月绩效考核奖励金，并且教师工资调增，补发公办园财聘教师工资，拨付了2023年的工会会费，拨付城乡义务教育消防水池工程款资金，拨付2020-2022年学前三年免费教育市级配套资金。加大了项目建设的投入。与年初预算相比，年初预算数</w:t>
      </w:r>
      <w:r>
        <w:rPr>
          <w:rFonts w:hint="eastAsia" w:ascii="仿宋_GB2312" w:eastAsia="仿宋_GB2312"/>
          <w:color w:val="auto"/>
          <w:spacing w:val="0"/>
          <w:sz w:val="32"/>
          <w:szCs w:val="32"/>
          <w:highlight w:val="none"/>
          <w:lang w:val="zh-CN" w:eastAsia="zh-CN"/>
        </w:rPr>
        <w:t>2,321.78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2,760.68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18.90%</w:t>
      </w:r>
      <w:r>
        <w:rPr>
          <w:rFonts w:hint="eastAsia" w:ascii="仿宋_GB2312" w:eastAsia="仿宋_GB2312"/>
          <w:color w:val="auto"/>
          <w:spacing w:val="0"/>
          <w:sz w:val="32"/>
          <w:szCs w:val="32"/>
          <w:highlight w:val="none"/>
          <w:lang w:eastAsia="zh-CN"/>
        </w:rPr>
        <w:t>，主要原因是：2023年追加2018年下半年及2020年1-3月绩效考核奖励金，并且追加教师工资调增部分。</w:t>
      </w:r>
    </w:p>
    <w:p w14:paraId="3F8D48CD">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s="黑体"/>
          <w:b w:val="0"/>
          <w:bCs w:val="0"/>
          <w:color w:val="auto"/>
          <w:spacing w:val="0"/>
          <w:kern w:val="2"/>
          <w:sz w:val="32"/>
          <w:szCs w:val="32"/>
          <w:highlight w:val="none"/>
          <w:lang w:val="zh-CN" w:eastAsia="zh-CN" w:bidi="ar-SA"/>
        </w:rPr>
      </w:pPr>
      <w:r>
        <w:rPr>
          <w:rFonts w:hint="eastAsia" w:ascii="黑体" w:hAnsi="黑体" w:eastAsia="黑体" w:cs="黑体"/>
          <w:b w:val="0"/>
          <w:bCs w:val="0"/>
          <w:color w:val="auto"/>
          <w:sz w:val="32"/>
          <w:szCs w:val="32"/>
          <w:highlight w:val="none"/>
          <w:lang w:eastAsia="zh-CN"/>
        </w:rPr>
        <w:t>一般公共预算</w:t>
      </w:r>
      <w:r>
        <w:rPr>
          <w:rFonts w:hint="eastAsia" w:ascii="黑体" w:hAnsi="黑体" w:eastAsia="黑体" w:cs="黑体"/>
          <w:b w:val="0"/>
          <w:bCs w:val="0"/>
          <w:color w:val="auto"/>
          <w:sz w:val="32"/>
          <w:szCs w:val="32"/>
          <w:highlight w:val="none"/>
          <w:lang w:val="en-US" w:eastAsia="zh-CN"/>
        </w:rPr>
        <w:t>财政拨款支出决算</w:t>
      </w:r>
      <w:r>
        <w:rPr>
          <w:rFonts w:hint="eastAsia" w:ascii="黑体" w:hAnsi="黑体" w:eastAsia="黑体" w:cs="黑体"/>
          <w:b w:val="0"/>
          <w:bCs w:val="0"/>
          <w:color w:val="auto"/>
          <w:sz w:val="32"/>
          <w:szCs w:val="32"/>
          <w:highlight w:val="none"/>
          <w:lang w:eastAsia="zh-CN"/>
        </w:rPr>
        <w:t>结构情况</w:t>
      </w:r>
    </w:p>
    <w:p w14:paraId="253B87B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outlineLvl w:val="9"/>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2,760.68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p>
    <w:p w14:paraId="7041249C">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lang w:eastAsia="zh-CN"/>
        </w:rPr>
        <w:t>一般公共预算财政拨款支出决算具体情况</w:t>
      </w:r>
    </w:p>
    <w:p w14:paraId="4EFD11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36.00万元，比上年决算增加17.00万元，增长89.47%，主要原因是：2023年预算增加了学校幼儿园附属工程、综合楼附属工程、义务教育消防水池工程款资金的投入。</w:t>
      </w:r>
    </w:p>
    <w:p w14:paraId="168533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2.教育支出（类）普通教育（款）小学教育（项）:支出决算数为1,593.73万元，比上年决算增加248.28万元，增长18.45%，主要原因是：2023年预算加大了学校暖气维修工程资金，义务教育消防水池工程款资金。</w:t>
      </w:r>
    </w:p>
    <w:p w14:paraId="750AE6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3.教育支出（类）普通教育（款）学前教育（项）:支出决算数为285.70万元，比上年决算增加61.43万元，增长27.39%，主要原因是：拨付了2020-2022年学前三年免费教育市级配套资金，加大了校园维修项目的投入</w:t>
      </w:r>
      <w:r>
        <w:rPr>
          <w:rFonts w:hint="eastAsia" w:ascii="仿宋_GB2312" w:hAnsi="仿宋_GB2312" w:eastAsia="仿宋_GB2312" w:cs="仿宋_GB2312"/>
          <w:color w:val="auto"/>
          <w:kern w:val="2"/>
          <w:sz w:val="32"/>
          <w:szCs w:val="32"/>
          <w:highlight w:val="none"/>
          <w:lang w:val="zh-CN" w:eastAsia="zh-CN" w:bidi="ar-SA"/>
        </w:rPr>
        <w:t>。</w:t>
      </w:r>
    </w:p>
    <w:p w14:paraId="6141DF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4.教育支出（类）普通教育（款）初中教育（项）:支出决算数为845.26万元，比上年决算增加4.04万元，增长0.48%，主要原因是：2023年预算加大了项目资金的投入，校园维修资金增加。</w:t>
      </w:r>
    </w:p>
    <w:p w14:paraId="615A55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4005BC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2,276.44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2,270.48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基本工资、津贴补贴、奖金、绩效工资、机关事业单位基本养老保险缴费、职业年金缴费、职工基本医疗保险缴费、其他社会保障缴费、住房公积金、其他工资福利支出、退休费、抚恤金、生活补助、奖励金。</w:t>
      </w:r>
    </w:p>
    <w:p w14:paraId="5C4282C6">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5.96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14:paraId="415E7C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24683B7D">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eastAsia" w:ascii="仿宋_GB2312" w:eastAsia="仿宋_GB2312"/>
          <w:sz w:val="32"/>
          <w:szCs w:val="32"/>
          <w:highlight w:val="none"/>
        </w:rPr>
      </w:pPr>
      <w:bookmarkStart w:id="18" w:name="_Toc7927"/>
      <w:bookmarkStart w:id="19" w:name="_Toc5810"/>
      <w:r>
        <w:rPr>
          <w:rFonts w:hint="eastAsia" w:ascii="仿宋_GB2312" w:eastAsia="仿宋_GB2312"/>
          <w:spacing w:val="0"/>
          <w:sz w:val="32"/>
          <w:szCs w:val="32"/>
          <w:highlight w:val="none"/>
        </w:rPr>
        <w:t>202</w:t>
      </w:r>
      <w:r>
        <w:rPr>
          <w:rFonts w:hint="eastAsia" w:ascii="仿宋_GB2312" w:eastAsia="仿宋_GB2312"/>
          <w:spacing w:val="0"/>
          <w:sz w:val="32"/>
          <w:szCs w:val="32"/>
          <w:highlight w:val="none"/>
          <w:lang w:val="en-US" w:eastAsia="zh-CN"/>
        </w:rPr>
        <w:t>3</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rPr>
        <w:t>财政拨款“三公”经费支出决算0.00万元，比上年增加0.00万元，增长0.00%，主要原因是：202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年沙湾市</w:t>
      </w:r>
      <w:r>
        <w:rPr>
          <w:rFonts w:hint="eastAsia" w:ascii="仿宋_GB2312" w:eastAsia="仿宋_GB2312"/>
          <w:sz w:val="32"/>
          <w:szCs w:val="32"/>
          <w:highlight w:val="none"/>
          <w:lang w:eastAsia="zh-CN"/>
        </w:rPr>
        <w:t>金沟河镇中心幼儿园</w:t>
      </w:r>
      <w:r>
        <w:rPr>
          <w:rFonts w:hint="eastAsia" w:ascii="仿宋_GB2312" w:eastAsia="仿宋_GB2312"/>
          <w:sz w:val="32"/>
          <w:szCs w:val="32"/>
          <w:highlight w:val="none"/>
        </w:rPr>
        <w:t>无“三公”经费支出。其中：因公出国（境）费支出0.00万元，占0.00%，比上年增加0.00万元，增长0.00%，主要原因是：202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年我单位无因公出国（境）费支出；公务用车购置及运行维护费支出0.00万元，占0.00%，比上年增加0.00万元，增长0.00%，主要原因是：202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年我单位无公务用车购置及运行维护费支出；公务接待费支出0.00万元，占0.00%，比上年增加0.00万元，增长0.00%，主要原因是：202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年我单位无公务接待费支出。具体情况如下：</w:t>
      </w:r>
    </w:p>
    <w:p w14:paraId="3FEF44B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14:paraId="09E9B24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支出。公务用车购置数0辆，公务用车保有量0辆。国有资产占用情况中固定资产车辆0辆，与公务用车保有量差异原因是：无差异。</w:t>
      </w:r>
    </w:p>
    <w:p w14:paraId="220EC06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14:paraId="4074ADB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全年预算相比,财政拨款“三公”经费支出全年预算数0.00万元，决算数0.00万元，预决算差异率0.00%，主要原因是：本单位未安排财政拨款“三公”经费支出，预决算无差异。其中：因公出国（境）费全年预算数0.00万元，决算数0.00万元，预决算差异率0.00%，主要原因是：本单位未安排因公出国（境）费，预决算无差异；公务用车购置费全年预算数0.00万元，决算数0.00万元，预决算差异率0.00%，主要原因是：本单位未安排公务用车购置费，预决算无差异；公务用车</w:t>
      </w:r>
      <w:bookmarkStart w:id="48" w:name="_GoBack"/>
      <w:bookmarkEnd w:id="48"/>
      <w:r>
        <w:rPr>
          <w:rFonts w:hint="eastAsia" w:ascii="仿宋_GB2312" w:eastAsia="仿宋_GB2312"/>
          <w:color w:val="auto"/>
          <w:sz w:val="32"/>
          <w:szCs w:val="32"/>
          <w:highlight w:val="none"/>
          <w:lang w:val="zh-CN" w:eastAsia="zh-CN"/>
        </w:rPr>
        <w:t>运行费全年预算数0.00万元，决算数0.00万元，预决算差异率0.00%，主要原因是：本单位未安排公务用车运行费，预决算无差异；公务接待费全年预算数0.00万元，决算数0.00万元，预决算差异率0.00%，主要原因是：本单位未安排公务接待费，预决算无差异。</w:t>
      </w:r>
    </w:p>
    <w:p w14:paraId="09EEC8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100531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5242D1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19CEBBB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18D5A1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29027D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s="宋体"/>
          <w:bCs/>
          <w:color w:val="auto"/>
          <w:kern w:val="0"/>
          <w:sz w:val="32"/>
          <w:szCs w:val="32"/>
          <w:highlight w:val="none"/>
          <w:lang w:eastAsia="zh-CN"/>
        </w:rPr>
      </w:pPr>
      <w:bookmarkStart w:id="22" w:name="_Toc14519"/>
      <w:bookmarkStart w:id="23" w:name="_Toc13105"/>
      <w:r>
        <w:rPr>
          <w:rFonts w:hint="eastAsia" w:ascii="黑体" w:hAnsi="黑体" w:eastAsia="黑体" w:cs="宋体"/>
          <w:bCs/>
          <w:color w:val="auto"/>
          <w:kern w:val="0"/>
          <w:sz w:val="32"/>
          <w:szCs w:val="32"/>
          <w:highlight w:val="none"/>
          <w:lang w:eastAsia="zh-CN"/>
        </w:rPr>
        <w:t>（一）机关运行经费支出情况</w:t>
      </w:r>
      <w:bookmarkEnd w:id="22"/>
      <w:bookmarkEnd w:id="23"/>
    </w:p>
    <w:p w14:paraId="4730BB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沙湾市金沟河镇中心学校（事业单位）公用经费支出5.96万元，</w:t>
      </w:r>
      <w:r>
        <w:rPr>
          <w:rFonts w:hint="eastAsia" w:ascii="仿宋_GB2312" w:hAnsi="仿宋_GB2312" w:eastAsia="仿宋_GB2312" w:cs="仿宋_GB2312"/>
          <w:color w:val="auto"/>
          <w:sz w:val="32"/>
          <w:szCs w:val="32"/>
          <w:highlight w:val="none"/>
          <w:lang w:val="zh-CN" w:eastAsia="zh-CN"/>
        </w:rPr>
        <w:t>比上年减少14.04万元，下降70.20%，主要原因是：</w:t>
      </w:r>
      <w:r>
        <w:rPr>
          <w:rFonts w:hint="eastAsia" w:ascii="仿宋_GB2312" w:hAnsi="仿宋_GB2312" w:eastAsia="仿宋_GB2312" w:cs="仿宋_GB2312"/>
          <w:color w:val="auto"/>
          <w:sz w:val="32"/>
          <w:szCs w:val="32"/>
          <w:highlight w:val="none"/>
          <w:lang w:val="en-US" w:eastAsia="zh-CN"/>
        </w:rPr>
        <w:t>2022年调整的财聘人员工资在劳务费反映，2023年仅包含工会费支出。</w:t>
      </w:r>
    </w:p>
    <w:p w14:paraId="37E26E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s="宋体"/>
          <w:bCs/>
          <w:color w:val="auto"/>
          <w:kern w:val="0"/>
          <w:sz w:val="32"/>
          <w:szCs w:val="32"/>
          <w:highlight w:val="none"/>
          <w:lang w:val="zh-CN" w:eastAsia="zh-CN"/>
        </w:rPr>
      </w:pPr>
      <w:r>
        <w:rPr>
          <w:rFonts w:hint="eastAsia" w:ascii="黑体" w:hAnsi="黑体" w:eastAsia="黑体" w:cs="宋体"/>
          <w:bCs/>
          <w:color w:val="auto"/>
          <w:kern w:val="0"/>
          <w:sz w:val="32"/>
          <w:szCs w:val="32"/>
          <w:highlight w:val="none"/>
          <w:lang w:val="zh-CN" w:eastAsia="zh-CN"/>
        </w:rPr>
        <w:t>（二）政府采购情况</w:t>
      </w:r>
      <w:bookmarkEnd w:id="24"/>
      <w:bookmarkEnd w:id="25"/>
    </w:p>
    <w:p w14:paraId="3BC54A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28.50万元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其中：政府采购货物支出9.55万元、政府采购工程支出0.00万元、政府采购服务支出18.95万元。</w:t>
      </w:r>
    </w:p>
    <w:p w14:paraId="41BE42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授予中小企业合同金额28.50万元，占政府采购支出总额的100.00%，其中：授予小微企业合同金额28.50万元，占政府采购支出总额的100.00%</w:t>
      </w:r>
      <w:r>
        <w:rPr>
          <w:rFonts w:hint="eastAsia" w:ascii="仿宋_GB2312" w:hAnsi="仿宋_GB2312" w:eastAsia="仿宋_GB2312" w:cs="仿宋_GB2312"/>
          <w:color w:val="auto"/>
          <w:sz w:val="32"/>
          <w:szCs w:val="32"/>
          <w:highlight w:val="none"/>
          <w:lang w:val="en-US" w:eastAsia="zh-CN"/>
        </w:rPr>
        <w:t>。</w:t>
      </w:r>
    </w:p>
    <w:p w14:paraId="1998CC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楷体_GB2312" w:hAnsi="楷体_GB2312" w:eastAsia="楷体_GB2312" w:cs="楷体_GB2312"/>
          <w:b/>
          <w:bCs/>
          <w:color w:val="auto"/>
          <w:sz w:val="32"/>
          <w:szCs w:val="32"/>
          <w:highlight w:val="none"/>
          <w:lang w:val="zh-CN" w:eastAsia="zh-CN"/>
        </w:rPr>
      </w:pPr>
      <w:bookmarkStart w:id="26" w:name="_Toc8391"/>
      <w:bookmarkStart w:id="27" w:name="_Toc4591"/>
      <w:r>
        <w:rPr>
          <w:rFonts w:hint="eastAsia" w:ascii="黑体" w:hAnsi="黑体" w:eastAsia="黑体" w:cs="宋体"/>
          <w:bCs/>
          <w:color w:val="auto"/>
          <w:kern w:val="0"/>
          <w:sz w:val="32"/>
          <w:szCs w:val="32"/>
          <w:highlight w:val="none"/>
          <w:lang w:val="zh-CN" w:eastAsia="zh-CN"/>
        </w:rPr>
        <w:t>（三）国有资产占用情况说明</w:t>
      </w:r>
      <w:bookmarkEnd w:id="26"/>
      <w:bookmarkEnd w:id="27"/>
    </w:p>
    <w:p w14:paraId="66E927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3,401.34</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屋23,570.61平方米，价值2,836.03万元。车辆0辆，价值0.00万元，其中：副部（省）级及以上领导用车0辆、主要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sz w:val="32"/>
          <w:szCs w:val="32"/>
          <w:highlight w:val="none"/>
          <w:lang w:eastAsia="zh-CN"/>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lang w:eastAsia="zh-CN"/>
        </w:rPr>
        <w:t>年本单位无其他用车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35578E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39E62711">
      <w:pPr>
        <w:rPr>
          <w:rFonts w:hint="eastAsia" w:ascii="仿宋_GB2312" w:eastAsia="仿宋_GB2312"/>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2761.6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2760.68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全年预算数547.16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全年执行数545.32</w:t>
      </w:r>
      <w:r>
        <w:rPr>
          <w:rFonts w:hint="eastAsia" w:ascii="仿宋_GB2312" w:eastAsia="仿宋_GB2312"/>
          <w:color w:val="auto"/>
          <w:sz w:val="32"/>
          <w:szCs w:val="32"/>
          <w:highlight w:val="none"/>
        </w:rPr>
        <w:t>万元，</w:t>
      </w:r>
      <w:r>
        <w:rPr>
          <w:rFonts w:hint="eastAsia" w:ascii="仿宋_GB2312" w:eastAsia="仿宋_GB2312"/>
          <w:color w:val="000000" w:themeColor="text1"/>
          <w:sz w:val="32"/>
          <w:szCs w:val="32"/>
          <w:highlight w:val="none"/>
          <w14:textFill>
            <w14:solidFill>
              <w14:schemeClr w14:val="tx1"/>
            </w14:solidFill>
          </w14:textFill>
        </w:rPr>
        <w:t>本单位sm项目</w:t>
      </w:r>
      <w:r>
        <w:rPr>
          <w:rFonts w:hint="eastAsia" w:ascii="仿宋_GB2312" w:eastAsia="仿宋_GB2312"/>
          <w:color w:val="000000" w:themeColor="text1"/>
          <w:sz w:val="32"/>
          <w:szCs w:val="32"/>
          <w:highlight w:val="none"/>
          <w:lang w:val="en-US" w:eastAsia="zh-CN"/>
          <w14:textFill>
            <w14:solidFill>
              <w14:schemeClr w14:val="tx1"/>
            </w14:solidFill>
          </w14:textFill>
        </w:rPr>
        <w:t>2</w:t>
      </w:r>
      <w:r>
        <w:rPr>
          <w:rFonts w:hint="eastAsia" w:ascii="仿宋_GB2312" w:eastAsia="仿宋_GB2312"/>
          <w:color w:val="000000" w:themeColor="text1"/>
          <w:sz w:val="32"/>
          <w:szCs w:val="32"/>
          <w:highlight w:val="none"/>
          <w14:textFill>
            <w14:solidFill>
              <w14:schemeClr w14:val="tx1"/>
            </w14:solidFill>
          </w14:textFill>
        </w:rPr>
        <w:t>个，全年预算数</w:t>
      </w:r>
      <w:r>
        <w:rPr>
          <w:rFonts w:hint="eastAsia" w:ascii="仿宋_GB2312" w:eastAsia="仿宋_GB2312"/>
          <w:color w:val="000000" w:themeColor="text1"/>
          <w:sz w:val="32"/>
          <w:szCs w:val="32"/>
          <w:highlight w:val="none"/>
          <w:lang w:val="en-US" w:eastAsia="zh-CN"/>
          <w14:textFill>
            <w14:solidFill>
              <w14:schemeClr w14:val="tx1"/>
            </w14:solidFill>
          </w14:textFill>
        </w:rPr>
        <w:t>225.75</w:t>
      </w:r>
      <w:r>
        <w:rPr>
          <w:rFonts w:hint="eastAsia" w:ascii="仿宋_GB2312" w:eastAsia="仿宋_GB2312"/>
          <w:color w:val="000000" w:themeColor="text1"/>
          <w:sz w:val="32"/>
          <w:szCs w:val="32"/>
          <w:highlight w:val="none"/>
          <w14:textFill>
            <w14:solidFill>
              <w14:schemeClr w14:val="tx1"/>
            </w14:solidFill>
          </w14:textFill>
        </w:rPr>
        <w:t>万元，全年执行数</w:t>
      </w:r>
      <w:r>
        <w:rPr>
          <w:rFonts w:hint="eastAsia" w:ascii="仿宋_GB2312" w:eastAsia="仿宋_GB2312"/>
          <w:color w:val="000000" w:themeColor="text1"/>
          <w:sz w:val="32"/>
          <w:szCs w:val="32"/>
          <w:highlight w:val="none"/>
          <w:lang w:val="en-US" w:eastAsia="zh-CN"/>
          <w14:textFill>
            <w14:solidFill>
              <w14:schemeClr w14:val="tx1"/>
            </w14:solidFill>
          </w14:textFill>
        </w:rPr>
        <w:t>225.75</w:t>
      </w:r>
      <w:r>
        <w:rPr>
          <w:rFonts w:hint="eastAsia" w:ascii="仿宋_GB2312" w:eastAsia="仿宋_GB2312"/>
          <w:color w:val="000000" w:themeColor="text1"/>
          <w:sz w:val="32"/>
          <w:szCs w:val="32"/>
          <w:highlight w:val="none"/>
          <w14:textFill>
            <w14:solidFill>
              <w14:schemeClr w14:val="tx1"/>
            </w14:solidFill>
          </w14:textFill>
        </w:rPr>
        <w:t>万元，不予以公开。</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提高特岗教师收入水平，确保特岗教师同工同酬，改善办学条件；二是为提高教育教学水平提供保障。为我校服务的特岗教师提供生活保障，安心为教育事业贡献自己的力量；为教育教学开展提供保障。发现的问题及原因：一是项目目标设置需要更加完善；资金支付不及时；二是项目实施跟踪监控还需加强。下一步改进措施：一是继续完善预算目标制定；提高支付力度，确保资金及时足额支付；二是及时跟踪监控执行过程，保障项目顺利实施；及时跟踪监控执行过程，保障资金发放到位。</w:t>
      </w:r>
    </w:p>
    <w:p w14:paraId="145E550E">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397C88C8">
      <w:pPr>
        <w:keepNext w:val="0"/>
        <w:keepLines w:val="0"/>
        <w:pageBreakBefore w:val="0"/>
        <w:widowControl w:val="0"/>
        <w:numPr>
          <w:ilvl w:val="0"/>
          <w:numId w:val="2"/>
        </w:numPr>
        <w:kinsoku/>
        <w:wordWrap/>
        <w:overflowPunct/>
        <w:topLinePunct w:val="0"/>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其他需说明的事项</w:t>
      </w:r>
    </w:p>
    <w:p w14:paraId="27B05B61">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本单位sm项目2个，全年预算数225.75万元，全年执行数225.75万元，不予以公开绩效自评表。</w:t>
      </w:r>
    </w:p>
    <w:p w14:paraId="2C20D9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1AD57E3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2206E2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DD2D83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7E1C97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06E637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66D75F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447DF39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50C442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57478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5121FE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53C88C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FDD2E1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2119B7F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B60BE5C">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outlineLvl w:val="9"/>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0484CF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063591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1AB039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14F0AB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3ACF43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0D4F4E7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54087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05EC1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1BEEC7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105A6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2728B90C">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9"/>
        <w:rPr>
          <w:rFonts w:hint="eastAsia" w:ascii="仿宋_GB2312" w:eastAsia="仿宋_GB2312"/>
          <w:color w:val="auto"/>
          <w:sz w:val="32"/>
          <w:szCs w:val="32"/>
          <w:highlight w:val="none"/>
        </w:rPr>
      </w:pPr>
    </w:p>
    <w:p w14:paraId="2E247B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B121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09E4A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509E4A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170B4BF8"/>
    <w:multiLevelType w:val="singleLevel"/>
    <w:tmpl w:val="170B4BF8"/>
    <w:lvl w:ilvl="0" w:tentative="0">
      <w:start w:val="1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MTA0ZjdhNTE2MGYwMzg2YjkyNzkwNmNhMGZmNzQifQ=="/>
    <w:docVar w:name="KSO_WPS_MARK_KEY" w:val="41ee2a61-2d54-4f93-83be-afdb9a40d732"/>
  </w:docVars>
  <w:rsids>
    <w:rsidRoot w:val="00000000"/>
    <w:rsid w:val="001123A4"/>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9A54F1"/>
    <w:rsid w:val="05EF4B48"/>
    <w:rsid w:val="05F76ECA"/>
    <w:rsid w:val="06183A24"/>
    <w:rsid w:val="06792773"/>
    <w:rsid w:val="06FD75CA"/>
    <w:rsid w:val="07093795"/>
    <w:rsid w:val="07804730"/>
    <w:rsid w:val="079052BE"/>
    <w:rsid w:val="080551C2"/>
    <w:rsid w:val="08145C21"/>
    <w:rsid w:val="08422688"/>
    <w:rsid w:val="085854ED"/>
    <w:rsid w:val="0879188F"/>
    <w:rsid w:val="08A0354D"/>
    <w:rsid w:val="08CD4C49"/>
    <w:rsid w:val="09114954"/>
    <w:rsid w:val="095A5B83"/>
    <w:rsid w:val="096466E3"/>
    <w:rsid w:val="0968304D"/>
    <w:rsid w:val="09AF3D17"/>
    <w:rsid w:val="09BB689E"/>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0FA659F7"/>
    <w:rsid w:val="105B0B5E"/>
    <w:rsid w:val="112E58D0"/>
    <w:rsid w:val="11731CAC"/>
    <w:rsid w:val="119500A0"/>
    <w:rsid w:val="11C0733B"/>
    <w:rsid w:val="11D50D17"/>
    <w:rsid w:val="120E0809"/>
    <w:rsid w:val="126B063A"/>
    <w:rsid w:val="127F665A"/>
    <w:rsid w:val="12C86859"/>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875591"/>
    <w:rsid w:val="19D26CD4"/>
    <w:rsid w:val="19E60D19"/>
    <w:rsid w:val="1A3E3450"/>
    <w:rsid w:val="1AD807E5"/>
    <w:rsid w:val="1B1B114A"/>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BA0FA3"/>
    <w:rsid w:val="1FED69B6"/>
    <w:rsid w:val="2064678E"/>
    <w:rsid w:val="20DC1AB9"/>
    <w:rsid w:val="20DD6197"/>
    <w:rsid w:val="212631E0"/>
    <w:rsid w:val="2138666F"/>
    <w:rsid w:val="21742080"/>
    <w:rsid w:val="21A53757"/>
    <w:rsid w:val="21C344EE"/>
    <w:rsid w:val="21F879E1"/>
    <w:rsid w:val="221236C6"/>
    <w:rsid w:val="22D7662C"/>
    <w:rsid w:val="23326B7F"/>
    <w:rsid w:val="2380045B"/>
    <w:rsid w:val="23A169B8"/>
    <w:rsid w:val="23BC04D2"/>
    <w:rsid w:val="23EF1892"/>
    <w:rsid w:val="2483647E"/>
    <w:rsid w:val="24A32D55"/>
    <w:rsid w:val="24CE6D9A"/>
    <w:rsid w:val="25292727"/>
    <w:rsid w:val="252E5CA9"/>
    <w:rsid w:val="256F7692"/>
    <w:rsid w:val="25BA2154"/>
    <w:rsid w:val="25C8773F"/>
    <w:rsid w:val="25D63212"/>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110576"/>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462A15"/>
    <w:rsid w:val="30862F5F"/>
    <w:rsid w:val="30A4775A"/>
    <w:rsid w:val="312218B6"/>
    <w:rsid w:val="314029C9"/>
    <w:rsid w:val="31C63837"/>
    <w:rsid w:val="31C82E39"/>
    <w:rsid w:val="32063C7C"/>
    <w:rsid w:val="32601BAD"/>
    <w:rsid w:val="328C4099"/>
    <w:rsid w:val="329F6389"/>
    <w:rsid w:val="334533FD"/>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BFE4860"/>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184ADA"/>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27BC0"/>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262B80"/>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C122E5"/>
    <w:rsid w:val="50447CC2"/>
    <w:rsid w:val="50874A7C"/>
    <w:rsid w:val="50895EE7"/>
    <w:rsid w:val="50921B9D"/>
    <w:rsid w:val="50D16158"/>
    <w:rsid w:val="50DB5F45"/>
    <w:rsid w:val="51025EB1"/>
    <w:rsid w:val="51141503"/>
    <w:rsid w:val="513C450E"/>
    <w:rsid w:val="515A2734"/>
    <w:rsid w:val="518D0ED5"/>
    <w:rsid w:val="51AA4591"/>
    <w:rsid w:val="525C687F"/>
    <w:rsid w:val="52A3740A"/>
    <w:rsid w:val="52F647F7"/>
    <w:rsid w:val="52F92565"/>
    <w:rsid w:val="53AE735E"/>
    <w:rsid w:val="53D03877"/>
    <w:rsid w:val="542F73CA"/>
    <w:rsid w:val="5430786D"/>
    <w:rsid w:val="545A1D2A"/>
    <w:rsid w:val="54C811C0"/>
    <w:rsid w:val="556A442D"/>
    <w:rsid w:val="55DA564E"/>
    <w:rsid w:val="55E816A3"/>
    <w:rsid w:val="55EA0DD0"/>
    <w:rsid w:val="5604127D"/>
    <w:rsid w:val="56044E6C"/>
    <w:rsid w:val="56166703"/>
    <w:rsid w:val="56510474"/>
    <w:rsid w:val="56861525"/>
    <w:rsid w:val="56A93273"/>
    <w:rsid w:val="56BD550C"/>
    <w:rsid w:val="56E07045"/>
    <w:rsid w:val="56FF28AF"/>
    <w:rsid w:val="57160BF9"/>
    <w:rsid w:val="57540E7D"/>
    <w:rsid w:val="577B4878"/>
    <w:rsid w:val="57926973"/>
    <w:rsid w:val="57D1482F"/>
    <w:rsid w:val="58175352"/>
    <w:rsid w:val="581F2200"/>
    <w:rsid w:val="583059FA"/>
    <w:rsid w:val="583E5E25"/>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2B6F1B"/>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C779EE"/>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351B48"/>
    <w:rsid w:val="6F6C294D"/>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4B1F98"/>
    <w:rsid w:val="75722D56"/>
    <w:rsid w:val="75DB5477"/>
    <w:rsid w:val="75FC6AC3"/>
    <w:rsid w:val="7616619B"/>
    <w:rsid w:val="76307E22"/>
    <w:rsid w:val="76660D7C"/>
    <w:rsid w:val="766C5968"/>
    <w:rsid w:val="76BE0C8F"/>
    <w:rsid w:val="76CD53B2"/>
    <w:rsid w:val="76E6594C"/>
    <w:rsid w:val="76F41A63"/>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9A1ED7"/>
    <w:rsid w:val="79D57D57"/>
    <w:rsid w:val="79F00650"/>
    <w:rsid w:val="7A6242BF"/>
    <w:rsid w:val="7A794513"/>
    <w:rsid w:val="7A9B3811"/>
    <w:rsid w:val="7AB467DA"/>
    <w:rsid w:val="7AB9318D"/>
    <w:rsid w:val="7AE952D2"/>
    <w:rsid w:val="7B916965"/>
    <w:rsid w:val="7B9F26AF"/>
    <w:rsid w:val="7BB607FE"/>
    <w:rsid w:val="7C7248A0"/>
    <w:rsid w:val="7C976D69"/>
    <w:rsid w:val="7CD752DA"/>
    <w:rsid w:val="7CDE40AB"/>
    <w:rsid w:val="7CF057E2"/>
    <w:rsid w:val="7D1548B5"/>
    <w:rsid w:val="7DF84014"/>
    <w:rsid w:val="7E207949"/>
    <w:rsid w:val="7E5C0A47"/>
    <w:rsid w:val="7E670C75"/>
    <w:rsid w:val="7EB53F80"/>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5087</Words>
  <Characters>5867</Characters>
  <Lines>0</Lines>
  <Paragraphs>0</Paragraphs>
  <TotalTime>0</TotalTime>
  <ScaleCrop>false</ScaleCrop>
  <LinksUpToDate>false</LinksUpToDate>
  <CharactersWithSpaces>5878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可爱死算了</cp:lastModifiedBy>
  <dcterms:modified xsi:type="dcterms:W3CDTF">2024-11-18T03:21:51Z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F330911C41BE4E1483BDFC4820E0EE85_13</vt:lpwstr>
  </property>
</Properties>
</file>