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ascii="仿宋" w:hAnsi="仿宋" w:eastAsia="仿宋" w:cs="宋体"/>
          <w:kern w:val="0"/>
          <w:sz w:val="32"/>
          <w:szCs w:val="32"/>
        </w:rPr>
      </w:pPr>
      <w:r>
        <w:rPr>
          <w:rFonts w:hint="eastAsia" w:ascii="仿宋" w:hAnsi="仿宋" w:eastAsia="仿宋" w:cs="宋体"/>
          <w:kern w:val="0"/>
          <w:sz w:val="32"/>
          <w:szCs w:val="32"/>
        </w:rPr>
        <w:t>附件2：</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自治区财政项目支出绩效自评报告</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   2023  年度）</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700" w:lineRule="exact"/>
        <w:jc w:val="left"/>
        <w:textAlignment w:val="auto"/>
        <w:rPr>
          <w:rFonts w:hAnsi="宋体" w:eastAsia="仿宋_GB2312" w:cs="宋体"/>
          <w:kern w:val="0"/>
          <w:sz w:val="36"/>
          <w:szCs w:val="36"/>
        </w:rPr>
      </w:pPr>
      <w:r>
        <w:rPr>
          <w:rFonts w:hint="eastAsia" w:hAnsi="宋体" w:eastAsia="仿宋_GB2312" w:cs="宋体"/>
          <w:kern w:val="0"/>
          <w:sz w:val="36"/>
          <w:szCs w:val="36"/>
        </w:rPr>
        <w:t xml:space="preserve">     </w:t>
      </w:r>
    </w:p>
    <w:p>
      <w:pPr>
        <w:keepNext w:val="0"/>
        <w:keepLines w:val="0"/>
        <w:pageBreakBefore w:val="0"/>
        <w:widowControl w:val="0"/>
        <w:kinsoku/>
        <w:wordWrap/>
        <w:overflowPunct/>
        <w:topLinePunct w:val="0"/>
        <w:autoSpaceDE/>
        <w:autoSpaceDN/>
        <w:bidi w:val="0"/>
        <w:adjustRightInd/>
        <w:snapToGrid/>
        <w:spacing w:line="700" w:lineRule="exact"/>
        <w:ind w:firstLine="803" w:firstLineChars="250"/>
        <w:jc w:val="left"/>
        <w:textAlignment w:val="auto"/>
        <w:rPr>
          <w:rFonts w:hint="eastAsia" w:hAnsi="宋体" w:eastAsia="仿宋_GB2312" w:cs="宋体"/>
          <w:kern w:val="0"/>
          <w:sz w:val="32"/>
          <w:szCs w:val="32"/>
        </w:rPr>
      </w:pPr>
      <w:r>
        <w:rPr>
          <w:rFonts w:hint="eastAsia" w:hAnsi="宋体" w:eastAsia="仿宋_GB2312" w:cs="宋体"/>
          <w:kern w:val="0"/>
          <w:sz w:val="32"/>
          <w:szCs w:val="32"/>
        </w:rPr>
        <w:t>项目名称：城乡义务教育补助经费中央直达（校舍安全保障资金）</w:t>
      </w:r>
    </w:p>
    <w:p>
      <w:pPr>
        <w:keepNext w:val="0"/>
        <w:keepLines w:val="0"/>
        <w:pageBreakBefore w:val="0"/>
        <w:widowControl w:val="0"/>
        <w:kinsoku/>
        <w:wordWrap/>
        <w:overflowPunct/>
        <w:topLinePunct w:val="0"/>
        <w:autoSpaceDE/>
        <w:autoSpaceDN/>
        <w:bidi w:val="0"/>
        <w:adjustRightInd/>
        <w:snapToGrid/>
        <w:spacing w:line="700" w:lineRule="exact"/>
        <w:ind w:firstLine="803" w:firstLineChars="250"/>
        <w:jc w:val="left"/>
        <w:textAlignment w:val="auto"/>
        <w:rPr>
          <w:rFonts w:hint="eastAsia" w:hAnsi="宋体" w:eastAsia="仿宋_GB2312" w:cs="宋体"/>
          <w:kern w:val="0"/>
          <w:sz w:val="32"/>
          <w:szCs w:val="32"/>
        </w:rPr>
      </w:pPr>
      <w:r>
        <w:rPr>
          <w:rFonts w:hint="eastAsia" w:hAnsi="宋体" w:eastAsia="仿宋_GB2312" w:cs="宋体"/>
          <w:kern w:val="0"/>
          <w:sz w:val="32"/>
          <w:szCs w:val="32"/>
        </w:rPr>
        <w:t>实施单位（公章）：沙湾市西戈壁镇三个泉子小学</w:t>
      </w:r>
    </w:p>
    <w:p>
      <w:pPr>
        <w:keepNext w:val="0"/>
        <w:keepLines w:val="0"/>
        <w:pageBreakBefore w:val="0"/>
        <w:widowControl w:val="0"/>
        <w:kinsoku/>
        <w:wordWrap/>
        <w:overflowPunct/>
        <w:topLinePunct w:val="0"/>
        <w:autoSpaceDE/>
        <w:autoSpaceDN/>
        <w:bidi w:val="0"/>
        <w:adjustRightInd/>
        <w:snapToGrid/>
        <w:spacing w:line="700" w:lineRule="exact"/>
        <w:ind w:firstLine="803" w:firstLineChars="250"/>
        <w:jc w:val="left"/>
        <w:textAlignment w:val="auto"/>
        <w:rPr>
          <w:rFonts w:hint="eastAsia" w:hAnsi="宋体" w:eastAsia="仿宋_GB2312" w:cs="宋体"/>
          <w:kern w:val="0"/>
          <w:sz w:val="32"/>
          <w:szCs w:val="32"/>
        </w:rPr>
      </w:pPr>
      <w:r>
        <w:rPr>
          <w:rFonts w:hint="eastAsia" w:hAnsi="宋体" w:eastAsia="仿宋_GB2312" w:cs="宋体"/>
          <w:kern w:val="0"/>
          <w:sz w:val="32"/>
          <w:szCs w:val="32"/>
        </w:rPr>
        <w:t>主管部门（公章）：沙湾市西戈壁镇三个泉子小学</w:t>
      </w:r>
    </w:p>
    <w:p>
      <w:pPr>
        <w:keepNext w:val="0"/>
        <w:keepLines w:val="0"/>
        <w:pageBreakBefore w:val="0"/>
        <w:widowControl w:val="0"/>
        <w:kinsoku/>
        <w:wordWrap/>
        <w:overflowPunct/>
        <w:topLinePunct w:val="0"/>
        <w:autoSpaceDE/>
        <w:autoSpaceDN/>
        <w:bidi w:val="0"/>
        <w:adjustRightInd/>
        <w:snapToGrid/>
        <w:spacing w:line="700" w:lineRule="exact"/>
        <w:ind w:firstLine="803" w:firstLineChars="250"/>
        <w:jc w:val="left"/>
        <w:textAlignment w:val="auto"/>
        <w:rPr>
          <w:rFonts w:hint="eastAsia" w:hAnsi="宋体" w:eastAsia="仿宋_GB2312" w:cs="宋体"/>
          <w:kern w:val="0"/>
          <w:sz w:val="32"/>
          <w:szCs w:val="32"/>
        </w:rPr>
      </w:pPr>
      <w:r>
        <w:rPr>
          <w:rFonts w:hint="eastAsia" w:hAnsi="宋体" w:eastAsia="仿宋_GB2312" w:cs="宋体"/>
          <w:kern w:val="0"/>
          <w:sz w:val="32"/>
          <w:szCs w:val="32"/>
        </w:rPr>
        <w:t>项目负责人（签章）：陶康</w:t>
      </w:r>
    </w:p>
    <w:p>
      <w:pPr>
        <w:keepNext w:val="0"/>
        <w:keepLines w:val="0"/>
        <w:pageBreakBefore w:val="0"/>
        <w:widowControl w:val="0"/>
        <w:kinsoku/>
        <w:wordWrap/>
        <w:overflowPunct/>
        <w:topLinePunct w:val="0"/>
        <w:autoSpaceDE/>
        <w:autoSpaceDN/>
        <w:bidi w:val="0"/>
        <w:adjustRightInd/>
        <w:snapToGrid/>
        <w:spacing w:line="700" w:lineRule="exact"/>
        <w:ind w:firstLine="803" w:firstLineChars="250"/>
        <w:jc w:val="left"/>
        <w:textAlignment w:val="auto"/>
        <w:rPr>
          <w:rFonts w:hint="eastAsia" w:hAnsi="宋体" w:eastAsia="仿宋_GB2312" w:cs="宋体"/>
          <w:kern w:val="0"/>
          <w:sz w:val="32"/>
          <w:szCs w:val="32"/>
        </w:rPr>
      </w:pPr>
      <w:r>
        <w:rPr>
          <w:rFonts w:hint="eastAsia" w:hAnsi="宋体" w:eastAsia="仿宋_GB2312" w:cs="宋体"/>
          <w:kern w:val="0"/>
          <w:sz w:val="32"/>
          <w:szCs w:val="32"/>
        </w:rPr>
        <w:t>填报时间：2024年05月06日</w:t>
      </w:r>
    </w:p>
    <w:p>
      <w:pPr>
        <w:keepNext w:val="0"/>
        <w:keepLines w:val="0"/>
        <w:pageBreakBefore w:val="0"/>
        <w:widowControl w:val="0"/>
        <w:kinsoku/>
        <w:wordWrap/>
        <w:overflowPunct/>
        <w:topLinePunct w:val="0"/>
        <w:autoSpaceDE/>
        <w:autoSpaceDN/>
        <w:bidi w:val="0"/>
        <w:adjustRightInd/>
        <w:snapToGrid/>
        <w:spacing w:line="700" w:lineRule="exact"/>
        <w:ind w:firstLine="803" w:firstLineChars="250"/>
        <w:jc w:val="left"/>
        <w:textAlignment w:val="auto"/>
        <w:rPr>
          <w:rFonts w:hint="eastAsia" w:hAnsi="宋体"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540" w:lineRule="exact"/>
        <w:textAlignment w:val="auto"/>
        <w:rPr>
          <w:rStyle w:val="18"/>
          <w:rFonts w:ascii="黑体" w:hAnsi="黑体" w:eastAsia="黑体"/>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jc w:val="center"/>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楷体_GB2312" w:hAnsi="楷体_GB2312" w:eastAsia="楷体_GB2312" w:cs="楷体_GB2312"/>
          <w:b/>
          <w:spacing w:val="-4"/>
          <w:sz w:val="32"/>
          <w:szCs w:val="32"/>
        </w:rPr>
      </w:pPr>
      <w:r>
        <w:rPr>
          <w:rStyle w:val="18"/>
          <w:rFonts w:hint="eastAsia" w:ascii="楷体_GB2312" w:hAnsi="楷体_GB2312" w:eastAsia="楷体_GB2312" w:cs="楷体_GB2312"/>
          <w:b/>
          <w:spacing w:val="-4"/>
          <w:sz w:val="32"/>
          <w:szCs w:val="32"/>
        </w:rPr>
        <w:t>（一）项目单位基本情况</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27" w:firstLineChars="20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spacing w:val="-4"/>
          <w:sz w:val="32"/>
          <w:szCs w:val="32"/>
        </w:rPr>
        <w:t>1.项目背景</w:t>
      </w:r>
      <w:r>
        <w:rPr>
          <w:rStyle w:val="18"/>
          <w:rFonts w:hint="eastAsia" w:ascii="仿宋_GB2312" w:hAnsi="仿宋_GB2312" w:eastAsia="仿宋_GB2312" w:cs="仿宋_GB2312"/>
          <w:b/>
          <w:spacing w:val="-4"/>
          <w:sz w:val="32"/>
          <w:szCs w:val="32"/>
        </w:rPr>
        <w:br w:type="textWrapping"/>
      </w:r>
      <w:r>
        <w:rPr>
          <w:rStyle w:val="18"/>
          <w:rFonts w:hint="eastAsia" w:ascii="仿宋_GB2312" w:hAnsi="仿宋_GB2312" w:eastAsia="仿宋_GB2312" w:cs="仿宋_GB2312"/>
          <w:b/>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学校校舍安全项目支出是学校建设中的一个重要环节，它对于学校的发展、教育质量和师生生活都具有重要的影响。首先，学校校舍安全项目支出可以提高学校的硬件设施水平，建立现代化、舒适、安全的教学、生活设施，为师生提供优质的学习、生活环境。其次，学校校舍安全项目支出还可以促进学校教育教学水平的提高，更好地满足教学需要，提高教学质量。随着教育事业不断发展，各个学校的规模也越来越大，由此而引发的教学楼、宿舍楼等建筑物的建设、改造、维修等工程需求也越来越高，相应的支出也逐年增加。实现高效使用公共财政资金，进一步提高资金使用效益，不仅是学校管理者的职责所在，更是社会责任的表现。根据《关于提前下达2023年城乡义务教育补助经费预算（中央直达资金）的通知》沙财教【2023】12号文件要求，持续巩固完善农村义务教育学校校舍安全保障长效机制，支持公办学校维修改造、抗震加固、改扩建校舍及其附属设施建设。为切实增强学校“校舍安全”项目实施的计划性、针对性和有效性，确保目标任务顺利完成，使学校办学条件基本满足教学和生活需要，促进基本公共教育服务均等化，保障教育公平。实施本项目的建设，为加快义务教育辅助步伐，全面改善薄弱学校基本办学条件，办人民满意的教育，提供了有效保障。</w:t>
      </w:r>
      <w:r>
        <w:rPr>
          <w:rStyle w:val="18"/>
          <w:rFonts w:hint="eastAsia" w:ascii="仿宋_GB2312" w:hAnsi="仿宋_GB2312" w:eastAsia="仿宋_GB2312" w:cs="仿宋_GB2312"/>
          <w:b w:val="0"/>
          <w:bCs w:val="0"/>
          <w:spacing w:val="-4"/>
          <w:sz w:val="32"/>
          <w:szCs w:val="32"/>
        </w:rPr>
        <w:br w:type="textWrapping"/>
      </w:r>
      <w:r>
        <w:rPr>
          <w:rStyle w:val="18"/>
          <w:rFonts w:hint="eastAsia" w:ascii="楷体_GB2312" w:hAnsi="楷体_GB2312" w:eastAsia="楷体_GB2312" w:cs="楷体_GB2312"/>
          <w:b/>
          <w:spacing w:val="-4"/>
          <w:sz w:val="32"/>
          <w:szCs w:val="32"/>
        </w:rPr>
        <w:t>2.项目主要内容及实施情况</w:t>
      </w:r>
      <w:r>
        <w:rPr>
          <w:rStyle w:val="18"/>
          <w:rFonts w:hint="eastAsia" w:ascii="楷体_GB2312" w:hAnsi="楷体_GB2312" w:eastAsia="楷体_GB2312" w:cs="楷体_GB2312"/>
          <w:b/>
          <w:spacing w:val="-4"/>
          <w:sz w:val="32"/>
          <w:szCs w:val="32"/>
        </w:rPr>
        <w:br w:type="textWrapping"/>
      </w:r>
      <w:r>
        <w:rPr>
          <w:rStyle w:val="18"/>
          <w:rFonts w:hint="eastAsia" w:ascii="楷体_GB2312" w:hAnsi="楷体_GB2312" w:eastAsia="楷体_GB2312" w:cs="楷体_GB2312"/>
          <w:b/>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主要内容为：根据《关于提前下达2023年城乡义务教育补助经费预算（中央直达资金）的通知》沙财教【2023】12号文件以及《关于对2023年沙湾市城乡义务教育农村校舍安全保障长效机制项目--校舍维护改造立项的批复》塔地教函【2023】27号文件要求，本项目实施内容为：850平方米警卫室屋、功能室、宿舍屋、教学楼办公室面防水；食堂大厅更换吊顶及门口雨篷抹灰；办公室大门更换；三课堂（项2间，墙面1间；悬浮地板等项目，金额为33万元。通过项目实施，旨在增强校舍安全；提高学校的硬件设施水平 ；同时达到舒适、安全的教学、生活设施，为师生提供优质的学习、生活环境。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于2023年7月开始实施，截止2023年8月，该项目已实施完成，各项任务指标全部完成，通过本项目的实施，有效解决了校舍安全维修维护，提升了学校办学条件满足教学和生活需要，增强了教学科研设施服务及校园文化建设水平。</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spacing w:val="-4"/>
          <w:sz w:val="32"/>
          <w:szCs w:val="32"/>
        </w:rPr>
        <w:t>3.项目实施主体</w:t>
      </w:r>
      <w:r>
        <w:rPr>
          <w:rStyle w:val="18"/>
          <w:rFonts w:hint="eastAsia" w:ascii="仿宋_GB2312" w:hAnsi="仿宋_GB2312" w:eastAsia="仿宋_GB2312" w:cs="仿宋_GB2312"/>
          <w:b/>
          <w:spacing w:val="-4"/>
          <w:sz w:val="32"/>
          <w:szCs w:val="32"/>
        </w:rPr>
        <w:br w:type="textWrapping"/>
      </w:r>
      <w:r>
        <w:rPr>
          <w:rStyle w:val="18"/>
          <w:rFonts w:hint="eastAsia" w:ascii="仿宋_GB2312" w:hAnsi="仿宋_GB2312" w:eastAsia="仿宋_GB2312" w:cs="仿宋_GB2312"/>
          <w:b/>
          <w:spacing w:val="-4"/>
          <w:sz w:val="32"/>
          <w:szCs w:val="32"/>
          <w:lang w:val="en-US" w:eastAsia="zh-CN"/>
        </w:rPr>
        <w:t xml:space="preserve">  </w:t>
      </w:r>
      <w:r>
        <w:rPr>
          <w:rStyle w:val="18"/>
          <w:rFonts w:hint="eastAsia" w:ascii="楷体" w:hAnsi="楷体" w:eastAsia="楷体"/>
          <w:b w:val="0"/>
          <w:bCs w:val="0"/>
          <w:spacing w:val="-4"/>
          <w:sz w:val="32"/>
          <w:szCs w:val="32"/>
        </w:rPr>
        <w:t>2023年城乡义务教育补助经费中央直达（校舍安全保障资金）项目的实施主体为沙湾市西戈壁镇三个泉子小学。</w:t>
      </w:r>
      <w:r>
        <w:rPr>
          <w:rStyle w:val="18"/>
          <w:rFonts w:hint="eastAsia" w:ascii="楷体_GB2312" w:hAnsi="楷体_GB2312" w:eastAsia="楷体_GB2312" w:cs="楷体_GB2312"/>
          <w:b/>
          <w:spacing w:val="-4"/>
          <w:sz w:val="32"/>
          <w:szCs w:val="32"/>
        </w:rPr>
        <w:br w:type="textWrapping"/>
      </w:r>
      <w:r>
        <w:rPr>
          <w:rStyle w:val="18"/>
          <w:rFonts w:hint="eastAsia" w:ascii="仿宋_GB2312" w:hAnsi="仿宋_GB2312" w:eastAsia="仿宋_GB2312" w:cs="仿宋_GB2312"/>
          <w:b/>
          <w:spacing w:val="-4"/>
          <w:sz w:val="32"/>
          <w:szCs w:val="32"/>
        </w:rPr>
        <w:t>4.资金投入和使用情况</w:t>
      </w:r>
      <w:r>
        <w:rPr>
          <w:rStyle w:val="18"/>
          <w:rFonts w:hint="eastAsia" w:ascii="仿宋_GB2312" w:hAnsi="仿宋_GB2312" w:eastAsia="仿宋_GB2312" w:cs="仿宋_GB2312"/>
          <w:b/>
          <w:spacing w:val="-4"/>
          <w:sz w:val="32"/>
          <w:szCs w:val="32"/>
        </w:rPr>
        <w:br w:type="textWrapping"/>
      </w:r>
      <w:r>
        <w:rPr>
          <w:rStyle w:val="18"/>
          <w:rFonts w:hint="eastAsia" w:ascii="仿宋_GB2312" w:hAnsi="仿宋_GB2312" w:eastAsia="仿宋_GB2312" w:cs="仿宋_GB2312"/>
          <w:b/>
          <w:spacing w:val="-4"/>
          <w:sz w:val="32"/>
          <w:szCs w:val="32"/>
        </w:rPr>
        <w:t>（1）项目资金安排落实、总投入情况</w:t>
      </w:r>
      <w:r>
        <w:rPr>
          <w:rStyle w:val="18"/>
          <w:rFonts w:hint="eastAsia" w:ascii="仿宋_GB2312" w:hAnsi="仿宋_GB2312" w:eastAsia="仿宋_GB2312" w:cs="仿宋_GB2312"/>
          <w:b/>
          <w:spacing w:val="-4"/>
          <w:sz w:val="32"/>
          <w:szCs w:val="32"/>
        </w:rPr>
        <w:br w:type="textWrapping"/>
      </w:r>
      <w:r>
        <w:rPr>
          <w:rStyle w:val="18"/>
          <w:rFonts w:hint="eastAsia" w:ascii="仿宋_GB2312" w:hAnsi="仿宋_GB2312" w:eastAsia="仿宋_GB2312" w:cs="仿宋_GB2312"/>
          <w:b/>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根据塔城地区财政局《关于提前下达2023年城乡义务教育补助经费预算的通知》（塔地财教〔2023〕54号）文件，2023年城乡义务教育补助经费中央直达（校舍安全保障资金）项目预算安排资金总额33万元，其中财政资金33万元、其他资金0万元；2023年实际收到预算资金33万元，预算资金到位率为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spacing w:val="-4"/>
          <w:sz w:val="32"/>
          <w:szCs w:val="32"/>
        </w:rPr>
        <w:t>（2）项目资金实际使用情况</w:t>
      </w:r>
      <w:r>
        <w:rPr>
          <w:rStyle w:val="18"/>
          <w:rFonts w:hint="eastAsia" w:ascii="仿宋_GB2312" w:hAnsi="仿宋_GB2312" w:eastAsia="仿宋_GB2312" w:cs="仿宋_GB2312"/>
          <w:b/>
          <w:spacing w:val="-4"/>
          <w:sz w:val="32"/>
          <w:szCs w:val="32"/>
        </w:rPr>
        <w:br w:type="textWrapping"/>
      </w:r>
      <w:r>
        <w:rPr>
          <w:rStyle w:val="18"/>
          <w:rFonts w:hint="eastAsia" w:ascii="仿宋_GB2312" w:hAnsi="仿宋_GB2312" w:eastAsia="仿宋_GB2312" w:cs="仿宋_GB2312"/>
          <w:b/>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截至2023年12月31日，本项目实际支付资金33万元，预算执行率100%。项目资金主要用于支付校舍安全费用33万元。</w:t>
      </w:r>
    </w:p>
    <w:p>
      <w:pPr>
        <w:keepNext w:val="0"/>
        <w:keepLines w:val="0"/>
        <w:pageBreakBefore w:val="0"/>
        <w:widowControl w:val="0"/>
        <w:kinsoku/>
        <w:wordWrap/>
        <w:overflowPunct/>
        <w:topLinePunct w:val="0"/>
        <w:autoSpaceDE/>
        <w:autoSpaceDN/>
        <w:bidi w:val="0"/>
        <w:adjustRightInd/>
        <w:snapToGrid/>
        <w:spacing w:line="540" w:lineRule="exact"/>
        <w:ind w:firstLine="567" w:firstLineChars="181"/>
        <w:jc w:val="left"/>
        <w:textAlignment w:val="auto"/>
        <w:rPr>
          <w:rStyle w:val="18"/>
          <w:rFonts w:hint="eastAsia" w:ascii="楷体_GB2312" w:hAnsi="楷体_GB2312" w:eastAsia="楷体_GB2312" w:cs="楷体_GB2312"/>
          <w:b/>
          <w:spacing w:val="-4"/>
          <w:sz w:val="32"/>
          <w:szCs w:val="32"/>
        </w:rPr>
      </w:pPr>
      <w:r>
        <w:rPr>
          <w:rStyle w:val="18"/>
          <w:rFonts w:hint="eastAsia" w:ascii="楷体_GB2312" w:hAnsi="楷体_GB2312" w:eastAsia="楷体_GB2312" w:cs="楷体_GB2312"/>
          <w:b/>
          <w:spacing w:val="-4"/>
          <w:sz w:val="32"/>
          <w:szCs w:val="32"/>
        </w:rPr>
        <w:t>（二）项目预算绩效目标设定情况</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spacing w:val="-4"/>
          <w:sz w:val="32"/>
          <w:szCs w:val="32"/>
        </w:rPr>
        <w:t>1.总体目标</w:t>
      </w:r>
      <w:r>
        <w:rPr>
          <w:rStyle w:val="18"/>
          <w:rFonts w:hint="eastAsia" w:ascii="仿宋_GB2312" w:hAnsi="仿宋_GB2312" w:eastAsia="仿宋_GB2312" w:cs="仿宋_GB2312"/>
          <w:b/>
          <w:spacing w:val="-4"/>
          <w:sz w:val="32"/>
          <w:szCs w:val="32"/>
        </w:rPr>
        <w:br w:type="textWrapping"/>
      </w:r>
      <w:r>
        <w:rPr>
          <w:rStyle w:val="18"/>
          <w:rFonts w:hint="eastAsia" w:ascii="仿宋_GB2312" w:hAnsi="仿宋_GB2312" w:eastAsia="仿宋_GB2312" w:cs="仿宋_GB2312"/>
          <w:b/>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为切实增强学校“校舍安全”项目实施的计划性、针对性和有效性，确保目标任务顺利完成，使学校办学条件基本满足教学和生活需要，促进基本公共教育服务均等化，保障教育公平，全面改善薄弱学校基本办学条件，办人民满意的教育，提供了有效保障。目标1：维修校舍安全数量4个，主要是850平方米警卫室屋、功能室、宿舍屋、教学楼办公室面防水；食堂大厅更换吊顶及门口雨篷抹灰；办公室大门更换；三课堂（项2间，墙面1间；悬浮地板等维护等；目标2：维修成本验收合格率为100%；目标3项目资金使用时限为2023年12月20日前；目标4：850平方米警卫室屋、功能室、宿舍屋、教学楼办公室面防水；食堂大厅更换吊顶及门口雨篷抹灰；办公室大门更换；三课堂（项2间，墙面1间；悬浮地板等维护等成本33万元，计划通过本项目的实施，旨在增强校舍安全；提高学校的硬件设施水平 ；同时达到舒适、安全的教学、生活设施，为师生提供优质的学习、生活环境。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spacing w:val="-4"/>
          <w:sz w:val="32"/>
          <w:szCs w:val="32"/>
        </w:rPr>
        <w:t>2.阶段性目标</w:t>
      </w:r>
      <w:r>
        <w:rPr>
          <w:rStyle w:val="18"/>
          <w:rFonts w:hint="eastAsia" w:ascii="仿宋_GB2312" w:hAnsi="仿宋_GB2312" w:eastAsia="仿宋_GB2312" w:cs="仿宋_GB2312"/>
          <w:b/>
          <w:spacing w:val="-4"/>
          <w:sz w:val="32"/>
          <w:szCs w:val="32"/>
        </w:rPr>
        <w:br w:type="textWrapping"/>
      </w:r>
      <w:r>
        <w:rPr>
          <w:rStyle w:val="18"/>
          <w:rFonts w:hint="eastAsia" w:ascii="仿宋_GB2312" w:hAnsi="仿宋_GB2312" w:eastAsia="仿宋_GB2312" w:cs="仿宋_GB2312"/>
          <w:b/>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（1）项目产出指标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①数量指标</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textAlignment w:val="auto"/>
        <w:rPr>
          <w:rStyle w:val="18"/>
          <w:rFonts w:ascii="楷体" w:hAnsi="楷体" w:eastAsia="楷体"/>
          <w:b/>
          <w:spacing w:val="-4"/>
          <w:sz w:val="32"/>
          <w:szCs w:val="32"/>
        </w:rPr>
      </w:pP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“维修工程面积（平方米）”指标，预期指标值为“大于等于850平方米”；</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②质量指标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“工程验收合格率（%）”指标，预期指标值为“等于100%”；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③时效指标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项目资金支付及时率（%）”指标，预期指标值为“等于100%”；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“项目完成时限（年月日）”指标，预期指标值为“2023年11月15日前”；</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（2）项目成本指标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①经济成本指标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“维修工程使用成本（万元）”指标，预期指标值为“等于33万元”；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spacing w:val="-4"/>
          <w:sz w:val="32"/>
          <w:szCs w:val="32"/>
        </w:rPr>
        <w:t>（3）项目效益指标</w:t>
      </w:r>
      <w:r>
        <w:rPr>
          <w:rStyle w:val="18"/>
          <w:rFonts w:hint="eastAsia" w:ascii="仿宋_GB2312" w:hAnsi="仿宋_GB2312" w:eastAsia="仿宋_GB2312" w:cs="仿宋_GB2312"/>
          <w:b/>
          <w:spacing w:val="-4"/>
          <w:sz w:val="32"/>
          <w:szCs w:val="32"/>
        </w:rPr>
        <w:br w:type="textWrapping"/>
      </w:r>
      <w:r>
        <w:rPr>
          <w:rStyle w:val="18"/>
          <w:rFonts w:hint="eastAsia" w:ascii="仿宋_GB2312" w:hAnsi="仿宋_GB2312" w:eastAsia="仿宋_GB2312" w:cs="仿宋_GB2312"/>
          <w:b w:val="0"/>
          <w:bCs w:val="0"/>
          <w:spacing w:val="-4"/>
          <w:sz w:val="32"/>
          <w:szCs w:val="32"/>
        </w:rPr>
        <w:t>①经济效益指标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无此项指标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②社会效益指标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“提升义务教育薄弱环节改善与能力”指标，预期指标值为“有效改善”；</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③生态效益指标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无此项指标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spacing w:val="-4"/>
          <w:sz w:val="32"/>
          <w:szCs w:val="32"/>
        </w:rPr>
        <w:t>（4）相关满意度目标</w:t>
      </w:r>
      <w:r>
        <w:rPr>
          <w:rStyle w:val="18"/>
          <w:rFonts w:hint="eastAsia" w:ascii="仿宋_GB2312" w:hAnsi="仿宋_GB2312" w:eastAsia="仿宋_GB2312" w:cs="仿宋_GB2312"/>
          <w:b/>
          <w:spacing w:val="-4"/>
          <w:sz w:val="32"/>
          <w:szCs w:val="32"/>
        </w:rPr>
        <w:br w:type="textWrapping"/>
      </w:r>
      <w:r>
        <w:rPr>
          <w:rStyle w:val="18"/>
          <w:rFonts w:hint="eastAsia" w:ascii="仿宋_GB2312" w:hAnsi="仿宋_GB2312" w:eastAsia="仿宋_GB2312" w:cs="仿宋_GB2312"/>
          <w:b/>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“学生满意度（%）”指标，预期指标值为“大于等于95%”。</w:t>
      </w:r>
    </w:p>
    <w:p>
      <w:pPr>
        <w:keepNext w:val="0"/>
        <w:keepLines w:val="0"/>
        <w:pageBreakBefore w:val="0"/>
        <w:widowControl w:val="0"/>
        <w:kinsoku/>
        <w:wordWrap/>
        <w:overflowPunct/>
        <w:topLinePunct w:val="0"/>
        <w:autoSpaceDE/>
        <w:autoSpaceDN/>
        <w:bidi w:val="0"/>
        <w:adjustRightInd/>
        <w:snapToGrid/>
        <w:spacing w:line="540" w:lineRule="exact"/>
        <w:ind w:firstLine="640"/>
        <w:jc w:val="center"/>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keepNext w:val="0"/>
        <w:keepLines w:val="0"/>
        <w:pageBreakBefore w:val="0"/>
        <w:widowControl w:val="0"/>
        <w:kinsoku/>
        <w:wordWrap/>
        <w:overflowPunct/>
        <w:topLinePunct w:val="0"/>
        <w:autoSpaceDE/>
        <w:autoSpaceDN/>
        <w:bidi w:val="0"/>
        <w:adjustRightInd/>
        <w:snapToGrid/>
        <w:spacing w:line="540" w:lineRule="exact"/>
        <w:ind w:firstLine="567" w:firstLineChars="181"/>
        <w:jc w:val="left"/>
        <w:textAlignment w:val="auto"/>
        <w:rPr>
          <w:rStyle w:val="18"/>
          <w:rFonts w:hint="eastAsia" w:ascii="楷体_GB2312" w:hAnsi="楷体_GB2312" w:eastAsia="楷体_GB2312" w:cs="楷体_GB2312"/>
          <w:b/>
          <w:spacing w:val="-4"/>
          <w:sz w:val="32"/>
          <w:szCs w:val="32"/>
        </w:rPr>
      </w:pPr>
      <w:r>
        <w:rPr>
          <w:rStyle w:val="18"/>
          <w:rFonts w:hint="eastAsia" w:ascii="楷体_GB2312" w:hAnsi="楷体_GB2312" w:eastAsia="楷体_GB2312" w:cs="楷体_GB2312"/>
          <w:b/>
          <w:spacing w:val="-4"/>
          <w:sz w:val="32"/>
          <w:szCs w:val="32"/>
        </w:rPr>
        <w:t>（一）项目资金安排落实、总投入等情况分析</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spacing w:val="-4"/>
          <w:sz w:val="32"/>
          <w:szCs w:val="32"/>
          <w:lang w:val="en-US" w:eastAsia="zh-CN"/>
        </w:rPr>
        <w:t xml:space="preserve">  </w:t>
      </w:r>
      <w:r>
        <w:rPr>
          <w:rStyle w:val="18"/>
          <w:rFonts w:hint="eastAsia" w:ascii="仿宋_GB2312" w:hAnsi="仿宋_GB2312" w:eastAsia="仿宋_GB2312" w:cs="仿宋_GB2312"/>
          <w:b/>
          <w:spacing w:val="-4"/>
          <w:sz w:val="32"/>
          <w:szCs w:val="32"/>
        </w:rPr>
        <w:t>1.绩效评价的目的</w:t>
      </w:r>
      <w:r>
        <w:rPr>
          <w:rStyle w:val="18"/>
          <w:rFonts w:hint="eastAsia" w:ascii="仿宋_GB2312" w:hAnsi="仿宋_GB2312" w:eastAsia="仿宋_GB2312" w:cs="仿宋_GB2312"/>
          <w:b/>
          <w:spacing w:val="-4"/>
          <w:sz w:val="32"/>
          <w:szCs w:val="32"/>
        </w:rPr>
        <w:br w:type="textWrapping"/>
      </w:r>
      <w:r>
        <w:rPr>
          <w:rStyle w:val="18"/>
          <w:rFonts w:hint="eastAsia" w:ascii="仿宋_GB2312" w:hAnsi="仿宋_GB2312" w:eastAsia="仿宋_GB2312" w:cs="仿宋_GB2312"/>
          <w:b/>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spacing w:val="-4"/>
          <w:sz w:val="32"/>
          <w:szCs w:val="32"/>
        </w:rPr>
        <w:t>2.绩效评价的对象和范围</w:t>
      </w:r>
      <w:r>
        <w:rPr>
          <w:rStyle w:val="18"/>
          <w:rFonts w:hint="eastAsia" w:ascii="仿宋_GB2312" w:hAnsi="仿宋_GB2312" w:eastAsia="仿宋_GB2312" w:cs="仿宋_GB2312"/>
          <w:b/>
          <w:spacing w:val="-4"/>
          <w:sz w:val="32"/>
          <w:szCs w:val="32"/>
        </w:rPr>
        <w:br w:type="textWrapping"/>
      </w:r>
      <w:r>
        <w:rPr>
          <w:rStyle w:val="18"/>
          <w:rFonts w:hint="eastAsia" w:ascii="仿宋_GB2312" w:hAnsi="仿宋_GB2312" w:eastAsia="仿宋_GB2312" w:cs="仿宋_GB2312"/>
          <w:b/>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城乡义务教育补助经费中央直达（校舍安全保障资金）项目（本项目的全称）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keepNext w:val="0"/>
        <w:keepLines w:val="0"/>
        <w:pageBreakBefore w:val="0"/>
        <w:widowControl w:val="0"/>
        <w:kinsoku/>
        <w:wordWrap/>
        <w:overflowPunct/>
        <w:topLinePunct w:val="0"/>
        <w:autoSpaceDE/>
        <w:autoSpaceDN/>
        <w:bidi w:val="0"/>
        <w:adjustRightInd/>
        <w:snapToGrid/>
        <w:spacing w:line="540" w:lineRule="exact"/>
        <w:ind w:firstLine="567" w:firstLineChars="181"/>
        <w:jc w:val="left"/>
        <w:textAlignment w:val="auto"/>
        <w:rPr>
          <w:rStyle w:val="18"/>
          <w:rFonts w:hint="eastAsia" w:ascii="楷体_GB2312" w:hAnsi="楷体_GB2312" w:eastAsia="楷体_GB2312" w:cs="楷体_GB2312"/>
          <w:b/>
          <w:spacing w:val="-4"/>
          <w:sz w:val="32"/>
          <w:szCs w:val="32"/>
        </w:rPr>
      </w:pPr>
      <w:r>
        <w:rPr>
          <w:rStyle w:val="18"/>
          <w:rFonts w:hint="eastAsia" w:ascii="楷体_GB2312" w:hAnsi="楷体_GB2312" w:eastAsia="楷体_GB2312" w:cs="楷体_GB2312"/>
          <w:b/>
          <w:spacing w:val="-4"/>
          <w:sz w:val="32"/>
          <w:szCs w:val="32"/>
        </w:rPr>
        <w:t>（二）项目资金实际使用情况分析</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spacing w:val="-4"/>
          <w:sz w:val="32"/>
          <w:szCs w:val="32"/>
          <w:lang w:val="en-US" w:eastAsia="zh-CN"/>
        </w:rPr>
        <w:t xml:space="preserve">  </w:t>
      </w:r>
      <w:r>
        <w:rPr>
          <w:rStyle w:val="18"/>
          <w:rFonts w:hint="eastAsia" w:ascii="仿宋_GB2312" w:hAnsi="仿宋_GB2312" w:eastAsia="仿宋_GB2312" w:cs="仿宋_GB2312"/>
          <w:b/>
          <w:spacing w:val="-4"/>
          <w:sz w:val="32"/>
          <w:szCs w:val="32"/>
        </w:rPr>
        <w:t>1.绩效评价原则</w:t>
      </w:r>
      <w:r>
        <w:rPr>
          <w:rStyle w:val="18"/>
          <w:rFonts w:hint="eastAsia" w:ascii="仿宋_GB2312" w:hAnsi="仿宋_GB2312" w:eastAsia="仿宋_GB2312" w:cs="仿宋_GB2312"/>
          <w:b/>
          <w:spacing w:val="-4"/>
          <w:sz w:val="32"/>
          <w:szCs w:val="32"/>
        </w:rPr>
        <w:br w:type="textWrapping"/>
      </w:r>
      <w:r>
        <w:rPr>
          <w:rStyle w:val="18"/>
          <w:rFonts w:hint="eastAsia" w:ascii="仿宋_GB2312" w:hAnsi="仿宋_GB2312" w:eastAsia="仿宋_GB2312" w:cs="仿宋_GB2312"/>
          <w:b/>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城乡义务教育补助经费中央直达（校舍安全保障资金）项目实际开展情况，运用定量和定性分析相结合的方法，总结经验做法，反思项目实施和管理中的问题，以切实提升财政资金管理的科学化、规范化和精细化水平。</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根据以上原则，绩效评价遵循如下具体要求：</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（1）在数据采集时，采取客观数据主管部门审查、社会中介组织复查与问卷调查相结合的形式，以保证各项指标的真实性。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（2）保证评价结果的真实性、公正性，提高评价报告的公信力。</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（3）绩效评价报告简明扼要，除对绩效评价的过程、结果描述外，还总结经验、指出问题，并就共性问题提出可操作性改进建议。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spacing w:val="-4"/>
          <w:sz w:val="32"/>
          <w:szCs w:val="32"/>
        </w:rPr>
        <w:t>2.绩效评价指标体系及绩效评价标准</w:t>
      </w:r>
      <w:r>
        <w:rPr>
          <w:rStyle w:val="18"/>
          <w:rFonts w:hint="eastAsia" w:ascii="仿宋_GB2312" w:hAnsi="仿宋_GB2312" w:eastAsia="仿宋_GB2312" w:cs="仿宋_GB2312"/>
          <w:b/>
          <w:spacing w:val="-4"/>
          <w:sz w:val="32"/>
          <w:szCs w:val="32"/>
        </w:rPr>
        <w:br w:type="textWrapping"/>
      </w:r>
      <w:r>
        <w:rPr>
          <w:rStyle w:val="18"/>
          <w:rFonts w:hint="eastAsia" w:ascii="仿宋_GB2312" w:hAnsi="仿宋_GB2312" w:eastAsia="仿宋_GB2312" w:cs="仿宋_GB2312"/>
          <w:b/>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一级指标为：</w:t>
      </w:r>
      <w:r>
        <w:rPr>
          <w:rStyle w:val="18"/>
          <w:rFonts w:hint="eastAsia" w:ascii="仿宋_GB2312" w:hAnsi="仿宋_GB2312" w:eastAsia="仿宋_GB2312" w:cs="仿宋_GB2312"/>
          <w:b w:val="0"/>
          <w:bCs w:val="0"/>
          <w:spacing w:val="-4"/>
          <w:sz w:val="32"/>
          <w:szCs w:val="32"/>
        </w:rPr>
        <w:t>决策、过程、产出、成本、效益。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二级指标为：</w:t>
      </w:r>
      <w:r>
        <w:rPr>
          <w:rStyle w:val="18"/>
          <w:rFonts w:hint="eastAsia" w:ascii="仿宋_GB2312" w:hAnsi="仿宋_GB2312" w:eastAsia="仿宋_GB2312" w:cs="仿宋_GB2312"/>
          <w:b w:val="0"/>
          <w:bCs w:val="0"/>
          <w:spacing w:val="-4"/>
          <w:sz w:val="32"/>
          <w:szCs w:val="32"/>
        </w:rPr>
        <w:t>项目立项、绩效目标、资金投入、资金管理、组织实施、产出数量、产出质量、产出时效、产出成本、实施效益、满意度。</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三级指标为：</w:t>
      </w:r>
      <w:r>
        <w:rPr>
          <w:rStyle w:val="18"/>
          <w:rFonts w:hint="eastAsia" w:ascii="仿宋_GB2312" w:hAnsi="仿宋_GB2312" w:eastAsia="仿宋_GB2312" w:cs="仿宋_GB2312"/>
          <w:b w:val="0"/>
          <w:bCs w:val="0"/>
          <w:spacing w:val="-4"/>
          <w:sz w:val="32"/>
          <w:szCs w:val="32"/>
        </w:rPr>
        <w:t>立项依据充分性、立项程序规范性、绩效目标合理性、绩效指标明确性、预算编制科学性、资金分配合理性、资金到位率、预算执行率、资金使用合规性、管理制度健全性、制度执行有效性、产出数量指标完成率、质量达标率、项目完成及时率、成本控制率、项目实施所产生的效益、服务对象满意度。</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spacing w:val="-4"/>
          <w:sz w:val="32"/>
          <w:szCs w:val="32"/>
          <w:lang w:val="en-US" w:eastAsia="zh-CN"/>
        </w:rPr>
        <w:t>3.评价方法</w:t>
      </w:r>
      <w:r>
        <w:rPr>
          <w:rStyle w:val="18"/>
          <w:rFonts w:hint="eastAsia" w:ascii="仿宋_GB2312" w:hAnsi="仿宋_GB2312" w:eastAsia="仿宋_GB2312" w:cs="仿宋_GB2312"/>
          <w:b/>
          <w:spacing w:val="-4"/>
          <w:sz w:val="32"/>
          <w:szCs w:val="32"/>
          <w:lang w:val="en-US" w:eastAsia="zh-CN"/>
        </w:rPr>
        <w:br w:type="textWrapping"/>
      </w:r>
      <w:r>
        <w:rPr>
          <w:rStyle w:val="18"/>
          <w:rFonts w:hint="eastAsia" w:ascii="仿宋_GB2312" w:hAnsi="仿宋_GB2312" w:eastAsia="仿宋_GB2312" w:cs="仿宋_GB2312"/>
          <w:b/>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spacing w:val="-4"/>
          <w:sz w:val="32"/>
          <w:szCs w:val="32"/>
          <w:lang w:val="en-US" w:eastAsia="zh-CN"/>
        </w:rPr>
        <w:t>4.评价标准</w:t>
      </w:r>
      <w:r>
        <w:rPr>
          <w:rStyle w:val="18"/>
          <w:rFonts w:hint="eastAsia" w:ascii="仿宋_GB2312" w:hAnsi="仿宋_GB2312" w:eastAsia="仿宋_GB2312" w:cs="仿宋_GB2312"/>
          <w:b/>
          <w:spacing w:val="-4"/>
          <w:sz w:val="32"/>
          <w:szCs w:val="32"/>
          <w:lang w:val="en-US" w:eastAsia="zh-CN"/>
        </w:rPr>
        <w:br w:type="textWrapping"/>
      </w:r>
      <w:r>
        <w:rPr>
          <w:rStyle w:val="18"/>
          <w:rFonts w:hint="eastAsia" w:ascii="仿宋_GB2312" w:hAnsi="仿宋_GB2312" w:eastAsia="仿宋_GB2312" w:cs="仿宋_GB2312"/>
          <w:b/>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left"/>
        <w:textAlignment w:val="auto"/>
        <w:rPr>
          <w:rStyle w:val="18"/>
          <w:rFonts w:hint="eastAsia" w:ascii="楷体_GB2312" w:hAnsi="楷体_GB2312" w:eastAsia="楷体_GB2312" w:cs="楷体_GB2312"/>
          <w:b/>
          <w:spacing w:val="-4"/>
          <w:sz w:val="32"/>
          <w:szCs w:val="32"/>
        </w:rPr>
      </w:pPr>
      <w:r>
        <w:rPr>
          <w:rStyle w:val="18"/>
          <w:rFonts w:hint="eastAsia" w:ascii="楷体_GB2312" w:hAnsi="楷体_GB2312" w:eastAsia="楷体_GB2312" w:cs="楷体_GB2312"/>
          <w:b/>
          <w:spacing w:val="-4"/>
          <w:sz w:val="32"/>
          <w:szCs w:val="32"/>
          <w:lang w:val="en-US" w:eastAsia="zh-CN"/>
        </w:rPr>
        <w:t xml:space="preserve">  </w:t>
      </w:r>
      <w:r>
        <w:rPr>
          <w:rStyle w:val="18"/>
          <w:rFonts w:hint="eastAsia" w:ascii="楷体_GB2312" w:hAnsi="楷体_GB2312" w:eastAsia="楷体_GB2312" w:cs="楷体_GB2312"/>
          <w:b/>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textAlignment w:val="auto"/>
        <w:rPr>
          <w:rStyle w:val="18"/>
          <w:rFonts w:hint="eastAsia" w:ascii="仿宋_GB2312" w:hAnsi="仿宋_GB2312" w:eastAsia="仿宋_GB2312" w:cs="仿宋_GB2312"/>
          <w:b w:val="0"/>
          <w:bCs w:val="0"/>
          <w:spacing w:val="-4"/>
          <w:sz w:val="32"/>
          <w:szCs w:val="32"/>
        </w:rPr>
      </w:pPr>
      <w:r>
        <w:rPr>
          <w:rStyle w:val="18"/>
          <w:rFonts w:hint="eastAsia" w:ascii="楷体_GB2312" w:hAnsi="楷体_GB2312" w:eastAsia="楷体_GB2312" w:cs="楷体_GB2312"/>
          <w:b/>
          <w:spacing w:val="-4"/>
          <w:sz w:val="32"/>
          <w:szCs w:val="32"/>
          <w:lang w:val="en-US" w:eastAsia="zh-CN"/>
        </w:rPr>
        <w:t xml:space="preserve">  </w:t>
      </w:r>
      <w:r>
        <w:rPr>
          <w:rStyle w:val="18"/>
          <w:rFonts w:hint="eastAsia" w:ascii="楷体_GB2312" w:hAnsi="楷体_GB2312" w:eastAsia="楷体_GB2312" w:cs="楷体_GB2312"/>
          <w:b/>
          <w:spacing w:val="-4"/>
          <w:sz w:val="32"/>
          <w:szCs w:val="32"/>
        </w:rPr>
        <w:t>第一阶段：前期准备。</w:t>
      </w:r>
      <w:r>
        <w:rPr>
          <w:rStyle w:val="18"/>
          <w:rFonts w:hint="eastAsia" w:ascii="楷体" w:hAnsi="楷体" w:eastAsia="楷体"/>
          <w:b/>
          <w:spacing w:val="-4"/>
          <w:sz w:val="32"/>
          <w:szCs w:val="32"/>
        </w:rPr>
        <w:br w:type="textWrapping"/>
      </w:r>
      <w:r>
        <w:rPr>
          <w:rStyle w:val="18"/>
          <w:rFonts w:hint="eastAsia" w:ascii="楷体" w:hAnsi="楷体" w:eastAsia="楷体"/>
          <w:b/>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陶康任评价组组长，绩效评价工作职责为检查项目绩效指标完成情况、审定项目支出绩效评价结果及项目支出绩效评价报告。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别力克任评价组副组长，绩效评价工作职责为组织和协调项目工作人员采取实地调查、资料检查等方式，核实项目绩效指标完成情况；组织受益对象对项目工作进行评价等。</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居马哈孜、陈娅玲任评价组成员，绩效评价工作职责为做好项目支出绩效评价工作的沟通协调工作，对项目实施情况进行实地调查，编写项目支出绩效评价报告。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楷体_GB2312" w:hAnsi="楷体_GB2312" w:eastAsia="楷体_GB2312" w:cs="楷体_GB2312"/>
          <w:b/>
          <w:spacing w:val="-4"/>
          <w:sz w:val="32"/>
          <w:szCs w:val="32"/>
        </w:rPr>
        <w:t>第二阶段：组织实施。</w:t>
      </w:r>
      <w:r>
        <w:rPr>
          <w:rStyle w:val="18"/>
          <w:rFonts w:hint="eastAsia" w:ascii="楷体_GB2312" w:hAnsi="楷体_GB2312" w:eastAsia="楷体_GB2312" w:cs="楷体_GB2312"/>
          <w:b/>
          <w:spacing w:val="-4"/>
          <w:sz w:val="32"/>
          <w:szCs w:val="32"/>
        </w:rPr>
        <w:br w:type="textWrapping"/>
      </w:r>
      <w:r>
        <w:rPr>
          <w:rStyle w:val="18"/>
          <w:rFonts w:hint="eastAsia" w:ascii="楷体_GB2312" w:hAnsi="楷体_GB2312" w:eastAsia="楷体_GB2312" w:cs="楷体_GB2312"/>
          <w:b/>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经评价组通过实地调研、查阅资料等方式，采用综合分析法对项目的决策、管理、绩效进行的综合评价分析。</w:t>
      </w:r>
      <w:r>
        <w:rPr>
          <w:rStyle w:val="18"/>
          <w:rFonts w:hint="eastAsia" w:ascii="仿宋_GB2312" w:hAnsi="仿宋_GB2312" w:eastAsia="仿宋_GB2312" w:cs="仿宋_GB2312"/>
          <w:b w:val="0"/>
          <w:bCs w:val="0"/>
          <w:spacing w:val="-4"/>
          <w:sz w:val="32"/>
          <w:szCs w:val="32"/>
        </w:rPr>
        <w:br w:type="textWrapping"/>
      </w:r>
      <w:r>
        <w:rPr>
          <w:rStyle w:val="18"/>
          <w:rFonts w:hint="eastAsia" w:ascii="楷体_GB2312" w:hAnsi="楷体_GB2312" w:eastAsia="楷体_GB2312" w:cs="楷体_GB2312"/>
          <w:b/>
          <w:spacing w:val="-4"/>
          <w:sz w:val="32"/>
          <w:szCs w:val="32"/>
          <w:lang w:val="en-US" w:eastAsia="zh-CN"/>
        </w:rPr>
        <w:t>第三阶段：分析评价。</w:t>
      </w:r>
      <w:r>
        <w:rPr>
          <w:rStyle w:val="18"/>
          <w:rFonts w:hint="eastAsia" w:ascii="楷体_GB2312" w:hAnsi="楷体_GB2312" w:eastAsia="楷体_GB2312" w:cs="楷体_GB2312"/>
          <w:b/>
          <w:spacing w:val="-4"/>
          <w:sz w:val="32"/>
          <w:szCs w:val="32"/>
          <w:lang w:val="en-US" w:eastAsia="zh-CN"/>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楷体_GB2312" w:hAnsi="楷体_GB2312" w:eastAsia="楷体_GB2312" w:cs="楷体_GB2312"/>
          <w:b/>
          <w:spacing w:val="-4"/>
          <w:sz w:val="32"/>
          <w:szCs w:val="32"/>
          <w:lang w:val="en-US" w:eastAsia="zh-CN"/>
        </w:rPr>
        <w:t>第四阶段：撰写与提交评价报告</w:t>
      </w:r>
      <w:r>
        <w:rPr>
          <w:rStyle w:val="18"/>
          <w:rFonts w:hint="eastAsia" w:ascii="楷体_GB2312" w:hAnsi="楷体_GB2312" w:eastAsia="楷体_GB2312" w:cs="楷体_GB2312"/>
          <w:b/>
          <w:spacing w:val="-4"/>
          <w:sz w:val="32"/>
          <w:szCs w:val="32"/>
          <w:lang w:val="en-US" w:eastAsia="zh-CN"/>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项目撰写绩效评价报告，按照财政局大平台绩效系统中统一格式和文本框架撰写绩效评价报告。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第五阶段：归集档案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建立和落实档案管理制度，将项目相关资料存档，包括但不限于：评价项目基本情况和相关文件、评价实施方案、项目支付资料等相关档案。</w:t>
      </w:r>
    </w:p>
    <w:p>
      <w:pPr>
        <w:keepNext w:val="0"/>
        <w:keepLines w:val="0"/>
        <w:pageBreakBefore w:val="0"/>
        <w:widowControl w:val="0"/>
        <w:kinsoku/>
        <w:wordWrap/>
        <w:overflowPunct/>
        <w:topLinePunct w:val="0"/>
        <w:autoSpaceDE/>
        <w:autoSpaceDN/>
        <w:bidi w:val="0"/>
        <w:adjustRightInd/>
        <w:snapToGrid/>
        <w:spacing w:line="540" w:lineRule="exact"/>
        <w:ind w:firstLine="640"/>
        <w:jc w:val="center"/>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keepNext w:val="0"/>
        <w:keepLines w:val="0"/>
        <w:pageBreakBefore w:val="0"/>
        <w:widowControl w:val="0"/>
        <w:kinsoku/>
        <w:wordWrap/>
        <w:overflowPunct/>
        <w:topLinePunct w:val="0"/>
        <w:autoSpaceDE/>
        <w:autoSpaceDN/>
        <w:bidi w:val="0"/>
        <w:adjustRightInd/>
        <w:snapToGrid/>
        <w:spacing w:line="540" w:lineRule="exact"/>
        <w:ind w:firstLine="567" w:firstLineChars="181"/>
        <w:jc w:val="left"/>
        <w:textAlignment w:val="auto"/>
        <w:rPr>
          <w:rStyle w:val="18"/>
          <w:rFonts w:hint="eastAsia" w:ascii="楷体_GB2312" w:hAnsi="楷体_GB2312" w:eastAsia="楷体_GB2312" w:cs="楷体_GB2312"/>
          <w:b/>
          <w:spacing w:val="-4"/>
          <w:sz w:val="32"/>
          <w:szCs w:val="32"/>
        </w:rPr>
      </w:pPr>
      <w:r>
        <w:rPr>
          <w:rStyle w:val="18"/>
          <w:rFonts w:hint="eastAsia" w:ascii="楷体_GB2312" w:hAnsi="楷体_GB2312" w:eastAsia="楷体_GB2312" w:cs="楷体_GB2312"/>
          <w:b/>
          <w:spacing w:val="-4"/>
          <w:sz w:val="32"/>
          <w:szCs w:val="32"/>
        </w:rPr>
        <w:t>（一）项目组织情况分析</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楷体_GB2312" w:hAnsi="楷体_GB2312" w:eastAsia="楷体_GB2312" w:cs="楷体_GB2312"/>
          <w:b/>
          <w:spacing w:val="-4"/>
          <w:sz w:val="32"/>
          <w:szCs w:val="32"/>
        </w:rPr>
        <w:t>（一）综合评价情况</w:t>
      </w:r>
      <w:r>
        <w:rPr>
          <w:rStyle w:val="18"/>
          <w:rFonts w:hint="eastAsia" w:ascii="楷体_GB2312" w:hAnsi="楷体_GB2312" w:eastAsia="楷体_GB2312" w:cs="楷体_GB2312"/>
          <w:b/>
          <w:spacing w:val="-4"/>
          <w:sz w:val="32"/>
          <w:szCs w:val="32"/>
        </w:rPr>
        <w:br w:type="textWrapping"/>
      </w:r>
      <w:r>
        <w:rPr>
          <w:rStyle w:val="18"/>
          <w:rFonts w:hint="eastAsia" w:ascii="楷体_GB2312" w:hAnsi="楷体_GB2312" w:eastAsia="楷体_GB2312" w:cs="楷体_GB2312"/>
          <w:b/>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通过城乡义务教育补助经费中央直达（校舍安全保障资金）项目（填写项目全称）的实施，解决了学校所存在的安全隐患问题，实现了优美的校园文化环境，为师生创造了一个良好的教育教学环境和生活环境效益，该项目预算执行率达100%，项目预期绩效目标及各项具体指标均已全部达成。</w:t>
      </w:r>
      <w:r>
        <w:rPr>
          <w:rStyle w:val="18"/>
          <w:rFonts w:hint="eastAsia" w:ascii="仿宋_GB2312" w:hAnsi="仿宋_GB2312" w:eastAsia="仿宋_GB2312" w:cs="仿宋_GB2312"/>
          <w:b w:val="0"/>
          <w:bCs w:val="0"/>
          <w:spacing w:val="-4"/>
          <w:sz w:val="32"/>
          <w:szCs w:val="32"/>
        </w:rPr>
        <w:br w:type="textWrapping"/>
      </w:r>
      <w:r>
        <w:rPr>
          <w:rStyle w:val="18"/>
          <w:rFonts w:hint="eastAsia" w:ascii="楷体_GB2312" w:hAnsi="楷体_GB2312" w:eastAsia="楷体_GB2312" w:cs="楷体_GB2312"/>
          <w:b/>
          <w:spacing w:val="-4"/>
          <w:sz w:val="32"/>
          <w:szCs w:val="32"/>
        </w:rPr>
        <w:t>（二）综合评价结论</w:t>
      </w:r>
      <w:r>
        <w:rPr>
          <w:rStyle w:val="18"/>
          <w:rFonts w:hint="eastAsia" w:ascii="楷体_GB2312" w:hAnsi="楷体_GB2312" w:eastAsia="楷体_GB2312" w:cs="楷体_GB2312"/>
          <w:b/>
          <w:spacing w:val="-4"/>
          <w:sz w:val="32"/>
          <w:szCs w:val="32"/>
        </w:rPr>
        <w:br w:type="textWrapping"/>
      </w:r>
      <w:r>
        <w:rPr>
          <w:rStyle w:val="18"/>
          <w:rFonts w:hint="eastAsia" w:ascii="楷体_GB2312" w:hAnsi="楷体_GB2312" w:eastAsia="楷体_GB2312" w:cs="楷体_GB2312"/>
          <w:b/>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次评价采取定量与定性评价相结合的方式，对城乡义务教育补助经费中央直达（校舍安全保障资金）项目的绩效目标和各项具体绩效指标实现情况进行了客观评价，最终评分为100分。绩效评级为“优”，具体得分情况为：项目决策15分、项目过程15分、项目产出40分、项目效益20分、项目满意度10分。</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left"/>
        <w:textAlignment w:val="auto"/>
        <w:rPr>
          <w:rStyle w:val="18"/>
          <w:rFonts w:hint="eastAsia" w:ascii="楷体_GB2312" w:hAnsi="楷体_GB2312" w:eastAsia="楷体_GB2312" w:cs="楷体_GB2312"/>
          <w:b/>
          <w:spacing w:val="-4"/>
          <w:sz w:val="32"/>
          <w:szCs w:val="32"/>
        </w:rPr>
      </w:pPr>
      <w:r>
        <w:rPr>
          <w:rStyle w:val="18"/>
          <w:rFonts w:hint="eastAsia" w:ascii="楷体_GB2312" w:hAnsi="楷体_GB2312" w:eastAsia="楷体_GB2312" w:cs="楷体_GB2312"/>
          <w:b/>
          <w:spacing w:val="-4"/>
          <w:sz w:val="32"/>
          <w:szCs w:val="32"/>
        </w:rPr>
        <w:t>（二）项目管理情况分析</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项目决策类指标从项目立项、绩效目标和资金投入三个方面评价项目前期准备工作，权重分值为 15 分，本项目实际得分15分，得分率为100%。具体各项指标得分如下：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1.立项依据充分性：</w:t>
      </w:r>
      <w:r>
        <w:rPr>
          <w:rStyle w:val="18"/>
          <w:rFonts w:hint="eastAsia" w:ascii="仿宋_GB2312" w:hAnsi="仿宋_GB2312" w:eastAsia="仿宋_GB2312" w:cs="仿宋_GB2312"/>
          <w:b w:val="0"/>
          <w:bCs w:val="0"/>
          <w:spacing w:val="-4"/>
          <w:sz w:val="32"/>
          <w:szCs w:val="32"/>
        </w:rPr>
        <w:t>本项目是由沙湾市教育和科学技术局单位提出申报，于2023年2月批复设立，2023年我单位根据《城乡义务教育补助经费中央直达[校舍安全保障资金)文件》塔地财教[2022]54号（文件号）文件要求组织实施</w:t>
      </w:r>
      <w:bookmarkStart w:id="0" w:name="_GoBack"/>
      <w:bookmarkEnd w:id="0"/>
      <w:r>
        <w:rPr>
          <w:rStyle w:val="18"/>
          <w:rFonts w:hint="eastAsia" w:ascii="仿宋_GB2312" w:hAnsi="仿宋_GB2312" w:eastAsia="仿宋_GB2312" w:cs="仿宋_GB2312"/>
          <w:b w:val="0"/>
          <w:bCs w:val="0"/>
          <w:spacing w:val="-4"/>
          <w:sz w:val="32"/>
          <w:szCs w:val="32"/>
        </w:rPr>
        <w:t>该项目。项目立项符合国家法律法规、自治区和地区行业发展规划和政策要求，属于本部门履职所需。根据评分标准，该指标2.5分，得2.5分。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2.立项程序规范性：</w:t>
      </w:r>
      <w:r>
        <w:rPr>
          <w:rStyle w:val="18"/>
          <w:rFonts w:hint="eastAsia" w:ascii="仿宋_GB2312" w:hAnsi="仿宋_GB2312" w:eastAsia="仿宋_GB2312" w:cs="仿宋_GB2312"/>
          <w:b w:val="0"/>
          <w:bCs w:val="0"/>
          <w:spacing w:val="-4"/>
          <w:sz w:val="32"/>
          <w:szCs w:val="32"/>
        </w:rPr>
        <w:t>根据决策依据编制工作计划和经费预算，经过与部门分管领导进行沟通、筛选确定经费预算计划，教科局确定最终预算方案。根据评分标准，该指标2.5分，得2.5分。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3.绩效目标合理性：</w:t>
      </w:r>
      <w:r>
        <w:rPr>
          <w:rStyle w:val="18"/>
          <w:rFonts w:hint="eastAsia" w:ascii="仿宋_GB2312" w:hAnsi="仿宋_GB2312" w:eastAsia="仿宋_GB2312" w:cs="仿宋_GB2312"/>
          <w:b w:val="0"/>
          <w:bCs w:val="0"/>
          <w:spacing w:val="-4"/>
          <w:sz w:val="32"/>
          <w:szCs w:val="32"/>
        </w:rPr>
        <w:t>本项目制定了项目支出绩效目标，明确了项目总体思路及总目标、并对项目任务进行了详细分解，对目标进行了细化。根据评分标准，该指标3分，得3分。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4.绩效指标明确性：</w:t>
      </w:r>
      <w:r>
        <w:rPr>
          <w:rStyle w:val="18"/>
          <w:rFonts w:hint="eastAsia" w:ascii="仿宋_GB2312" w:hAnsi="仿宋_GB2312" w:eastAsia="仿宋_GB2312" w:cs="仿宋_GB2312"/>
          <w:b w:val="0"/>
          <w:bCs w:val="0"/>
          <w:spacing w:val="-4"/>
          <w:sz w:val="32"/>
          <w:szCs w:val="32"/>
        </w:rPr>
        <w:t>本项目已将项目绩效目标细化分解为具体的绩效指标，并通过清晰、可衡量的指标值予以体现，与项目目标任务数或计划数相对应。根据评分标准，该指标2分，得2分。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5.预算编制科学性：</w:t>
      </w:r>
      <w:r>
        <w:rPr>
          <w:rStyle w:val="18"/>
          <w:rFonts w:hint="eastAsia" w:ascii="仿宋_GB2312" w:hAnsi="仿宋_GB2312" w:eastAsia="仿宋_GB2312" w:cs="仿宋_GB2312"/>
          <w:b w:val="0"/>
          <w:bCs w:val="0"/>
          <w:spacing w:val="-4"/>
          <w:sz w:val="32"/>
          <w:szCs w:val="32"/>
        </w:rPr>
        <w:t xml:space="preserve"> 预算编制经过科学论证，内容与项目内容匹配，项目投资额与工作任务相匹配，根据评分标准，该指标3分，得3分。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6.资金分配合理性：</w:t>
      </w:r>
      <w:r>
        <w:rPr>
          <w:rStyle w:val="18"/>
          <w:rFonts w:hint="eastAsia" w:ascii="仿宋_GB2312" w:hAnsi="仿宋_GB2312" w:eastAsia="仿宋_GB2312" w:cs="仿宋_GB2312"/>
          <w:b w:val="0"/>
          <w:bCs w:val="0"/>
          <w:spacing w:val="-4"/>
          <w:sz w:val="32"/>
          <w:szCs w:val="32"/>
        </w:rPr>
        <w:t>本项目资金分配依据充分，资金分配额度合理，与项目地方实际相适应。根据评分标准，该指标2分，得2分。</w:t>
      </w:r>
    </w:p>
    <w:p>
      <w:pPr>
        <w:keepNext w:val="0"/>
        <w:keepLines w:val="0"/>
        <w:pageBreakBefore w:val="0"/>
        <w:widowControl w:val="0"/>
        <w:kinsoku/>
        <w:wordWrap/>
        <w:overflowPunct/>
        <w:topLinePunct w:val="0"/>
        <w:autoSpaceDE/>
        <w:autoSpaceDN/>
        <w:bidi w:val="0"/>
        <w:adjustRightInd/>
        <w:snapToGrid/>
        <w:spacing w:line="540" w:lineRule="exact"/>
        <w:ind w:firstLine="640"/>
        <w:jc w:val="center"/>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 xml:space="preserve">四、项目绩效情况 </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left"/>
        <w:textAlignment w:val="auto"/>
        <w:rPr>
          <w:rStyle w:val="18"/>
          <w:rFonts w:hint="eastAsia" w:ascii="楷体_GB2312" w:hAnsi="楷体_GB2312" w:eastAsia="楷体_GB2312" w:cs="楷体_GB2312"/>
          <w:b/>
          <w:spacing w:val="-4"/>
          <w:sz w:val="32"/>
          <w:szCs w:val="32"/>
        </w:rPr>
      </w:pPr>
      <w:r>
        <w:rPr>
          <w:rStyle w:val="18"/>
          <w:rFonts w:hint="eastAsia" w:ascii="楷体_GB2312" w:hAnsi="楷体_GB2312" w:eastAsia="楷体_GB2312" w:cs="楷体_GB2312"/>
          <w:b/>
          <w:spacing w:val="-4"/>
          <w:sz w:val="32"/>
          <w:szCs w:val="32"/>
          <w:lang w:val="en-US" w:eastAsia="zh-CN"/>
        </w:rPr>
        <w:t xml:space="preserve">  </w:t>
      </w:r>
      <w:r>
        <w:rPr>
          <w:rStyle w:val="18"/>
          <w:rFonts w:hint="eastAsia" w:ascii="楷体_GB2312" w:hAnsi="楷体_GB2312" w:eastAsia="楷体_GB2312" w:cs="楷体_GB2312"/>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项目过程类指标包括资金管理和组织实施两方面的内容，由 5个三级指标构成，权重分值为 15 分，本项目实际得分15分，得分率为100%。具体各项指标得分如下：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1.资金到位率：</w:t>
      </w:r>
      <w:r>
        <w:rPr>
          <w:rStyle w:val="18"/>
          <w:rFonts w:hint="eastAsia" w:ascii="仿宋_GB2312" w:hAnsi="仿宋_GB2312" w:eastAsia="仿宋_GB2312" w:cs="仿宋_GB2312"/>
          <w:b w:val="0"/>
          <w:bCs w:val="0"/>
          <w:spacing w:val="-4"/>
          <w:sz w:val="32"/>
          <w:szCs w:val="32"/>
        </w:rPr>
        <w:t xml:space="preserve">该项目所需财政资金能够足额拨付到位，牵头单位能够及时足额按照合同约定将专项资金拨付给单位，根据评分标准，该指标2分，得2分。   </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2.预算执行率：</w:t>
      </w:r>
      <w:r>
        <w:rPr>
          <w:rStyle w:val="18"/>
          <w:rFonts w:hint="eastAsia" w:ascii="仿宋_GB2312" w:hAnsi="仿宋_GB2312" w:eastAsia="仿宋_GB2312" w:cs="仿宋_GB2312"/>
          <w:b w:val="0"/>
          <w:bCs w:val="0"/>
          <w:spacing w:val="-4"/>
          <w:sz w:val="32"/>
          <w:szCs w:val="32"/>
        </w:rPr>
        <w:t>本项目预算编制较为详细，预算资金23万元，实际执行33万元，预算执行率为100%，项目资金支出总体能够按照预算执行，根据评分标准，该指标2分，得2分。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3.资金使用合规性：</w:t>
      </w:r>
      <w:r>
        <w:rPr>
          <w:rStyle w:val="18"/>
          <w:rFonts w:hint="eastAsia" w:ascii="仿宋_GB2312" w:hAnsi="仿宋_GB2312" w:eastAsia="仿宋_GB2312" w:cs="仿宋_GB2312"/>
          <w:b w:val="0"/>
          <w:bCs w:val="0"/>
          <w:spacing w:val="-4"/>
          <w:sz w:val="32"/>
          <w:szCs w:val="32"/>
        </w:rPr>
        <w:t>项目任务下达后，我单位制定了财务管理制度和管理规定对经费使用进行规范管理，财务制度健全、执行严格；根据评分标准，该指标3分，得3分。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4.管理制度健全性：</w:t>
      </w:r>
      <w:r>
        <w:rPr>
          <w:rStyle w:val="18"/>
          <w:rFonts w:hint="eastAsia" w:ascii="仿宋_GB2312" w:hAnsi="仿宋_GB2312" w:eastAsia="仿宋_GB2312" w:cs="仿宋_GB2312"/>
          <w:b w:val="0"/>
          <w:bCs w:val="0"/>
          <w:spacing w:val="-4"/>
          <w:sz w:val="32"/>
          <w:szCs w:val="32"/>
        </w:rPr>
        <w:t>我单位制定了《校舍维修改造专项资金管理办法》等相关项目管理办法，同时对财政专项资金进行严格管理，做到了专款专用，根据评分标准，该指标4分，得4分。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5.制度执行有效性：</w:t>
      </w:r>
      <w:r>
        <w:rPr>
          <w:rStyle w:val="18"/>
          <w:rFonts w:hint="eastAsia" w:ascii="仿宋_GB2312" w:hAnsi="仿宋_GB2312" w:eastAsia="仿宋_GB2312" w:cs="仿宋_GB2312"/>
          <w:b w:val="0"/>
          <w:bCs w:val="0"/>
          <w:spacing w:val="-4"/>
          <w:sz w:val="32"/>
          <w:szCs w:val="32"/>
        </w:rPr>
        <w:t>由科室提出经费预算支出可行性方案，经过与分管领导沟通后，报教科局研究执行，财务对资金的使用合法合规性进行监督，年底对资金使用效果进行自评，根据评分标准，该指标4分，得4分。</w:t>
      </w:r>
    </w:p>
    <w:p>
      <w:pPr>
        <w:keepNext w:val="0"/>
        <w:keepLines w:val="0"/>
        <w:pageBreakBefore w:val="0"/>
        <w:widowControl w:val="0"/>
        <w:kinsoku/>
        <w:wordWrap/>
        <w:overflowPunct/>
        <w:topLinePunct w:val="0"/>
        <w:autoSpaceDE/>
        <w:autoSpaceDN/>
        <w:bidi w:val="0"/>
        <w:adjustRightInd/>
        <w:snapToGrid/>
        <w:spacing w:line="540" w:lineRule="exact"/>
        <w:ind w:firstLine="567" w:firstLineChars="181"/>
        <w:jc w:val="left"/>
        <w:textAlignment w:val="auto"/>
        <w:rPr>
          <w:rStyle w:val="18"/>
          <w:rFonts w:hint="eastAsia" w:ascii="楷体_GB2312" w:hAnsi="楷体_GB2312" w:eastAsia="楷体_GB2312" w:cs="楷体_GB2312"/>
          <w:b/>
          <w:spacing w:val="-4"/>
          <w:sz w:val="32"/>
          <w:szCs w:val="32"/>
        </w:rPr>
      </w:pPr>
      <w:r>
        <w:rPr>
          <w:rStyle w:val="18"/>
          <w:rFonts w:hint="eastAsia" w:ascii="楷体_GB2312" w:hAnsi="楷体_GB2312" w:eastAsia="楷体_GB2312" w:cs="楷体_GB2312"/>
          <w:b/>
          <w:spacing w:val="-4"/>
          <w:sz w:val="32"/>
          <w:szCs w:val="32"/>
        </w:rPr>
        <w:t>（二）项目绩效目标未完成原因分析</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项目产出类指标包括产出数量、产出质量、产出时效、产出成本共四方面的内容，由5个三级指标构成，权重分为40分，本项目实际得分40分，得分率为40%。具体各项指标得分如下：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1. 产出数量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“维修工程面积（平方米）”指标，预期指标值为“等于850平方米”，根据工程竣工验收报告可知，实际完成了维修工程850平方米，与预期目标一致，根据评分标准，该指标10分，得10分。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2.产出质量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“工程竣工验收合格率”指标，预期指标值为“等于100%”，根据现场核查，目前维修工程已验收合格，资金使用规范率100%，与预期目标一致，根据评分标准，该指标10分，得10分。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3.产出时效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“项目资金支付及时率（%）”指标，预期指标值为“等于100%”，根据现场核查，目前维修工程已验收合格，资金支付及时率100%，与预期目标一致，根据评分标准，该指标5分，得5分。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项目完成时限（年月日）”指标，预期指标值为“2023年12月20日”；根据资金支付凭证显示，该项目于2023年8月完成竣工验收，按合同约定，资金已于2023年12月20日全部支付完毕，与预期目标指标一致，根据评分标准，该指标5分，得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4.产出成本</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维修工程使用成本（万元）”指标，预期指标值为“等于33万元根据项目合同和资金支付凭证显示，本项目2023年共计支付工程款33万元，经费支出能够控制在年度计划成本范围内，根据评分标准，该指标10分，得10分；</w:t>
      </w:r>
    </w:p>
    <w:p>
      <w:pPr>
        <w:keepNext w:val="0"/>
        <w:keepLines w:val="0"/>
        <w:pageBreakBefore w:val="0"/>
        <w:widowControl w:val="0"/>
        <w:kinsoku/>
        <w:wordWrap/>
        <w:overflowPunct/>
        <w:topLinePunct w:val="0"/>
        <w:autoSpaceDE/>
        <w:autoSpaceDN/>
        <w:bidi w:val="0"/>
        <w:adjustRightInd/>
        <w:snapToGrid/>
        <w:spacing w:line="540" w:lineRule="exact"/>
        <w:ind w:firstLine="640"/>
        <w:jc w:val="center"/>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left"/>
        <w:textAlignment w:val="auto"/>
        <w:rPr>
          <w:rStyle w:val="18"/>
          <w:rFonts w:hint="eastAsia" w:ascii="楷体_GB2312" w:hAnsi="楷体_GB2312" w:eastAsia="楷体_GB2312" w:cs="楷体_GB2312"/>
          <w:b/>
          <w:spacing w:val="-4"/>
          <w:sz w:val="32"/>
          <w:szCs w:val="32"/>
        </w:rPr>
      </w:pPr>
      <w:r>
        <w:rPr>
          <w:rStyle w:val="18"/>
          <w:rFonts w:hint="eastAsia" w:ascii="楷体_GB2312" w:hAnsi="楷体_GB2312" w:eastAsia="楷体_GB2312" w:cs="楷体_GB2312"/>
          <w:b/>
          <w:spacing w:val="-4"/>
          <w:sz w:val="32"/>
          <w:szCs w:val="32"/>
          <w:lang w:val="en-US" w:eastAsia="zh-CN"/>
        </w:rPr>
        <w:t xml:space="preserve">  </w:t>
      </w:r>
      <w:r>
        <w:rPr>
          <w:rStyle w:val="18"/>
          <w:rFonts w:hint="eastAsia" w:ascii="楷体_GB2312" w:hAnsi="楷体_GB2312" w:eastAsia="楷体_GB2312" w:cs="楷体_GB2312"/>
          <w:b/>
          <w:spacing w:val="-4"/>
          <w:sz w:val="32"/>
          <w:szCs w:val="32"/>
        </w:rPr>
        <w:t>（一）后续工作计划</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项目效益类指标由社会效益，1个二级指标构成，权重分为20分，本项目实际得分20分，得分率为100%。具体各项指标得分如下：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1.社会效益指标</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“提升义务教育薄弱环节改善与能力”指标，预期指标值为“有效改善”，根据本单位年度考核情况，实际完成值为“基本达成目标”，根据评分标准，该指标20分，得20分。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2.经济效益指标</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本项目无该项指标。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3.生态效益指标</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本项目无该项指标。</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left"/>
        <w:textAlignment w:val="auto"/>
        <w:rPr>
          <w:rStyle w:val="18"/>
          <w:rFonts w:hint="eastAsia" w:ascii="楷体_GB2312" w:hAnsi="楷体_GB2312" w:eastAsia="楷体_GB2312" w:cs="楷体_GB2312"/>
          <w:b/>
          <w:spacing w:val="-4"/>
          <w:sz w:val="32"/>
          <w:szCs w:val="32"/>
        </w:rPr>
      </w:pPr>
      <w:r>
        <w:rPr>
          <w:rStyle w:val="18"/>
          <w:rFonts w:hint="eastAsia" w:ascii="楷体_GB2312" w:hAnsi="楷体_GB2312" w:eastAsia="楷体_GB2312" w:cs="楷体_GB2312"/>
          <w:b/>
          <w:spacing w:val="-4"/>
          <w:sz w:val="32"/>
          <w:szCs w:val="32"/>
          <w:lang w:val="en-US" w:eastAsia="zh-CN"/>
        </w:rPr>
        <w:t xml:space="preserve">  </w:t>
      </w:r>
      <w:r>
        <w:rPr>
          <w:rStyle w:val="18"/>
          <w:rFonts w:hint="eastAsia" w:ascii="楷体_GB2312" w:hAnsi="楷体_GB2312" w:eastAsia="楷体_GB2312" w:cs="楷体_GB2312"/>
          <w:b/>
          <w:spacing w:val="-4"/>
          <w:sz w:val="32"/>
          <w:szCs w:val="32"/>
        </w:rPr>
        <w:t>（二）主要经验及做法、存在问题和建议</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“学生的满意度”指标，预期指标值为“大于等于95%”，根据学生进行满意度问卷调查的结果可知，学生满意度达95%，根据评分标准，该指标10分,得10分。</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jc w:val="left"/>
        <w:textAlignment w:val="auto"/>
        <w:rPr>
          <w:rStyle w:val="18"/>
          <w:rFonts w:hint="eastAsia" w:ascii="楷体_GB2312" w:hAnsi="楷体_GB2312" w:eastAsia="楷体_GB2312" w:cs="楷体_GB2312"/>
          <w:b/>
          <w:spacing w:val="-4"/>
          <w:sz w:val="32"/>
          <w:szCs w:val="32"/>
        </w:rPr>
      </w:pPr>
      <w:r>
        <w:rPr>
          <w:rStyle w:val="18"/>
          <w:rFonts w:hint="eastAsia" w:ascii="楷体_GB2312" w:hAnsi="楷体_GB2312" w:eastAsia="楷体_GB2312" w:cs="楷体_GB2312"/>
          <w:b/>
          <w:spacing w:val="-4"/>
          <w:sz w:val="32"/>
          <w:szCs w:val="32"/>
          <w:lang w:val="en-US" w:eastAsia="zh-CN"/>
        </w:rPr>
        <w:t xml:space="preserve">  </w:t>
      </w:r>
      <w:r>
        <w:rPr>
          <w:rStyle w:val="18"/>
          <w:rFonts w:hint="eastAsia" w:ascii="楷体_GB2312" w:hAnsi="楷体_GB2312" w:eastAsia="楷体_GB2312" w:cs="楷体_GB2312"/>
          <w:b/>
          <w:spacing w:val="-4"/>
          <w:sz w:val="32"/>
          <w:szCs w:val="32"/>
        </w:rPr>
        <w:t>（三）其他</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bCs/>
          <w:spacing w:val="-4"/>
          <w:sz w:val="32"/>
          <w:szCs w:val="32"/>
        </w:rPr>
        <w:t>(一)预算执行进度</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城乡义务教育补助经费中央直达（校舍安全保障资金）项目预算金额23万元，实际到位23万元，全年项目实际支出23万元，预算执行率100%。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（二）绩效指标偏差情况</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2023年本单位负责实施的城乡义务教育补助经费中央直达（校舍安全保障资金）项目的绩效目标及指标已经全部达成，不存在偏差情况。</w:t>
      </w:r>
    </w:p>
    <w:p>
      <w:pPr>
        <w:keepNext w:val="0"/>
        <w:keepLines w:val="0"/>
        <w:pageBreakBefore w:val="0"/>
        <w:widowControl w:val="0"/>
        <w:kinsoku/>
        <w:wordWrap/>
        <w:overflowPunct/>
        <w:topLinePunct w:val="0"/>
        <w:autoSpaceDE/>
        <w:autoSpaceDN/>
        <w:bidi w:val="0"/>
        <w:adjustRightInd/>
        <w:snapToGrid/>
        <w:spacing w:line="540" w:lineRule="exact"/>
        <w:ind w:firstLine="567" w:firstLineChars="181"/>
        <w:textAlignment w:val="auto"/>
        <w:rPr>
          <w:rFonts w:ascii="楷体" w:hAnsi="楷体" w:eastAsia="楷体"/>
          <w:b/>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jc w:val="center"/>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textAlignment w:val="auto"/>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包括评价基础数据收集、资料来源和依据等佐证材料情况，项目现场勘验检查核实等情况</w:t>
      </w: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hint="eastAsia" w:ascii="仿宋_GB2312" w:hAnsi="仿宋_GB2312" w:eastAsia="仿宋_GB2312" w:cs="仿宋_GB2312"/>
          <w:b w:val="0"/>
          <w:bCs w:val="0"/>
          <w:spacing w:val="-4"/>
          <w:sz w:val="32"/>
          <w:szCs w:val="32"/>
        </w:rPr>
      </w:pPr>
      <w:r>
        <w:rPr>
          <w:rStyle w:val="18"/>
          <w:rFonts w:hint="eastAsia" w:ascii="楷体_GB2312" w:hAnsi="楷体_GB2312" w:eastAsia="楷体_GB2312" w:cs="楷体_GB2312"/>
          <w:b/>
          <w:spacing w:val="-4"/>
          <w:sz w:val="32"/>
          <w:szCs w:val="32"/>
        </w:rPr>
        <w:t>（一）主要经验及做法</w:t>
      </w:r>
      <w:r>
        <w:rPr>
          <w:rStyle w:val="18"/>
          <w:rFonts w:hint="eastAsia" w:ascii="楷体_GB2312" w:hAnsi="楷体_GB2312" w:eastAsia="楷体_GB2312" w:cs="楷体_GB2312"/>
          <w:b/>
          <w:spacing w:val="-4"/>
          <w:sz w:val="32"/>
          <w:szCs w:val="32"/>
        </w:rPr>
        <w:br w:type="textWrapping"/>
      </w:r>
      <w:r>
        <w:rPr>
          <w:rStyle w:val="18"/>
          <w:rFonts w:hint="eastAsia" w:ascii="楷体_GB2312" w:hAnsi="楷体_GB2312" w:eastAsia="楷体_GB2312" w:cs="楷体_GB2312"/>
          <w:b/>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1.加强项目实施管理。一是抓落实。要求将任务落实到具体项目，明确责任主体。二是抓督查。经常到实地督查进度，并采取开展调研、中期评估等有效管理措施，促进各项目顺利实施。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2.加强项目资金管理。做到手续完备、专账管理、专人负责、专户存储、账目清楚。</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仿宋_GB2312" w:hAnsi="仿宋_GB2312" w:eastAsia="仿宋_GB2312" w:cs="仿宋_GB2312"/>
          <w:b w:val="0"/>
          <w:bCs w:val="0"/>
          <w:spacing w:val="-4"/>
          <w:sz w:val="32"/>
          <w:szCs w:val="32"/>
        </w:rPr>
        <w:br w:type="textWrapping"/>
      </w:r>
      <w:r>
        <w:rPr>
          <w:rStyle w:val="18"/>
          <w:rFonts w:hint="eastAsia" w:ascii="楷体" w:hAnsi="楷体" w:eastAsia="楷体"/>
          <w:b/>
          <w:spacing w:val="-4"/>
          <w:sz w:val="32"/>
          <w:szCs w:val="32"/>
          <w:lang w:val="en-US" w:eastAsia="zh-CN"/>
        </w:rPr>
        <w:t xml:space="preserve">    </w:t>
      </w:r>
      <w:r>
        <w:rPr>
          <w:rStyle w:val="18"/>
          <w:rFonts w:hint="eastAsia" w:ascii="楷体_GB2312" w:hAnsi="楷体_GB2312" w:eastAsia="楷体_GB2312" w:cs="楷体_GB2312"/>
          <w:b/>
          <w:spacing w:val="-4"/>
          <w:sz w:val="32"/>
          <w:szCs w:val="32"/>
        </w:rPr>
        <w:t>（二）存在问题及原因分析</w:t>
      </w:r>
      <w:r>
        <w:rPr>
          <w:rStyle w:val="18"/>
          <w:rFonts w:hint="eastAsia" w:ascii="楷体_GB2312" w:hAnsi="楷体_GB2312" w:eastAsia="楷体_GB2312" w:cs="楷体_GB2312"/>
          <w:b/>
          <w:spacing w:val="-4"/>
          <w:sz w:val="32"/>
          <w:szCs w:val="32"/>
        </w:rPr>
        <w:br w:type="textWrapping"/>
      </w:r>
      <w:r>
        <w:rPr>
          <w:rStyle w:val="18"/>
          <w:rFonts w:hint="eastAsia" w:ascii="楷体_GB2312" w:hAnsi="楷体_GB2312" w:eastAsia="楷体_GB2312" w:cs="楷体_GB2312"/>
          <w:b/>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1.本单位的项目领导小组，对该项目的事前、事中、事后进行监督与跟踪，但在项目实施过程中仍存在不全面的地方，对项目的部分细节有所疏忽。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2.对项目档案管理有待进一步规范。项目档案管理专业性较弱。</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keepNext w:val="0"/>
        <w:keepLines w:val="0"/>
        <w:pageBreakBefore w:val="0"/>
        <w:widowControl w:val="0"/>
        <w:kinsoku/>
        <w:wordWrap/>
        <w:overflowPunct/>
        <w:topLinePunct w:val="0"/>
        <w:autoSpaceDE/>
        <w:autoSpaceDN/>
        <w:bidi w:val="0"/>
        <w:adjustRightInd/>
        <w:snapToGrid/>
        <w:ind w:firstLine="627" w:firstLineChars="200"/>
        <w:textAlignment w:val="auto"/>
        <w:rPr>
          <w:rFonts w:ascii="仿宋_GB2312" w:eastAsia="仿宋_GB2312"/>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567"/>
        <w:textAlignment w:val="auto"/>
        <w:rPr>
          <w:rStyle w:val="18"/>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left="0" w:leftChars="0" w:firstLine="0" w:firstLineChars="0"/>
        <w:textAlignment w:val="auto"/>
        <w:rPr>
          <w:rStyle w:val="18"/>
          <w:rFonts w:ascii="仿宋" w:hAnsi="仿宋" w:eastAsia="仿宋"/>
          <w:b w:val="0"/>
          <w:spacing w:val="-4"/>
          <w:sz w:val="32"/>
          <w:szCs w:val="32"/>
        </w:rPr>
      </w:pPr>
    </w:p>
    <w:sectPr>
      <w:footerReference r:id="rId5" w:type="default"/>
      <w:pgSz w:w="11906" w:h="16838"/>
      <w:pgMar w:top="1440" w:right="1558"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3"/>
      </w:pPr>
      <w:r>
        <w:separator/>
      </w:r>
    </w:p>
  </w:endnote>
  <w:endnote w:type="continuationSeparator" w:id="1">
    <w:p>
      <w:pPr>
        <w:ind w:firstLine="64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4"/>
          <w:jc w:val="center"/>
        </w:pPr>
        <w:r>
          <w:fldChar w:fldCharType="begin"/>
        </w:r>
        <w:r>
          <w:instrText xml:space="preserve">PAGE   \* MERGEFORMAT</w:instrText>
        </w:r>
        <w:r>
          <w:fldChar w:fldCharType="separate"/>
        </w:r>
        <w:r>
          <w:rPr>
            <w:lang w:val="zh-CN"/>
          </w:rPr>
          <w:t>1</w:t>
        </w:r>
        <w:r>
          <w:fldChar w:fldCharType="end"/>
        </w:r>
      </w:p>
    </w:sdtContent>
  </w:sdt>
  <w:p>
    <w:pPr>
      <w:pStyle w:val="1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3"/>
      </w:pPr>
      <w:r>
        <w:separator/>
      </w:r>
    </w:p>
  </w:footnote>
  <w:footnote w:type="continuationSeparator" w:id="1">
    <w:p>
      <w:pPr>
        <w:ind w:firstLine="643"/>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23B42FF8"/>
    <w:rsid w:val="42D14327"/>
    <w:rsid w:val="47584FEE"/>
    <w:rsid w:val="4C1A5023"/>
    <w:rsid w:val="4D2606A1"/>
    <w:rsid w:val="502C1070"/>
    <w:rsid w:val="57E559A2"/>
    <w:rsid w:val="61C72F64"/>
    <w:rsid w:val="6DF76B76"/>
    <w:rsid w:val="76B741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40" w:firstLineChars="200"/>
      <w:jc w:val="left"/>
    </w:pPr>
    <w:rPr>
      <w:rFonts w:ascii="Times New Roman" w:hAnsi="Times New Roman" w:eastAsia="黑体" w:cs="Times New Roman"/>
      <w:b/>
      <w:kern w:val="2"/>
      <w:sz w:val="32"/>
      <w:szCs w:val="24"/>
      <w:lang w:val="en-US" w:eastAsia="zh-CN" w:bidi="ar-SA"/>
    </w:rPr>
  </w:style>
  <w:style w:type="paragraph" w:styleId="3">
    <w:name w:val="heading 1"/>
    <w:basedOn w:val="1"/>
    <w:next w:val="1"/>
    <w:link w:val="20"/>
    <w:qFormat/>
    <w:uiPriority w:val="9"/>
    <w:pPr>
      <w:keepNext/>
      <w:widowControl/>
      <w:spacing w:before="240" w:after="60"/>
      <w:jc w:val="left"/>
      <w:outlineLvl w:val="0"/>
    </w:pPr>
    <w:rPr>
      <w:rFonts w:eastAsia="黑体" w:asciiTheme="majorAscii" w:hAnsiTheme="majorAscii"/>
      <w:bCs/>
      <w:kern w:val="32"/>
      <w:szCs w:val="32"/>
    </w:rPr>
  </w:style>
  <w:style w:type="paragraph" w:styleId="4">
    <w:name w:val="heading 2"/>
    <w:basedOn w:val="5"/>
    <w:next w:val="5"/>
    <w:link w:val="21"/>
    <w:semiHidden/>
    <w:unhideWhenUsed/>
    <w:qFormat/>
    <w:uiPriority w:val="9"/>
    <w:pPr>
      <w:keepNext/>
      <w:widowControl/>
      <w:spacing w:before="240" w:after="60"/>
      <w:jc w:val="left"/>
      <w:outlineLvl w:val="1"/>
    </w:pPr>
    <w:rPr>
      <w:rFonts w:eastAsia="楷体_GB2312" w:asciiTheme="majorAscii" w:hAnsiTheme="majorAscii"/>
      <w:bCs/>
      <w:i/>
      <w:iCs/>
      <w:sz w:val="32"/>
      <w:szCs w:val="28"/>
    </w:rPr>
  </w:style>
  <w:style w:type="paragraph" w:styleId="6">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Cs/>
      <w:kern w:val="0"/>
      <w:sz w:val="26"/>
      <w:szCs w:val="26"/>
    </w:rPr>
  </w:style>
  <w:style w:type="paragraph" w:styleId="7">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Cs/>
      <w:kern w:val="0"/>
      <w:sz w:val="28"/>
      <w:szCs w:val="28"/>
    </w:rPr>
  </w:style>
  <w:style w:type="paragraph" w:styleId="8">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Cs/>
      <w:i/>
      <w:iCs/>
      <w:kern w:val="0"/>
      <w:sz w:val="26"/>
      <w:szCs w:val="26"/>
    </w:rPr>
  </w:style>
  <w:style w:type="paragraph" w:styleId="9">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Cs/>
      <w:kern w:val="0"/>
      <w:sz w:val="22"/>
      <w:szCs w:val="22"/>
    </w:rPr>
  </w:style>
  <w:style w:type="paragraph" w:styleId="10">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1">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2">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29"/>
    <w:qFormat/>
    <w:uiPriority w:val="10"/>
    <w:pPr>
      <w:widowControl/>
      <w:spacing w:before="240" w:after="60"/>
      <w:jc w:val="center"/>
      <w:outlineLvl w:val="0"/>
    </w:pPr>
    <w:rPr>
      <w:rFonts w:asciiTheme="majorHAnsi" w:hAnsiTheme="majorHAnsi" w:eastAsiaTheme="majorEastAsia"/>
      <w:bCs/>
      <w:kern w:val="28"/>
      <w:sz w:val="32"/>
      <w:szCs w:val="32"/>
    </w:rPr>
  </w:style>
  <w:style w:type="paragraph" w:styleId="5">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3">
    <w:name w:val="Balloon Text"/>
    <w:basedOn w:val="1"/>
    <w:link w:val="45"/>
    <w:semiHidden/>
    <w:unhideWhenUsed/>
    <w:qFormat/>
    <w:uiPriority w:val="99"/>
    <w:rPr>
      <w:sz w:val="18"/>
      <w:szCs w:val="18"/>
    </w:rPr>
  </w:style>
  <w:style w:type="paragraph" w:styleId="14">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3"/>
    <w:qFormat/>
    <w:uiPriority w:val="9"/>
    <w:rPr>
      <w:rFonts w:eastAsia="黑体" w:asciiTheme="majorAscii" w:hAnsiTheme="majorAscii"/>
      <w:b/>
      <w:bCs/>
      <w:kern w:val="32"/>
      <w:sz w:val="32"/>
      <w:szCs w:val="32"/>
    </w:rPr>
  </w:style>
  <w:style w:type="character" w:customStyle="1" w:styleId="21">
    <w:name w:val="标题 2 字符"/>
    <w:basedOn w:val="17"/>
    <w:link w:val="4"/>
    <w:semiHidden/>
    <w:qFormat/>
    <w:uiPriority w:val="9"/>
    <w:rPr>
      <w:rFonts w:eastAsia="楷体_GB2312" w:asciiTheme="majorAscii" w:hAnsiTheme="majorAscii"/>
      <w:b/>
      <w:bCs/>
      <w:i/>
      <w:iCs/>
      <w:sz w:val="32"/>
      <w:szCs w:val="28"/>
    </w:rPr>
  </w:style>
  <w:style w:type="character" w:customStyle="1" w:styleId="22">
    <w:name w:val="标题 3 字符"/>
    <w:basedOn w:val="17"/>
    <w:link w:val="6"/>
    <w:semiHidden/>
    <w:qFormat/>
    <w:uiPriority w:val="9"/>
    <w:rPr>
      <w:rFonts w:asciiTheme="majorHAnsi" w:hAnsiTheme="majorHAnsi" w:eastAsiaTheme="majorEastAsia"/>
      <w:b/>
      <w:bCs/>
      <w:sz w:val="26"/>
      <w:szCs w:val="26"/>
    </w:rPr>
  </w:style>
  <w:style w:type="character" w:customStyle="1" w:styleId="23">
    <w:name w:val="标题 4 字符"/>
    <w:basedOn w:val="17"/>
    <w:link w:val="7"/>
    <w:semiHidden/>
    <w:qFormat/>
    <w:uiPriority w:val="9"/>
    <w:rPr>
      <w:b/>
      <w:bCs/>
      <w:sz w:val="28"/>
      <w:szCs w:val="28"/>
    </w:rPr>
  </w:style>
  <w:style w:type="character" w:customStyle="1" w:styleId="24">
    <w:name w:val="标题 5 字符"/>
    <w:basedOn w:val="17"/>
    <w:link w:val="8"/>
    <w:semiHidden/>
    <w:qFormat/>
    <w:uiPriority w:val="9"/>
    <w:rPr>
      <w:b/>
      <w:bCs/>
      <w:i/>
      <w:iCs/>
      <w:sz w:val="26"/>
      <w:szCs w:val="26"/>
    </w:rPr>
  </w:style>
  <w:style w:type="character" w:customStyle="1" w:styleId="25">
    <w:name w:val="标题 6 字符"/>
    <w:basedOn w:val="17"/>
    <w:link w:val="9"/>
    <w:semiHidden/>
    <w:qFormat/>
    <w:uiPriority w:val="9"/>
    <w:rPr>
      <w:b/>
      <w:bCs/>
    </w:rPr>
  </w:style>
  <w:style w:type="character" w:customStyle="1" w:styleId="26">
    <w:name w:val="标题 7 字符"/>
    <w:basedOn w:val="17"/>
    <w:link w:val="10"/>
    <w:semiHidden/>
    <w:qFormat/>
    <w:uiPriority w:val="9"/>
    <w:rPr>
      <w:sz w:val="24"/>
      <w:szCs w:val="24"/>
    </w:rPr>
  </w:style>
  <w:style w:type="character" w:customStyle="1" w:styleId="27">
    <w:name w:val="标题 8 字符"/>
    <w:basedOn w:val="17"/>
    <w:link w:val="11"/>
    <w:semiHidden/>
    <w:qFormat/>
    <w:uiPriority w:val="9"/>
    <w:rPr>
      <w:i/>
      <w:iCs/>
      <w:sz w:val="24"/>
      <w:szCs w:val="24"/>
    </w:rPr>
  </w:style>
  <w:style w:type="character" w:customStyle="1" w:styleId="28">
    <w:name w:val="标题 9 字符"/>
    <w:basedOn w:val="17"/>
    <w:link w:val="12"/>
    <w:semiHidden/>
    <w:qFormat/>
    <w:uiPriority w:val="9"/>
    <w:rPr>
      <w:rFonts w:asciiTheme="majorHAnsi" w:hAnsiTheme="majorHAnsi" w:eastAsiaTheme="majorEastAsia"/>
    </w:rPr>
  </w:style>
  <w:style w:type="character" w:customStyle="1" w:styleId="29">
    <w:name w:val="标题 字符"/>
    <w:basedOn w:val="17"/>
    <w:link w:val="2"/>
    <w:qFormat/>
    <w:uiPriority w:val="10"/>
    <w:rPr>
      <w:rFonts w:asciiTheme="majorHAnsi" w:hAnsiTheme="majorHAnsi" w:eastAsiaTheme="majorEastAsia"/>
      <w:b/>
      <w:bCs/>
      <w:kern w:val="28"/>
      <w:sz w:val="32"/>
      <w:szCs w:val="32"/>
    </w:rPr>
  </w:style>
  <w:style w:type="character" w:customStyle="1" w:styleId="30">
    <w:name w:val="副标题 字符"/>
    <w:basedOn w:val="17"/>
    <w:link w:val="5"/>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3"/>
    <w:next w:val="1"/>
    <w:semiHidden/>
    <w:unhideWhenUsed/>
    <w:qFormat/>
    <w:uiPriority w:val="39"/>
    <w:pPr>
      <w:outlineLvl w:val="9"/>
    </w:pPr>
    <w:rPr>
      <w:lang w:eastAsia="en-US" w:bidi="en-US"/>
    </w:rPr>
  </w:style>
  <w:style w:type="character" w:customStyle="1" w:styleId="43">
    <w:name w:val="页眉 字符"/>
    <w:basedOn w:val="17"/>
    <w:link w:val="15"/>
    <w:qFormat/>
    <w:uiPriority w:val="99"/>
    <w:rPr>
      <w:rFonts w:ascii="Calibri" w:hAnsi="Calibri" w:eastAsia="宋体"/>
      <w:kern w:val="2"/>
      <w:sz w:val="18"/>
      <w:szCs w:val="18"/>
    </w:rPr>
  </w:style>
  <w:style w:type="character" w:customStyle="1" w:styleId="44">
    <w:name w:val="页脚 字符"/>
    <w:basedOn w:val="17"/>
    <w:link w:val="14"/>
    <w:qFormat/>
    <w:uiPriority w:val="99"/>
    <w:rPr>
      <w:rFonts w:ascii="Calibri" w:hAnsi="Calibri" w:eastAsia="宋体"/>
      <w:kern w:val="2"/>
      <w:sz w:val="18"/>
      <w:szCs w:val="18"/>
    </w:rPr>
  </w:style>
  <w:style w:type="character" w:customStyle="1" w:styleId="45">
    <w:name w:val="批注框文本 字符"/>
    <w:basedOn w:val="17"/>
    <w:link w:val="13"/>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107</Words>
  <Characters>612</Characters>
  <Lines>5</Lines>
  <Paragraphs>1</Paragraphs>
  <TotalTime>159</TotalTime>
  <ScaleCrop>false</ScaleCrop>
  <LinksUpToDate>false</LinksUpToDate>
  <CharactersWithSpaces>718</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2025-03-17T08:19:07Z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89EC16D80B034B46BCA8E6101D6BE237</vt:lpwstr>
  </property>
</Properties>
</file>