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沙湾市西戈壁镇三个泉子小学</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40" w:lineRule="exac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40" w:lineRule="exac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rPr>
      </w:pPr>
      <w:bookmarkStart w:id="4" w:name="_Toc31238"/>
      <w:bookmarkStart w:id="5" w:name="_Toc2151"/>
      <w:r>
        <w:rPr>
          <w:rFonts w:hint="eastAsia" w:ascii="仿宋_GB2312" w:eastAsia="仿宋_GB2312"/>
          <w:color w:val="auto"/>
          <w:sz w:val="32"/>
          <w:szCs w:val="32"/>
          <w:highlight w:val="none"/>
        </w:rPr>
        <w:t>认真贯彻执行党的教育方针，根据我校的特点，结合实际出发，以国家拨给的教育经费为主要资金来源，妥善科学的管理使用各项资金，更好地为我校教育教学工作服务。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沙湾市西戈壁镇三个泉子小学</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81</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58</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23</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单位无下属预算单位，下设</w:t>
      </w:r>
      <w:r>
        <w:rPr>
          <w:rFonts w:hint="eastAsia" w:ascii="仿宋_GB2312" w:eastAsia="仿宋_GB2312"/>
          <w:color w:val="auto"/>
          <w:sz w:val="32"/>
          <w:szCs w:val="32"/>
          <w:highlight w:val="none"/>
          <w:lang w:val="en-US" w:eastAsia="zh-CN"/>
        </w:rPr>
        <w:t>10</w:t>
      </w:r>
      <w:r>
        <w:rPr>
          <w:rFonts w:hint="eastAsia" w:ascii="仿宋_GB2312" w:eastAsia="仿宋_GB2312"/>
          <w:color w:val="auto"/>
          <w:sz w:val="32"/>
          <w:szCs w:val="32"/>
          <w:highlight w:val="none"/>
        </w:rPr>
        <w:t>个处室，分别是：行政组、一年级、二年级、三年级、四年级、五年级、六年级、校办室、英语组、后勤组。</w:t>
      </w:r>
    </w:p>
    <w:p>
      <w:pPr>
        <w:rPr>
          <w:rFonts w:hint="eastAsia" w:ascii="黑体" w:hAnsi="黑体" w:eastAsia="黑体"/>
          <w:color w:val="auto"/>
          <w:sz w:val="32"/>
          <w:szCs w:val="32"/>
          <w:highlight w:val="none"/>
        </w:rPr>
      </w:pPr>
      <w:bookmarkStart w:id="6" w:name="_Toc29374"/>
      <w:bookmarkStart w:id="7" w:name="_Toc3092"/>
      <w:r>
        <w:rPr>
          <w:rFonts w:hint="eastAsia" w:ascii="黑体" w:hAnsi="黑体" w:eastAsia="黑体"/>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1,106.09万元，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1,106.09万元，使用非财政拨款结余0.00万元，年初结转和结余0.00万元。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1,106.09万元，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1,106.09万元，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减少37.67万元</w:t>
      </w:r>
      <w:r>
        <w:rPr>
          <w:rFonts w:hint="eastAsia" w:ascii="仿宋_GB2312" w:eastAsia="仿宋_GB2312"/>
          <w:color w:val="auto"/>
          <w:spacing w:val="0"/>
          <w:sz w:val="32"/>
          <w:szCs w:val="32"/>
          <w:highlight w:val="none"/>
          <w:lang w:eastAsia="zh-CN"/>
        </w:rPr>
        <w:t>，下降3.29%，主要原因是：本年度有教师退休；维修类项目较上年减少。总体收支较上年降低。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1,106.09</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1,106.09</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本年支出1,106.09万元，其中：基本支出957.24万元，占86.54%；项目支出148.84万元，占13.46%；上缴上级支出0.00万元，占0.00%；经营支出0.00万元，占0.00%；对附属单位补助支出0.00万元，占0.00%。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1,106.09</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1,106.09</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1,106.09</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1,106.09</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减少37.67万元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下降3.29%,</w:t>
      </w:r>
      <w:r>
        <w:rPr>
          <w:rFonts w:hint="eastAsia" w:ascii="仿宋_GB2312" w:eastAsia="仿宋_GB2312"/>
          <w:color w:val="auto"/>
          <w:spacing w:val="0"/>
          <w:sz w:val="32"/>
          <w:szCs w:val="32"/>
          <w:highlight w:val="none"/>
          <w:lang w:eastAsia="zh-CN"/>
        </w:rPr>
        <w:t>主要原因是：本年度有教师退休；维修类项目较上年减少。总体收支较上年降低。与年初预算相比，年初预算数</w:t>
      </w:r>
      <w:r>
        <w:rPr>
          <w:rFonts w:hint="eastAsia" w:ascii="仿宋_GB2312" w:eastAsia="仿宋_GB2312"/>
          <w:color w:val="auto"/>
          <w:spacing w:val="0"/>
          <w:sz w:val="32"/>
          <w:szCs w:val="32"/>
          <w:highlight w:val="none"/>
          <w:lang w:val="zh-CN" w:eastAsia="zh-CN"/>
        </w:rPr>
        <w:t>954.11</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1,106.09</w:t>
      </w:r>
      <w:r>
        <w:rPr>
          <w:rFonts w:hint="eastAsia" w:ascii="仿宋_GB2312" w:eastAsia="仿宋_GB2312"/>
          <w:color w:val="auto"/>
          <w:spacing w:val="0"/>
          <w:sz w:val="32"/>
          <w:szCs w:val="32"/>
          <w:highlight w:val="none"/>
          <w:lang w:eastAsia="zh-CN"/>
        </w:rPr>
        <w:t>万元，预决算差异率15.93%，主要原因是：本年度</w:t>
      </w:r>
      <w:r>
        <w:rPr>
          <w:rFonts w:hint="eastAsia" w:ascii="仿宋_GB2312" w:eastAsia="仿宋_GB2312"/>
          <w:color w:val="auto"/>
          <w:spacing w:val="0"/>
          <w:sz w:val="32"/>
          <w:szCs w:val="32"/>
          <w:highlight w:val="none"/>
          <w:lang w:val="en-US" w:eastAsia="zh-CN"/>
        </w:rPr>
        <w:t>追加</w:t>
      </w:r>
      <w:r>
        <w:rPr>
          <w:rFonts w:hint="eastAsia" w:ascii="仿宋_GB2312" w:eastAsia="仿宋_GB2312"/>
          <w:color w:val="auto"/>
          <w:spacing w:val="0"/>
          <w:sz w:val="32"/>
          <w:szCs w:val="32"/>
          <w:highlight w:val="none"/>
          <w:lang w:eastAsia="zh-CN"/>
        </w:rPr>
        <w:t>2023年教师考核工资、晋升职称工资、基础性绩效工资增资，</w:t>
      </w:r>
      <w:r>
        <w:rPr>
          <w:rFonts w:hint="eastAsia" w:ascii="仿宋_GB2312" w:eastAsia="仿宋_GB2312"/>
          <w:color w:val="auto"/>
          <w:spacing w:val="0"/>
          <w:sz w:val="32"/>
          <w:szCs w:val="32"/>
          <w:highlight w:val="none"/>
          <w:lang w:val="en-US" w:eastAsia="zh-CN"/>
        </w:rPr>
        <w:t>追加</w:t>
      </w:r>
      <w:r>
        <w:rPr>
          <w:rFonts w:hint="eastAsia" w:ascii="仿宋_GB2312" w:eastAsia="仿宋_GB2312"/>
          <w:color w:val="auto"/>
          <w:spacing w:val="0"/>
          <w:sz w:val="32"/>
          <w:szCs w:val="32"/>
          <w:highlight w:val="none"/>
          <w:lang w:eastAsia="zh-CN"/>
        </w:rPr>
        <w:t>了2020年绩效奖金和财政拨付以前年度学生生活补助及设备款等。</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2023年度一般公共预算财政拨款支出1,106.09万元，占本年支出合计的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减少37.67万元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下降3.29%,</w:t>
      </w:r>
      <w:r>
        <w:rPr>
          <w:rFonts w:hint="eastAsia" w:ascii="仿宋_GB2312" w:eastAsia="仿宋_GB2312"/>
          <w:color w:val="auto"/>
          <w:spacing w:val="0"/>
          <w:sz w:val="32"/>
          <w:szCs w:val="32"/>
          <w:highlight w:val="none"/>
          <w:lang w:eastAsia="zh-CN"/>
        </w:rPr>
        <w:t>主要原因是：教师人数减少，使工资福利支出减少；学生人数减少使公用经费减少；且历年工程款及设备款根据支付比例逐年减少。与年初预算相比，年初预算数</w:t>
      </w:r>
      <w:r>
        <w:rPr>
          <w:rFonts w:hint="eastAsia" w:ascii="仿宋_GB2312" w:eastAsia="仿宋_GB2312"/>
          <w:color w:val="auto"/>
          <w:spacing w:val="0"/>
          <w:sz w:val="32"/>
          <w:szCs w:val="32"/>
          <w:highlight w:val="none"/>
          <w:lang w:val="zh-CN" w:eastAsia="zh-CN"/>
        </w:rPr>
        <w:t>954.11</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1,106.09</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15.93%</w:t>
      </w:r>
      <w:r>
        <w:rPr>
          <w:rFonts w:hint="eastAsia" w:ascii="仿宋_GB2312" w:eastAsia="仿宋_GB2312"/>
          <w:color w:val="auto"/>
          <w:spacing w:val="0"/>
          <w:sz w:val="32"/>
          <w:szCs w:val="32"/>
          <w:highlight w:val="none"/>
          <w:lang w:eastAsia="zh-CN"/>
        </w:rPr>
        <w:t>，主要原因是：本年度</w:t>
      </w:r>
      <w:r>
        <w:rPr>
          <w:rFonts w:hint="eastAsia" w:ascii="仿宋_GB2312" w:eastAsia="仿宋_GB2312"/>
          <w:color w:val="auto"/>
          <w:spacing w:val="0"/>
          <w:sz w:val="32"/>
          <w:szCs w:val="32"/>
          <w:highlight w:val="none"/>
          <w:lang w:val="en-US" w:eastAsia="zh-CN"/>
        </w:rPr>
        <w:t>追加</w:t>
      </w:r>
      <w:r>
        <w:rPr>
          <w:rFonts w:hint="eastAsia" w:ascii="仿宋_GB2312" w:eastAsia="仿宋_GB2312"/>
          <w:color w:val="auto"/>
          <w:spacing w:val="0"/>
          <w:sz w:val="32"/>
          <w:szCs w:val="32"/>
          <w:highlight w:val="none"/>
          <w:lang w:eastAsia="zh-CN"/>
        </w:rPr>
        <w:t>2023年教师考核工资、晋升职称工资、基础性绩效工资增资，</w:t>
      </w:r>
      <w:r>
        <w:rPr>
          <w:rFonts w:hint="eastAsia" w:ascii="仿宋_GB2312" w:eastAsia="仿宋_GB2312"/>
          <w:color w:val="auto"/>
          <w:spacing w:val="0"/>
          <w:sz w:val="32"/>
          <w:szCs w:val="32"/>
          <w:highlight w:val="none"/>
          <w:lang w:val="en-US" w:eastAsia="zh-CN"/>
        </w:rPr>
        <w:t>追加</w:t>
      </w:r>
      <w:r>
        <w:rPr>
          <w:rFonts w:hint="eastAsia" w:ascii="仿宋_GB2312" w:eastAsia="仿宋_GB2312"/>
          <w:color w:val="auto"/>
          <w:spacing w:val="0"/>
          <w:sz w:val="32"/>
          <w:szCs w:val="32"/>
          <w:highlight w:val="none"/>
          <w:lang w:eastAsia="zh-CN"/>
        </w:rPr>
        <w:t>了2020年绩效奖金和财政拨付以前年度学生生活补助及设备款等。</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教育支出（类）</w:t>
      </w:r>
      <w:r>
        <w:rPr>
          <w:rFonts w:hint="eastAsia" w:ascii="仿宋_GB2312" w:hAnsi="Times New Roman" w:eastAsia="仿宋_GB2312" w:cs="Times New Roman"/>
          <w:color w:val="auto"/>
          <w:spacing w:val="0"/>
          <w:kern w:val="2"/>
          <w:sz w:val="32"/>
          <w:szCs w:val="32"/>
          <w:highlight w:val="none"/>
          <w:lang w:val="zh-CN" w:eastAsia="zh-CN" w:bidi="ar-SA"/>
        </w:rPr>
        <w:t>1,106.09</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100.00%。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1.教育支出（类）教育费附加安排的支出（款）其他教育费附加安排的支出（项）:支出决算数为6.00万元，比上年决算增加4.00万元，增长200.00%，主要原因是：支付了交勒萨依幼儿园构建款，支出增加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2.教育支出（类）普通教育（款）小学教育（项）:支出决算数为751.79万元，比上年决算减少90.10万元，下降10.70%，主要原因是：</w:t>
      </w:r>
      <w:r>
        <w:rPr>
          <w:rFonts w:hint="eastAsia" w:ascii="仿宋_GB2312" w:eastAsia="仿宋_GB2312"/>
          <w:color w:val="auto"/>
          <w:spacing w:val="0"/>
          <w:sz w:val="32"/>
          <w:szCs w:val="32"/>
          <w:highlight w:val="none"/>
          <w:lang w:eastAsia="zh-CN"/>
        </w:rPr>
        <w:t>教师人数减少，工资福利支出减少，学生人数减少使公用经费减少，且历年工程款及设备款根据支付比例逐年减少。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3.教育支出（类）普通教育（款）学前教育（项）:支出决算数为348.30万元，比上年决算增加48.43万元，增长16.15%，主要原因是：</w:t>
      </w:r>
      <w:r>
        <w:rPr>
          <w:rFonts w:hint="eastAsia" w:ascii="仿宋_GB2312" w:hAnsi="仿宋_GB2312" w:eastAsia="仿宋_GB2312" w:cs="仿宋_GB2312"/>
          <w:color w:val="auto"/>
          <w:kern w:val="2"/>
          <w:sz w:val="32"/>
          <w:szCs w:val="32"/>
          <w:highlight w:val="none"/>
          <w:lang w:val="zh-CN" w:eastAsia="zh-CN" w:bidi="ar-SA"/>
        </w:rPr>
        <w:t>财政拨付了</w:t>
      </w:r>
      <w:r>
        <w:rPr>
          <w:rFonts w:hint="eastAsia" w:ascii="仿宋_GB2312" w:hAnsi="仿宋_GB2312" w:eastAsia="仿宋_GB2312" w:cs="仿宋_GB2312"/>
          <w:color w:val="auto"/>
          <w:kern w:val="2"/>
          <w:sz w:val="32"/>
          <w:szCs w:val="32"/>
          <w:highlight w:val="none"/>
          <w:lang w:val="en-US" w:eastAsia="zh-CN" w:bidi="ar-SA"/>
        </w:rPr>
        <w:t>2020-2022年市级配套资金，支出增加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957.24</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954.81</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基本工资、津贴补贴、奖金、绩效工资、机关事业单位基本养老保险缴费、职业年金缴费、职工基本医疗保险缴费、其他社会保障缴费、住房公积金、其他工资福利支出、退休费、生活补助。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2.44</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工会经费</w:t>
      </w:r>
      <w:r>
        <w:rPr>
          <w:rFonts w:hint="eastAsia" w:ascii="仿宋_GB2312"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主要原因是：本单位无三公经费支出。其中：因公出国（境）费支出0.00万元，占0.00%，比上年增加0.00万元，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主要原因是：本单位无因公出国（境）费支出；公务用车购置及运行维护费支出0.00万元，占0.00%，比上年增加0.00万元，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主要原因是：本单位无公务用车购置及运行维护费支出；公务接待费支出0.00万元，占0.00%，比上年增加0.00万元，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主要原因是：本单位无公务接待费支出。</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color w:val="auto"/>
          <w:sz w:val="32"/>
          <w:szCs w:val="32"/>
          <w:highlight w:val="none"/>
          <w:lang w:val="en-US" w:eastAsia="zh-CN"/>
        </w:rPr>
        <w:t>包括</w:t>
      </w:r>
      <w:r>
        <w:rPr>
          <w:rFonts w:hint="eastAsia" w:ascii="仿宋_GB2312" w:eastAsia="仿宋_GB2312"/>
          <w:color w:val="auto"/>
          <w:sz w:val="32"/>
          <w:szCs w:val="32"/>
          <w:highlight w:val="none"/>
          <w:lang w:val="zh-CN" w:eastAsia="zh-CN"/>
        </w:rPr>
        <w:t>本单位无因公出国（境）费支出。单位全年安排的因公出国（境）团组0个，因公出国（境）0人次。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w:t>
      </w:r>
      <w:r>
        <w:rPr>
          <w:rFonts w:hint="eastAsia" w:ascii="仿宋_GB2312" w:eastAsia="仿宋_GB2312"/>
          <w:color w:val="auto"/>
          <w:sz w:val="32"/>
          <w:szCs w:val="32"/>
          <w:highlight w:val="none"/>
          <w:lang w:val="en-US" w:eastAsia="zh-CN"/>
        </w:rPr>
        <w:t>包括</w:t>
      </w:r>
      <w:r>
        <w:rPr>
          <w:rFonts w:hint="eastAsia" w:ascii="仿宋_GB2312" w:eastAsia="仿宋_GB2312"/>
          <w:color w:val="auto"/>
          <w:sz w:val="32"/>
          <w:szCs w:val="32"/>
          <w:highlight w:val="none"/>
          <w:lang w:val="zh-CN" w:eastAsia="zh-CN"/>
        </w:rPr>
        <w:t>本单位无公务用车购置及运行维护费支出。公务用车购置数0辆，公务用车保有量0辆。国有资产占用情况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0辆，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无差异</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w:t>
      </w:r>
      <w:r>
        <w:rPr>
          <w:rFonts w:hint="eastAsia" w:ascii="仿宋_GB2312" w:eastAsia="仿宋_GB2312"/>
          <w:color w:val="auto"/>
          <w:sz w:val="32"/>
          <w:szCs w:val="32"/>
          <w:highlight w:val="none"/>
          <w:lang w:val="en-US" w:eastAsia="zh-CN"/>
        </w:rPr>
        <w:t>包括</w:t>
      </w:r>
      <w:r>
        <w:rPr>
          <w:rFonts w:hint="eastAsia" w:ascii="仿宋_GB2312" w:eastAsia="仿宋_GB2312"/>
          <w:color w:val="auto"/>
          <w:sz w:val="32"/>
          <w:szCs w:val="32"/>
          <w:highlight w:val="none"/>
          <w:lang w:val="zh-CN" w:eastAsia="zh-CN"/>
        </w:rPr>
        <w:t>本单位无公务接待费支出。单位全年安排的国内公务接待0批次，0人次。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预算数0.00万元，决算数0.00万元，预决算差异率0.00%，主要原因是：本单位无“三公”经费支出，</w:t>
      </w:r>
      <w:r>
        <w:rPr>
          <w:rFonts w:hint="eastAsia" w:ascii="仿宋_GB2312" w:eastAsia="仿宋_GB2312"/>
          <w:color w:val="auto"/>
          <w:sz w:val="32"/>
          <w:szCs w:val="32"/>
          <w:highlight w:val="none"/>
          <w:lang w:val="en-US" w:eastAsia="zh-CN"/>
        </w:rPr>
        <w:t>预决算无差异</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0.00万元，决算数0.00万元，预决算差异率0.00%，主要原因是：本单位无因公出国（境）费支出，</w:t>
      </w:r>
      <w:r>
        <w:rPr>
          <w:rFonts w:hint="eastAsia" w:ascii="仿宋_GB2312" w:eastAsia="仿宋_GB2312"/>
          <w:color w:val="auto"/>
          <w:sz w:val="32"/>
          <w:szCs w:val="32"/>
          <w:highlight w:val="none"/>
          <w:lang w:val="en-US" w:eastAsia="zh-CN"/>
        </w:rPr>
        <w:t>预决算无差异</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预算数0.00万元，决算数0.00万元，预决算差异率0.00%，主要原因是：本单位无公务用车购置费支出，</w:t>
      </w:r>
      <w:r>
        <w:rPr>
          <w:rFonts w:hint="eastAsia" w:ascii="仿宋_GB2312" w:eastAsia="仿宋_GB2312"/>
          <w:color w:val="auto"/>
          <w:sz w:val="32"/>
          <w:szCs w:val="32"/>
          <w:highlight w:val="none"/>
          <w:lang w:val="en-US" w:eastAsia="zh-CN"/>
        </w:rPr>
        <w:t>预决算无差异</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预算数0.00万元，决算数0.00万元，预决算差异率0.00%，主要原因是：本单位无公务用车运行费支出，</w:t>
      </w:r>
      <w:r>
        <w:rPr>
          <w:rFonts w:hint="eastAsia" w:ascii="仿宋_GB2312" w:eastAsia="仿宋_GB2312"/>
          <w:color w:val="auto"/>
          <w:sz w:val="32"/>
          <w:szCs w:val="32"/>
          <w:highlight w:val="none"/>
          <w:lang w:val="en-US" w:eastAsia="zh-CN"/>
        </w:rPr>
        <w:t>预决算无差异</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预算数0.00万元，决算数0.00万元，预决算差异率0.00%，主要原因是：本单位无公务接待费支出，</w:t>
      </w:r>
      <w:r>
        <w:rPr>
          <w:rFonts w:hint="eastAsia" w:ascii="仿宋_GB2312" w:eastAsia="仿宋_GB2312"/>
          <w:color w:val="auto"/>
          <w:sz w:val="32"/>
          <w:szCs w:val="32"/>
          <w:highlight w:val="none"/>
          <w:lang w:val="en-US" w:eastAsia="zh-CN"/>
        </w:rPr>
        <w:t>预决算无差异</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bookmarkStart w:id="24" w:name="_Toc227"/>
      <w:bookmarkStart w:id="25" w:name="_Toc26704"/>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沙湾市西戈壁镇三个泉子小学（事业单位）公用经费支出2.44万元，</w:t>
      </w:r>
      <w:r>
        <w:rPr>
          <w:rFonts w:hint="eastAsia" w:ascii="仿宋_GB2312" w:hAnsi="仿宋_GB2312" w:eastAsia="仿宋_GB2312" w:cs="仿宋_GB2312"/>
          <w:color w:val="auto"/>
          <w:sz w:val="32"/>
          <w:szCs w:val="32"/>
          <w:highlight w:val="none"/>
          <w:lang w:val="zh-CN" w:eastAsia="zh-CN"/>
        </w:rPr>
        <w:t>比上年减少10.56万元，下降81.23%，主要原因是：上年其他工资福利支出调剂到基本支出劳务费中，</w:t>
      </w:r>
      <w:r>
        <w:rPr>
          <w:rFonts w:hint="eastAsia" w:ascii="仿宋_GB2312" w:hAnsi="仿宋_GB2312" w:eastAsia="仿宋_GB2312" w:cs="仿宋_GB2312"/>
          <w:color w:val="auto"/>
          <w:sz w:val="32"/>
          <w:szCs w:val="32"/>
          <w:highlight w:val="none"/>
          <w:lang w:val="en-US" w:eastAsia="zh-CN"/>
        </w:rPr>
        <w:t>使</w:t>
      </w:r>
      <w:r>
        <w:rPr>
          <w:rFonts w:hint="eastAsia" w:ascii="仿宋_GB2312" w:hAnsi="仿宋_GB2312" w:eastAsia="仿宋_GB2312" w:cs="仿宋_GB2312"/>
          <w:color w:val="auto"/>
          <w:sz w:val="32"/>
          <w:szCs w:val="32"/>
          <w:highlight w:val="none"/>
          <w:lang w:val="zh-CN" w:eastAsia="zh-CN"/>
        </w:rPr>
        <w:t>本年公用经费</w:t>
      </w:r>
      <w:r>
        <w:rPr>
          <w:rFonts w:hint="eastAsia" w:ascii="仿宋_GB2312" w:hAnsi="仿宋_GB2312" w:eastAsia="仿宋_GB2312" w:cs="仿宋_GB2312"/>
          <w:color w:val="auto"/>
          <w:sz w:val="32"/>
          <w:szCs w:val="32"/>
          <w:highlight w:val="none"/>
          <w:lang w:val="en-US" w:eastAsia="zh-CN"/>
        </w:rPr>
        <w:t>较上年</w:t>
      </w:r>
      <w:r>
        <w:rPr>
          <w:rFonts w:hint="eastAsia" w:ascii="仿宋_GB2312" w:hAnsi="仿宋_GB2312" w:eastAsia="仿宋_GB2312" w:cs="仿宋_GB2312"/>
          <w:color w:val="auto"/>
          <w:sz w:val="32"/>
          <w:szCs w:val="32"/>
          <w:highlight w:val="none"/>
          <w:lang w:val="zh-CN" w:eastAsia="zh-CN"/>
        </w:rPr>
        <w:t>减少。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1.48万元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其中：政府采购货物支出1.37万元、政府采购工程支出0.00万元、政府采购服务支出0.11万元。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授予中小企业合同金额1.48万元，占政府采购支出总额的100.00%，其中：授予小微企业合同金额1.48万元，占政府采购支出总额的100.00%</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1,008.59</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屋6,220.21平方米，价值748.62万元。车辆0辆，价值0.00万元，其中：副部（省）级及以上领导用车0辆、主要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用车0辆、其他用车0辆，其他用车主要是：本单位无公务用车；单价100万元（含）以上设备（不含车辆）0</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w:t>
      </w:r>
      <w:r>
        <w:rPr>
          <w:rFonts w:hint="eastAsia" w:ascii="仿宋_GB2312" w:hAnsi="宋体" w:eastAsia="仿宋_GB2312"/>
          <w:bCs/>
          <w:sz w:val="32"/>
          <w:szCs w:val="32"/>
          <w:highlight w:val="none"/>
        </w:rPr>
        <w:t>1,106.</w:t>
      </w:r>
      <w:r>
        <w:rPr>
          <w:rFonts w:hint="eastAsia" w:ascii="仿宋_GB2312" w:hAnsi="宋体" w:eastAsia="仿宋_GB2312"/>
          <w:bCs/>
          <w:sz w:val="32"/>
          <w:szCs w:val="32"/>
          <w:highlight w:val="none"/>
          <w:lang w:val="en-US" w:eastAsia="zh-CN"/>
        </w:rPr>
        <w:t>11</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106</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09</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11</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w:t>
      </w:r>
      <w:r>
        <w:rPr>
          <w:rFonts w:hint="eastAsia" w:ascii="仿宋_GB2312" w:hAnsi="宋体" w:eastAsia="仿宋_GB2312"/>
          <w:bCs/>
          <w:sz w:val="32"/>
          <w:szCs w:val="32"/>
          <w:highlight w:val="none"/>
          <w:lang w:val="en-US" w:eastAsia="zh-CN"/>
        </w:rPr>
        <w:t>148.84</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w:t>
      </w:r>
      <w:r>
        <w:rPr>
          <w:rFonts w:hint="eastAsia" w:ascii="仿宋_GB2312" w:hAnsi="宋体" w:eastAsia="仿宋_GB2312"/>
          <w:bCs/>
          <w:sz w:val="32"/>
          <w:szCs w:val="32"/>
          <w:highlight w:val="none"/>
        </w:rPr>
        <w:t>148.8</w:t>
      </w:r>
      <w:r>
        <w:rPr>
          <w:rFonts w:hint="eastAsia" w:ascii="仿宋_GB2312" w:hAnsi="宋体" w:eastAsia="仿宋_GB2312"/>
          <w:bCs/>
          <w:sz w:val="32"/>
          <w:szCs w:val="32"/>
          <w:highlight w:val="none"/>
          <w:lang w:val="en-US" w:eastAsia="zh-CN"/>
        </w:rPr>
        <w:t>4</w:t>
      </w:r>
      <w:r>
        <w:rPr>
          <w:rFonts w:hint="eastAsia" w:ascii="仿宋_GB2312" w:eastAsia="仿宋_GB2312"/>
          <w:color w:val="auto"/>
          <w:sz w:val="32"/>
          <w:szCs w:val="32"/>
          <w:highlight w:val="none"/>
        </w:rPr>
        <w:t>万元</w:t>
      </w:r>
      <w:bookmarkStart w:id="48" w:name="_GoBack"/>
      <w:bookmarkEnd w:id="48"/>
      <w:r>
        <w:rPr>
          <w:rFonts w:hint="eastAsia" w:ascii="仿宋_GB2312" w:eastAsia="仿宋_GB2312"/>
          <w:color w:val="auto"/>
          <w:sz w:val="32"/>
          <w:szCs w:val="32"/>
          <w:highlight w:val="none"/>
        </w:rPr>
        <w:t>，其中本单位sm项目</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rPr>
        <w:t>个，全年预算数</w:t>
      </w:r>
      <w:r>
        <w:rPr>
          <w:rFonts w:hint="eastAsia" w:ascii="仿宋_GB2312" w:eastAsia="仿宋_GB2312"/>
          <w:color w:val="auto"/>
          <w:sz w:val="32"/>
          <w:szCs w:val="32"/>
          <w:highlight w:val="none"/>
          <w:lang w:val="en-US" w:eastAsia="zh-CN"/>
        </w:rPr>
        <w:t>29.43</w:t>
      </w:r>
      <w:r>
        <w:rPr>
          <w:rFonts w:hint="eastAsia" w:ascii="仿宋_GB2312" w:eastAsia="仿宋_GB2312"/>
          <w:color w:val="auto"/>
          <w:sz w:val="32"/>
          <w:szCs w:val="32"/>
          <w:highlight w:val="none"/>
        </w:rPr>
        <w:t>万元，全年执行数</w:t>
      </w:r>
      <w:r>
        <w:rPr>
          <w:rFonts w:hint="eastAsia" w:ascii="仿宋_GB2312" w:eastAsia="仿宋_GB2312"/>
          <w:color w:val="auto"/>
          <w:sz w:val="32"/>
          <w:szCs w:val="32"/>
          <w:highlight w:val="none"/>
          <w:lang w:val="en-US" w:eastAsia="zh-CN"/>
        </w:rPr>
        <w:t>29.43</w:t>
      </w:r>
      <w:r>
        <w:rPr>
          <w:rFonts w:hint="eastAsia" w:ascii="仿宋_GB2312" w:eastAsia="仿宋_GB2312"/>
          <w:color w:val="auto"/>
          <w:sz w:val="32"/>
          <w:szCs w:val="32"/>
          <w:highlight w:val="none"/>
        </w:rPr>
        <w:t>万元，不予以公开。</w:t>
      </w:r>
      <w:r>
        <w:rPr>
          <w:rFonts w:hint="eastAsia" w:ascii="仿宋_GB2312" w:eastAsia="仿宋_GB2312"/>
          <w:color w:val="auto"/>
          <w:sz w:val="32"/>
          <w:szCs w:val="32"/>
          <w:highlight w:val="none"/>
          <w:lang w:eastAsia="zh-CN"/>
        </w:rPr>
        <w:t>预算绩效管理取得的成效：一是发挥教育经费保障教育发展、推动教育改革、推进教育公平、提高教育质量的政策引领作用，保障学校教育教学全覆盖、优化教育等重点工作；二是优化结构、深化改革、强化监管，花好每一份钱，把教育经费用到最关键处，切实提高教育经费使用效益。发现的问题及原因：一是前期根据年度内单位可预见的工作任务，确定了单位年度预算目标，细化了预算指标，但是在实际支付过程中，个别时候未严格按照预算指标及时拨付资金；二是有时会耽误单位的支付进度，也缺乏系统的培训，造成预算绩效管理指导不到位、认识不到位，理解不充分，对预算绩效管理工作重点把握不到位。下一步改进措施：一是理顺责任关系，完善项目实施机制， 提高项目管理规范性。建立健全项目管理机制，明确各级管理部门对项目管理的责任；二是完善项目监督管理机制，加强对项目实施各环节和预算执行力</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本单位sm项目2个，全年预算数29.43万元，全年执行数29.43万元，不予以公开绩效自评表。</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540" w:lineRule="atLeast"/>
        <w:ind w:firstLine="640" w:firstLineChars="200"/>
        <w:jc w:val="left"/>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540" w:lineRule="atLeast"/>
        <w:ind w:firstLine="640" w:firstLineChars="200"/>
        <w:jc w:val="left"/>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540" w:lineRule="atLeast"/>
        <w:ind w:firstLine="640" w:firstLineChars="200"/>
        <w:jc w:val="left"/>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540" w:lineRule="atLeast"/>
        <w:ind w:firstLine="640" w:firstLineChars="200"/>
        <w:jc w:val="left"/>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540" w:lineRule="atLeast"/>
        <w:ind w:firstLine="640" w:firstLineChars="200"/>
        <w:jc w:val="left"/>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540" w:lineRule="atLeast"/>
        <w:ind w:firstLine="640" w:firstLineChars="200"/>
        <w:jc w:val="left"/>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540" w:lineRule="atLeast"/>
        <w:ind w:firstLine="640" w:firstLineChars="200"/>
        <w:jc w:val="left"/>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540" w:lineRule="atLeast"/>
        <w:ind w:firstLine="640" w:firstLineChars="200"/>
        <w:jc w:val="left"/>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540" w:lineRule="atLeast"/>
        <w:ind w:firstLine="640" w:firstLineChars="200"/>
        <w:jc w:val="left"/>
        <w:textAlignment w:val="auto"/>
        <w:outlineLvl w:val="1"/>
        <w:rPr>
          <w:rFonts w:hint="default"/>
          <w:lang w:val="en-US" w:eastAsia="zh-CN"/>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VhMTE4YWExODU2MDQzNjhjZDJkNjJmMzIwNzNjYTUifQ=="/>
    <w:docVar w:name="KSO_WPS_MARK_KEY" w:val="41ee2a61-2d54-4f93-83be-afdb9a40d732"/>
  </w:docVars>
  <w:rsids>
    <w:rsidRoot w:val="00000000"/>
    <w:rsid w:val="00213C59"/>
    <w:rsid w:val="003210CE"/>
    <w:rsid w:val="00B70D59"/>
    <w:rsid w:val="00F52A8D"/>
    <w:rsid w:val="01896C15"/>
    <w:rsid w:val="019404F8"/>
    <w:rsid w:val="01C30B6B"/>
    <w:rsid w:val="01C76928"/>
    <w:rsid w:val="01ED22F2"/>
    <w:rsid w:val="02BD3108"/>
    <w:rsid w:val="02F73D26"/>
    <w:rsid w:val="034D4FEF"/>
    <w:rsid w:val="035D1785"/>
    <w:rsid w:val="039F47CE"/>
    <w:rsid w:val="03BD5310"/>
    <w:rsid w:val="03E05CE8"/>
    <w:rsid w:val="03E147EA"/>
    <w:rsid w:val="03F973EE"/>
    <w:rsid w:val="043E5B56"/>
    <w:rsid w:val="04BE1939"/>
    <w:rsid w:val="04C04386"/>
    <w:rsid w:val="04D1736D"/>
    <w:rsid w:val="04D96608"/>
    <w:rsid w:val="04DB6080"/>
    <w:rsid w:val="04F210E4"/>
    <w:rsid w:val="04FA68C4"/>
    <w:rsid w:val="053F5AE6"/>
    <w:rsid w:val="057C0B0F"/>
    <w:rsid w:val="05EF4B48"/>
    <w:rsid w:val="05F76ECA"/>
    <w:rsid w:val="06183A24"/>
    <w:rsid w:val="06792773"/>
    <w:rsid w:val="06FD75CA"/>
    <w:rsid w:val="07093795"/>
    <w:rsid w:val="07675054"/>
    <w:rsid w:val="07804730"/>
    <w:rsid w:val="078636E7"/>
    <w:rsid w:val="079052BE"/>
    <w:rsid w:val="08145C21"/>
    <w:rsid w:val="08422688"/>
    <w:rsid w:val="085854ED"/>
    <w:rsid w:val="0879188F"/>
    <w:rsid w:val="0897009F"/>
    <w:rsid w:val="08A0354D"/>
    <w:rsid w:val="08CD4C49"/>
    <w:rsid w:val="09114954"/>
    <w:rsid w:val="095A5B83"/>
    <w:rsid w:val="096466E3"/>
    <w:rsid w:val="0968304D"/>
    <w:rsid w:val="09AF3D17"/>
    <w:rsid w:val="09E00043"/>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172DAA"/>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9A0039"/>
    <w:rsid w:val="16B5447C"/>
    <w:rsid w:val="16D50C50"/>
    <w:rsid w:val="16E120E1"/>
    <w:rsid w:val="17385A05"/>
    <w:rsid w:val="173B3901"/>
    <w:rsid w:val="176747F9"/>
    <w:rsid w:val="17954A6E"/>
    <w:rsid w:val="17BE2C86"/>
    <w:rsid w:val="180059E9"/>
    <w:rsid w:val="184510FD"/>
    <w:rsid w:val="190648B0"/>
    <w:rsid w:val="19071D6C"/>
    <w:rsid w:val="19D26CD4"/>
    <w:rsid w:val="19E60D19"/>
    <w:rsid w:val="1A3E3450"/>
    <w:rsid w:val="1AD807E5"/>
    <w:rsid w:val="1B39345B"/>
    <w:rsid w:val="1BFB2A1F"/>
    <w:rsid w:val="1C015D4A"/>
    <w:rsid w:val="1C290ED5"/>
    <w:rsid w:val="1C317E4F"/>
    <w:rsid w:val="1C472464"/>
    <w:rsid w:val="1D050D2B"/>
    <w:rsid w:val="1D22799A"/>
    <w:rsid w:val="1D5C1A72"/>
    <w:rsid w:val="1DAF458D"/>
    <w:rsid w:val="1E086ACE"/>
    <w:rsid w:val="1E62130A"/>
    <w:rsid w:val="1E7B48B0"/>
    <w:rsid w:val="1E97358B"/>
    <w:rsid w:val="1EAA4A5F"/>
    <w:rsid w:val="1EE869A7"/>
    <w:rsid w:val="1F3F37CF"/>
    <w:rsid w:val="1F7F783E"/>
    <w:rsid w:val="1FA15E62"/>
    <w:rsid w:val="1FED69B6"/>
    <w:rsid w:val="2064678E"/>
    <w:rsid w:val="20DC1AB9"/>
    <w:rsid w:val="20DD6197"/>
    <w:rsid w:val="212631E0"/>
    <w:rsid w:val="2138666F"/>
    <w:rsid w:val="21742080"/>
    <w:rsid w:val="218513FB"/>
    <w:rsid w:val="21A53757"/>
    <w:rsid w:val="21F879E1"/>
    <w:rsid w:val="221236C6"/>
    <w:rsid w:val="22456676"/>
    <w:rsid w:val="22D7662C"/>
    <w:rsid w:val="23326B7F"/>
    <w:rsid w:val="2380045B"/>
    <w:rsid w:val="23BC04D2"/>
    <w:rsid w:val="23EF1892"/>
    <w:rsid w:val="2483647E"/>
    <w:rsid w:val="24A32D55"/>
    <w:rsid w:val="24CE6D9A"/>
    <w:rsid w:val="25292727"/>
    <w:rsid w:val="252E5CA9"/>
    <w:rsid w:val="256F7692"/>
    <w:rsid w:val="25BA2154"/>
    <w:rsid w:val="25C8773F"/>
    <w:rsid w:val="26235823"/>
    <w:rsid w:val="264A7253"/>
    <w:rsid w:val="26F0170C"/>
    <w:rsid w:val="26FE3B9A"/>
    <w:rsid w:val="27201D62"/>
    <w:rsid w:val="27286E73"/>
    <w:rsid w:val="27CF2642"/>
    <w:rsid w:val="27E777F5"/>
    <w:rsid w:val="27E8320A"/>
    <w:rsid w:val="27EA1D4C"/>
    <w:rsid w:val="27EA2E41"/>
    <w:rsid w:val="282459E2"/>
    <w:rsid w:val="283A7FE5"/>
    <w:rsid w:val="285F51FF"/>
    <w:rsid w:val="28DA4193"/>
    <w:rsid w:val="28DF2665"/>
    <w:rsid w:val="29072599"/>
    <w:rsid w:val="291029F3"/>
    <w:rsid w:val="29CB58F0"/>
    <w:rsid w:val="2A053397"/>
    <w:rsid w:val="2A145E96"/>
    <w:rsid w:val="2A2131BB"/>
    <w:rsid w:val="2A2C5F4A"/>
    <w:rsid w:val="2AF5378F"/>
    <w:rsid w:val="2BB94DBF"/>
    <w:rsid w:val="2BC86D12"/>
    <w:rsid w:val="2BF37410"/>
    <w:rsid w:val="2C2801FE"/>
    <w:rsid w:val="2C6F314E"/>
    <w:rsid w:val="2CC206BE"/>
    <w:rsid w:val="2D1136DF"/>
    <w:rsid w:val="2D20606D"/>
    <w:rsid w:val="2D6729FE"/>
    <w:rsid w:val="2DB87198"/>
    <w:rsid w:val="2DB93C54"/>
    <w:rsid w:val="2E3D144C"/>
    <w:rsid w:val="2E891204"/>
    <w:rsid w:val="2F3F0A28"/>
    <w:rsid w:val="2FBF7029"/>
    <w:rsid w:val="2FD0187F"/>
    <w:rsid w:val="2FD27414"/>
    <w:rsid w:val="2FFE4BB0"/>
    <w:rsid w:val="300E7B60"/>
    <w:rsid w:val="300F6E18"/>
    <w:rsid w:val="30862F5F"/>
    <w:rsid w:val="30A4775A"/>
    <w:rsid w:val="314029C9"/>
    <w:rsid w:val="31C63837"/>
    <w:rsid w:val="31C82E39"/>
    <w:rsid w:val="32601BAD"/>
    <w:rsid w:val="329F6389"/>
    <w:rsid w:val="3389023A"/>
    <w:rsid w:val="33CB74FA"/>
    <w:rsid w:val="343642F2"/>
    <w:rsid w:val="343F3010"/>
    <w:rsid w:val="34591AE5"/>
    <w:rsid w:val="345D0A00"/>
    <w:rsid w:val="34713BFD"/>
    <w:rsid w:val="34C13589"/>
    <w:rsid w:val="353369E3"/>
    <w:rsid w:val="35B21E0B"/>
    <w:rsid w:val="35E00D72"/>
    <w:rsid w:val="36965B9D"/>
    <w:rsid w:val="36C549FD"/>
    <w:rsid w:val="37A755DD"/>
    <w:rsid w:val="37F33BFE"/>
    <w:rsid w:val="37F94FA0"/>
    <w:rsid w:val="380D3381"/>
    <w:rsid w:val="38115B1F"/>
    <w:rsid w:val="385E3AC3"/>
    <w:rsid w:val="387D6B9E"/>
    <w:rsid w:val="38B75FF0"/>
    <w:rsid w:val="38D45016"/>
    <w:rsid w:val="38D90432"/>
    <w:rsid w:val="3914510A"/>
    <w:rsid w:val="3926770B"/>
    <w:rsid w:val="3982065B"/>
    <w:rsid w:val="398D3668"/>
    <w:rsid w:val="39DA0497"/>
    <w:rsid w:val="3A893816"/>
    <w:rsid w:val="3A893B6D"/>
    <w:rsid w:val="3AD1763A"/>
    <w:rsid w:val="3B196883"/>
    <w:rsid w:val="3B6716E3"/>
    <w:rsid w:val="3B6C6B2D"/>
    <w:rsid w:val="3C242659"/>
    <w:rsid w:val="3C96719C"/>
    <w:rsid w:val="3CA72BE8"/>
    <w:rsid w:val="3CDC1E1E"/>
    <w:rsid w:val="3CF37F8C"/>
    <w:rsid w:val="3D137554"/>
    <w:rsid w:val="3D5275AC"/>
    <w:rsid w:val="3DCC2473"/>
    <w:rsid w:val="3DEB0883"/>
    <w:rsid w:val="3E2527BF"/>
    <w:rsid w:val="3E70484C"/>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570042"/>
    <w:rsid w:val="417C1CE7"/>
    <w:rsid w:val="41900018"/>
    <w:rsid w:val="41944406"/>
    <w:rsid w:val="41CE128F"/>
    <w:rsid w:val="41DA6F12"/>
    <w:rsid w:val="42171FB1"/>
    <w:rsid w:val="42C10D7B"/>
    <w:rsid w:val="434E6957"/>
    <w:rsid w:val="43BA0E31"/>
    <w:rsid w:val="43C15147"/>
    <w:rsid w:val="43E14DD2"/>
    <w:rsid w:val="43F800E9"/>
    <w:rsid w:val="443A7E4B"/>
    <w:rsid w:val="444A7D08"/>
    <w:rsid w:val="452F5B3A"/>
    <w:rsid w:val="454E7FD2"/>
    <w:rsid w:val="46061BDC"/>
    <w:rsid w:val="461404F8"/>
    <w:rsid w:val="46413018"/>
    <w:rsid w:val="464B7E04"/>
    <w:rsid w:val="468041AA"/>
    <w:rsid w:val="468123C6"/>
    <w:rsid w:val="46901EEE"/>
    <w:rsid w:val="469C74D2"/>
    <w:rsid w:val="47117472"/>
    <w:rsid w:val="47445515"/>
    <w:rsid w:val="474B4782"/>
    <w:rsid w:val="47D90D14"/>
    <w:rsid w:val="47DE1152"/>
    <w:rsid w:val="48387FB0"/>
    <w:rsid w:val="483A6114"/>
    <w:rsid w:val="488727DB"/>
    <w:rsid w:val="48B82268"/>
    <w:rsid w:val="48C354B3"/>
    <w:rsid w:val="493D58B5"/>
    <w:rsid w:val="494A7A04"/>
    <w:rsid w:val="49605EF7"/>
    <w:rsid w:val="4A0A26D2"/>
    <w:rsid w:val="4A2019A5"/>
    <w:rsid w:val="4A241A0B"/>
    <w:rsid w:val="4A5C2BD7"/>
    <w:rsid w:val="4A7B2875"/>
    <w:rsid w:val="4A934476"/>
    <w:rsid w:val="4AAA220A"/>
    <w:rsid w:val="4AE12E67"/>
    <w:rsid w:val="4B4C0111"/>
    <w:rsid w:val="4B8553A9"/>
    <w:rsid w:val="4BDB3730"/>
    <w:rsid w:val="4C152888"/>
    <w:rsid w:val="4C200F7A"/>
    <w:rsid w:val="4CEE3180"/>
    <w:rsid w:val="4D0F4AF6"/>
    <w:rsid w:val="4DA52571"/>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3C450E"/>
    <w:rsid w:val="518D0ED5"/>
    <w:rsid w:val="525C687F"/>
    <w:rsid w:val="52A3740A"/>
    <w:rsid w:val="52F647F7"/>
    <w:rsid w:val="52F92565"/>
    <w:rsid w:val="53AE735E"/>
    <w:rsid w:val="53D03877"/>
    <w:rsid w:val="542F73CA"/>
    <w:rsid w:val="5430786D"/>
    <w:rsid w:val="545A1D2A"/>
    <w:rsid w:val="54C811C0"/>
    <w:rsid w:val="556A442D"/>
    <w:rsid w:val="55DA564E"/>
    <w:rsid w:val="55E816A3"/>
    <w:rsid w:val="5604127D"/>
    <w:rsid w:val="56044E6C"/>
    <w:rsid w:val="56166703"/>
    <w:rsid w:val="56510474"/>
    <w:rsid w:val="56861525"/>
    <w:rsid w:val="56A93273"/>
    <w:rsid w:val="56BD550C"/>
    <w:rsid w:val="56E07045"/>
    <w:rsid w:val="56FF28AF"/>
    <w:rsid w:val="57540E7D"/>
    <w:rsid w:val="577B4878"/>
    <w:rsid w:val="57926973"/>
    <w:rsid w:val="57D1482F"/>
    <w:rsid w:val="58175352"/>
    <w:rsid w:val="581F2200"/>
    <w:rsid w:val="583059FA"/>
    <w:rsid w:val="584A0929"/>
    <w:rsid w:val="58CD2491"/>
    <w:rsid w:val="591B41B2"/>
    <w:rsid w:val="59254A26"/>
    <w:rsid w:val="59326325"/>
    <w:rsid w:val="595C505B"/>
    <w:rsid w:val="595E55C3"/>
    <w:rsid w:val="596E7E20"/>
    <w:rsid w:val="5A5D23AA"/>
    <w:rsid w:val="5A60780B"/>
    <w:rsid w:val="5AB34579"/>
    <w:rsid w:val="5AB40E78"/>
    <w:rsid w:val="5AF80B40"/>
    <w:rsid w:val="5AFC6609"/>
    <w:rsid w:val="5B113480"/>
    <w:rsid w:val="5BD456CE"/>
    <w:rsid w:val="5C0D1F49"/>
    <w:rsid w:val="5CBB0CE2"/>
    <w:rsid w:val="5CC17177"/>
    <w:rsid w:val="5CF306BC"/>
    <w:rsid w:val="5D3F3D64"/>
    <w:rsid w:val="5D833043"/>
    <w:rsid w:val="5D952360"/>
    <w:rsid w:val="5D9E05A7"/>
    <w:rsid w:val="5DD92690"/>
    <w:rsid w:val="5DDB1CFD"/>
    <w:rsid w:val="5E7E6D93"/>
    <w:rsid w:val="5E82459B"/>
    <w:rsid w:val="5ED44800"/>
    <w:rsid w:val="5F350BDE"/>
    <w:rsid w:val="5F61632C"/>
    <w:rsid w:val="5FA17648"/>
    <w:rsid w:val="5FE705CB"/>
    <w:rsid w:val="6007714E"/>
    <w:rsid w:val="603D5080"/>
    <w:rsid w:val="606842D0"/>
    <w:rsid w:val="60D0261B"/>
    <w:rsid w:val="61415ECC"/>
    <w:rsid w:val="618E3791"/>
    <w:rsid w:val="61947DCA"/>
    <w:rsid w:val="61A46A97"/>
    <w:rsid w:val="61D1382F"/>
    <w:rsid w:val="61F114A2"/>
    <w:rsid w:val="622B0ABA"/>
    <w:rsid w:val="62512BB4"/>
    <w:rsid w:val="625D7D1A"/>
    <w:rsid w:val="62660469"/>
    <w:rsid w:val="62DD7D21"/>
    <w:rsid w:val="637D586B"/>
    <w:rsid w:val="63A5560B"/>
    <w:rsid w:val="63E9091F"/>
    <w:rsid w:val="64322AF9"/>
    <w:rsid w:val="64D6010D"/>
    <w:rsid w:val="64D82665"/>
    <w:rsid w:val="64E47C96"/>
    <w:rsid w:val="651E5741"/>
    <w:rsid w:val="655D7702"/>
    <w:rsid w:val="658A4877"/>
    <w:rsid w:val="65A00902"/>
    <w:rsid w:val="65AC6EDD"/>
    <w:rsid w:val="65D97752"/>
    <w:rsid w:val="66085536"/>
    <w:rsid w:val="66105BF7"/>
    <w:rsid w:val="66150023"/>
    <w:rsid w:val="6628010D"/>
    <w:rsid w:val="669B4528"/>
    <w:rsid w:val="669E5136"/>
    <w:rsid w:val="66CC12D7"/>
    <w:rsid w:val="67134CEF"/>
    <w:rsid w:val="67136128"/>
    <w:rsid w:val="671F1ABD"/>
    <w:rsid w:val="67521A59"/>
    <w:rsid w:val="67C304AB"/>
    <w:rsid w:val="683F0658"/>
    <w:rsid w:val="68746977"/>
    <w:rsid w:val="689C6793"/>
    <w:rsid w:val="68DB0208"/>
    <w:rsid w:val="68FB170C"/>
    <w:rsid w:val="691B3D98"/>
    <w:rsid w:val="693748F0"/>
    <w:rsid w:val="69846A0E"/>
    <w:rsid w:val="69AA1366"/>
    <w:rsid w:val="69AD798C"/>
    <w:rsid w:val="69D005C0"/>
    <w:rsid w:val="69D80B96"/>
    <w:rsid w:val="69F47AD7"/>
    <w:rsid w:val="6A2C39D4"/>
    <w:rsid w:val="6B68175F"/>
    <w:rsid w:val="6B9C351B"/>
    <w:rsid w:val="6BFD799F"/>
    <w:rsid w:val="6C4A2E5A"/>
    <w:rsid w:val="6C8138D0"/>
    <w:rsid w:val="6CEF0725"/>
    <w:rsid w:val="6D4B2604"/>
    <w:rsid w:val="6D77358F"/>
    <w:rsid w:val="6D8030E4"/>
    <w:rsid w:val="6E0E35C4"/>
    <w:rsid w:val="6E0F7A08"/>
    <w:rsid w:val="6E3947F5"/>
    <w:rsid w:val="6E6400A5"/>
    <w:rsid w:val="6E6733A0"/>
    <w:rsid w:val="6E6E3938"/>
    <w:rsid w:val="6E9C74ED"/>
    <w:rsid w:val="6EF72976"/>
    <w:rsid w:val="6F795A80"/>
    <w:rsid w:val="6F7C1D2E"/>
    <w:rsid w:val="6F8E0407"/>
    <w:rsid w:val="6FDD069F"/>
    <w:rsid w:val="702B4D16"/>
    <w:rsid w:val="70AA6621"/>
    <w:rsid w:val="7111480F"/>
    <w:rsid w:val="71233BE3"/>
    <w:rsid w:val="71261F49"/>
    <w:rsid w:val="712E6956"/>
    <w:rsid w:val="71473612"/>
    <w:rsid w:val="71504F32"/>
    <w:rsid w:val="7152309F"/>
    <w:rsid w:val="718F7F65"/>
    <w:rsid w:val="71DA6992"/>
    <w:rsid w:val="727B234E"/>
    <w:rsid w:val="728A58B0"/>
    <w:rsid w:val="72D068C7"/>
    <w:rsid w:val="72E42ED8"/>
    <w:rsid w:val="72FC34C3"/>
    <w:rsid w:val="735F4CB9"/>
    <w:rsid w:val="73674C62"/>
    <w:rsid w:val="73845865"/>
    <w:rsid w:val="739B6D9E"/>
    <w:rsid w:val="73BC1D76"/>
    <w:rsid w:val="73FB6630"/>
    <w:rsid w:val="748D790E"/>
    <w:rsid w:val="749820CC"/>
    <w:rsid w:val="74CE04EC"/>
    <w:rsid w:val="74E76DCD"/>
    <w:rsid w:val="751D7C0A"/>
    <w:rsid w:val="75316F08"/>
    <w:rsid w:val="75722D56"/>
    <w:rsid w:val="75DB5477"/>
    <w:rsid w:val="75FC6AC3"/>
    <w:rsid w:val="7616619B"/>
    <w:rsid w:val="76660D7C"/>
    <w:rsid w:val="766C5968"/>
    <w:rsid w:val="76BE0C8F"/>
    <w:rsid w:val="76CD53B2"/>
    <w:rsid w:val="76E6594C"/>
    <w:rsid w:val="770719AC"/>
    <w:rsid w:val="776526CC"/>
    <w:rsid w:val="77A262E1"/>
    <w:rsid w:val="77B13C33"/>
    <w:rsid w:val="77DC095A"/>
    <w:rsid w:val="77ED6F44"/>
    <w:rsid w:val="77F45548"/>
    <w:rsid w:val="77FC440B"/>
    <w:rsid w:val="784E7CA6"/>
    <w:rsid w:val="78574801"/>
    <w:rsid w:val="7873527F"/>
    <w:rsid w:val="790A6425"/>
    <w:rsid w:val="790E2D96"/>
    <w:rsid w:val="791B54B2"/>
    <w:rsid w:val="793C0F89"/>
    <w:rsid w:val="795A0A34"/>
    <w:rsid w:val="797339C3"/>
    <w:rsid w:val="79D57D57"/>
    <w:rsid w:val="79F00650"/>
    <w:rsid w:val="7A6242BF"/>
    <w:rsid w:val="7A794513"/>
    <w:rsid w:val="7A9B3811"/>
    <w:rsid w:val="7AB467DA"/>
    <w:rsid w:val="7AB9318D"/>
    <w:rsid w:val="7AE952D2"/>
    <w:rsid w:val="7B9F26AF"/>
    <w:rsid w:val="7BB607FE"/>
    <w:rsid w:val="7C7248A0"/>
    <w:rsid w:val="7C976D69"/>
    <w:rsid w:val="7CD752DA"/>
    <w:rsid w:val="7CDE40AB"/>
    <w:rsid w:val="7CF057E2"/>
    <w:rsid w:val="7D1548B5"/>
    <w:rsid w:val="7DF84014"/>
    <w:rsid w:val="7E207949"/>
    <w:rsid w:val="7E5C0A47"/>
    <w:rsid w:val="7E670C75"/>
    <w:rsid w:val="7EE24272"/>
    <w:rsid w:val="7EEA6053"/>
    <w:rsid w:val="7F2F0602"/>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4768</Words>
  <Characters>5385</Characters>
  <Lines>0</Lines>
  <Paragraphs>0</Paragraphs>
  <TotalTime>8</TotalTime>
  <ScaleCrop>false</ScaleCrop>
  <LinksUpToDate>false</LinksUpToDate>
  <CharactersWithSpaces>5397</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2024-11-18T04:11:19Z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y fmtid="{D5CDD505-2E9C-101B-9397-08002B2CF9AE}" pid="3" name="ICV">
    <vt:lpwstr>542AD708E7184EF7A68E464FF8447A4F</vt:lpwstr>
  </property>
</Properties>
</file>